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26, 2016</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333-208861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Syndax Pharmaceuticals,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9"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2560" w:type="dxa"/>
            <w:vAlign w:val="bottom"/>
          </w:tcPr>
          <w:p>
            <w:pPr>
              <w:jc w:val="center"/>
              <w:ind w:right="866"/>
              <w:spacing w:after="0"/>
              <w:rPr>
                <w:sz w:val="20"/>
                <w:szCs w:val="20"/>
                <w:color w:val="auto"/>
              </w:rPr>
            </w:pPr>
            <w:r>
              <w:rPr>
                <w:rFonts w:ascii="Arial" w:cs="Arial" w:eastAsia="Arial" w:hAnsi="Arial"/>
                <w:sz w:val="18"/>
                <w:szCs w:val="18"/>
                <w:b w:val="1"/>
                <w:bCs w:val="1"/>
                <w:color w:val="auto"/>
                <w:w w:val="88"/>
              </w:rPr>
              <w:t>Delaware</w:t>
            </w:r>
          </w:p>
        </w:tc>
        <w:tc>
          <w:tcPr>
            <w:tcW w:w="434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2834</w:t>
            </w:r>
          </w:p>
        </w:tc>
        <w:tc>
          <w:tcPr>
            <w:tcW w:w="2240" w:type="dxa"/>
            <w:vAlign w:val="bottom"/>
          </w:tcPr>
          <w:p>
            <w:pPr>
              <w:jc w:val="center"/>
              <w:ind w:left="926"/>
              <w:spacing w:after="0"/>
              <w:rPr>
                <w:sz w:val="20"/>
                <w:szCs w:val="20"/>
                <w:color w:val="auto"/>
              </w:rPr>
            </w:pPr>
            <w:r>
              <w:rPr>
                <w:rFonts w:ascii="Arial" w:cs="Arial" w:eastAsia="Arial" w:hAnsi="Arial"/>
                <w:sz w:val="18"/>
                <w:szCs w:val="18"/>
                <w:b w:val="1"/>
                <w:bCs w:val="1"/>
                <w:color w:val="auto"/>
                <w:w w:val="87"/>
              </w:rPr>
              <w:t>32-0162505</w:t>
            </w:r>
          </w:p>
        </w:tc>
      </w:tr>
      <w:tr>
        <w:trPr>
          <w:trHeight w:val="149"/>
        </w:trPr>
        <w:tc>
          <w:tcPr>
            <w:tcW w:w="2560" w:type="dxa"/>
            <w:vAlign w:val="bottom"/>
          </w:tcPr>
          <w:p>
            <w:pPr>
              <w:jc w:val="center"/>
              <w:ind w:right="866"/>
              <w:spacing w:after="0" w:line="149" w:lineRule="exact"/>
              <w:rPr>
                <w:sz w:val="20"/>
                <w:szCs w:val="20"/>
                <w:color w:val="auto"/>
              </w:rPr>
            </w:pPr>
            <w:r>
              <w:rPr>
                <w:rFonts w:ascii="Arial" w:cs="Arial" w:eastAsia="Arial" w:hAnsi="Arial"/>
                <w:sz w:val="14"/>
                <w:szCs w:val="14"/>
                <w:color w:val="auto"/>
                <w:w w:val="90"/>
              </w:rPr>
              <w:t>(State or other jurisdiction of</w:t>
            </w:r>
          </w:p>
        </w:tc>
        <w:tc>
          <w:tcPr>
            <w:tcW w:w="4340" w:type="dxa"/>
            <w:vAlign w:val="bottom"/>
          </w:tcPr>
          <w:p>
            <w:pPr>
              <w:jc w:val="center"/>
              <w:ind w:right="59"/>
              <w:spacing w:after="0" w:line="149" w:lineRule="exact"/>
              <w:rPr>
                <w:sz w:val="20"/>
                <w:szCs w:val="20"/>
                <w:color w:val="auto"/>
              </w:rPr>
            </w:pPr>
            <w:r>
              <w:rPr>
                <w:rFonts w:ascii="Arial" w:cs="Arial" w:eastAsia="Arial" w:hAnsi="Arial"/>
                <w:sz w:val="14"/>
                <w:szCs w:val="14"/>
                <w:color w:val="auto"/>
                <w:w w:val="89"/>
              </w:rPr>
              <w:t>(Primary Standard Industrial</w:t>
            </w:r>
          </w:p>
        </w:tc>
        <w:tc>
          <w:tcPr>
            <w:tcW w:w="2240" w:type="dxa"/>
            <w:vAlign w:val="bottom"/>
          </w:tcPr>
          <w:p>
            <w:pPr>
              <w:jc w:val="center"/>
              <w:ind w:left="926"/>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560" w:type="dxa"/>
            <w:vAlign w:val="bottom"/>
          </w:tcPr>
          <w:p>
            <w:pPr>
              <w:jc w:val="center"/>
              <w:ind w:right="866"/>
              <w:spacing w:after="0"/>
              <w:rPr>
                <w:sz w:val="20"/>
                <w:szCs w:val="20"/>
                <w:color w:val="auto"/>
              </w:rPr>
            </w:pPr>
            <w:r>
              <w:rPr>
                <w:rFonts w:ascii="Arial" w:cs="Arial" w:eastAsia="Arial" w:hAnsi="Arial"/>
                <w:sz w:val="14"/>
                <w:szCs w:val="14"/>
                <w:color w:val="auto"/>
                <w:w w:val="88"/>
              </w:rPr>
              <w:t>incorporation or organization)</w:t>
            </w:r>
          </w:p>
        </w:tc>
        <w:tc>
          <w:tcPr>
            <w:tcW w:w="4340" w:type="dxa"/>
            <w:vAlign w:val="bottom"/>
          </w:tcPr>
          <w:p>
            <w:pPr>
              <w:jc w:val="center"/>
              <w:ind w:right="59"/>
              <w:spacing w:after="0"/>
              <w:rPr>
                <w:sz w:val="20"/>
                <w:szCs w:val="20"/>
                <w:color w:val="auto"/>
              </w:rPr>
            </w:pPr>
            <w:r>
              <w:rPr>
                <w:rFonts w:ascii="Arial" w:cs="Arial" w:eastAsia="Arial" w:hAnsi="Arial"/>
                <w:sz w:val="14"/>
                <w:szCs w:val="14"/>
                <w:color w:val="auto"/>
                <w:w w:val="89"/>
              </w:rPr>
              <w:t>Classification Code Number)</w:t>
            </w:r>
          </w:p>
        </w:tc>
        <w:tc>
          <w:tcPr>
            <w:tcW w:w="2240" w:type="dxa"/>
            <w:vAlign w:val="bottom"/>
          </w:tcPr>
          <w:p>
            <w:pPr>
              <w:jc w:val="center"/>
              <w:ind w:left="926"/>
              <w:spacing w:after="0"/>
              <w:rPr>
                <w:sz w:val="20"/>
                <w:szCs w:val="20"/>
                <w:color w:val="auto"/>
              </w:rPr>
            </w:pPr>
            <w:r>
              <w:rPr>
                <w:rFonts w:ascii="Arial" w:cs="Arial" w:eastAsia="Arial" w:hAnsi="Arial"/>
                <w:sz w:val="14"/>
                <w:szCs w:val="14"/>
                <w:color w:val="auto"/>
                <w:w w:val="90"/>
              </w:rPr>
              <w:t>Identification Number)</w:t>
            </w:r>
          </w:p>
        </w:tc>
      </w:tr>
      <w:tr>
        <w:trPr>
          <w:trHeight w:val="229"/>
        </w:trPr>
        <w:tc>
          <w:tcPr>
            <w:tcW w:w="256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400 Totten Pond Road, Suite 110</w:t>
            </w:r>
          </w:p>
        </w:tc>
        <w:tc>
          <w:tcPr>
            <w:tcW w:w="2240" w:type="dxa"/>
            <w:vAlign w:val="bottom"/>
          </w:tcPr>
          <w:p>
            <w:pPr>
              <w:spacing w:after="0"/>
              <w:rPr>
                <w:sz w:val="19"/>
                <w:szCs w:val="19"/>
                <w:color w:val="auto"/>
              </w:rPr>
            </w:pPr>
          </w:p>
        </w:tc>
      </w:tr>
      <w:tr>
        <w:trPr>
          <w:trHeight w:val="216"/>
        </w:trPr>
        <w:tc>
          <w:tcPr>
            <w:tcW w:w="2560" w:type="dxa"/>
            <w:vAlign w:val="bottom"/>
          </w:tcPr>
          <w:p>
            <w:pPr>
              <w:spacing w:after="0"/>
              <w:rPr>
                <w:sz w:val="18"/>
                <w:szCs w:val="18"/>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6"/>
              </w:rPr>
              <w:t>Waltham, Massachusetts 02451</w:t>
            </w:r>
          </w:p>
        </w:tc>
        <w:tc>
          <w:tcPr>
            <w:tcW w:w="2240" w:type="dxa"/>
            <w:vAlign w:val="bottom"/>
          </w:tcPr>
          <w:p>
            <w:pPr>
              <w:spacing w:after="0"/>
              <w:rPr>
                <w:sz w:val="18"/>
                <w:szCs w:val="18"/>
                <w:color w:val="auto"/>
              </w:rPr>
            </w:pPr>
          </w:p>
        </w:tc>
      </w:tr>
      <w:tr>
        <w:trPr>
          <w:trHeight w:val="228"/>
        </w:trPr>
        <w:tc>
          <w:tcPr>
            <w:tcW w:w="256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9"/>
              </w:rPr>
              <w:t>(781) 419-1400</w:t>
            </w:r>
          </w:p>
        </w:tc>
        <w:tc>
          <w:tcPr>
            <w:tcW w:w="2240" w:type="dxa"/>
            <w:vAlign w:val="bottom"/>
          </w:tcPr>
          <w:p>
            <w:pPr>
              <w:spacing w:after="0"/>
              <w:rPr>
                <w:sz w:val="19"/>
                <w:szCs w:val="19"/>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Briggs W. Morrison, M.D.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Totten Pond Road, Suite 110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Waltham, Massachusetts 02451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419-1400</w:t>
      </w:r>
    </w:p>
    <w:p>
      <w:pPr>
        <w:spacing w:after="0" w:line="9" w:lineRule="exact"/>
        <w:rPr>
          <w:sz w:val="24"/>
          <w:szCs w:val="24"/>
          <w:color w:val="auto"/>
        </w:rPr>
      </w:pPr>
    </w:p>
    <w:tbl>
      <w:tblPr>
        <w:tblLayout w:type="fixed"/>
        <w:tblInd w:w="700" w:type="dxa"/>
        <w:tblCellMar>
          <w:top w:w="0" w:type="dxa"/>
          <w:left w:w="0" w:type="dxa"/>
          <w:bottom w:w="0" w:type="dxa"/>
          <w:right w:w="0" w:type="dxa"/>
        </w:tblCellMar>
      </w:tblPr>
      <w:tr>
        <w:trPr>
          <w:trHeight w:val="167"/>
        </w:trPr>
        <w:tc>
          <w:tcPr>
            <w:tcW w:w="7780" w:type="dxa"/>
            <w:vAlign w:val="bottom"/>
            <w:gridSpan w:val="2"/>
          </w:tcPr>
          <w:p>
            <w:pPr>
              <w:jc w:val="center"/>
              <w:ind w:left="2155"/>
              <w:spacing w:after="0"/>
              <w:rPr>
                <w:sz w:val="20"/>
                <w:szCs w:val="20"/>
                <w:color w:val="auto"/>
              </w:rPr>
            </w:pPr>
            <w:r>
              <w:rPr>
                <w:rFonts w:ascii="Arial" w:cs="Arial" w:eastAsia="Arial" w:hAnsi="Arial"/>
                <w:sz w:val="14"/>
                <w:szCs w:val="14"/>
                <w:color w:val="auto"/>
                <w:w w:val="87"/>
              </w:rPr>
              <w:t>(Name, address, including zip code, and telephone number, including area code, of agent for service)</w:t>
            </w:r>
          </w:p>
        </w:tc>
        <w:tc>
          <w:tcPr>
            <w:tcW w:w="2200" w:type="dxa"/>
            <w:vAlign w:val="bottom"/>
          </w:tcPr>
          <w:p>
            <w:pPr>
              <w:spacing w:after="0"/>
              <w:rPr>
                <w:sz w:val="14"/>
                <w:szCs w:val="14"/>
                <w:color w:val="auto"/>
              </w:rPr>
            </w:pPr>
          </w:p>
        </w:tc>
      </w:tr>
      <w:tr>
        <w:trPr>
          <w:trHeight w:val="145"/>
        </w:trPr>
        <w:tc>
          <w:tcPr>
            <w:tcW w:w="3180" w:type="dxa"/>
            <w:vAlign w:val="bottom"/>
          </w:tcPr>
          <w:p>
            <w:pPr>
              <w:spacing w:after="0"/>
              <w:rPr>
                <w:sz w:val="12"/>
                <w:szCs w:val="12"/>
                <w:color w:val="auto"/>
              </w:rPr>
            </w:pPr>
          </w:p>
        </w:tc>
        <w:tc>
          <w:tcPr>
            <w:tcW w:w="4600" w:type="dxa"/>
            <w:vAlign w:val="bottom"/>
          </w:tcPr>
          <w:p>
            <w:pPr>
              <w:jc w:val="center"/>
              <w:ind w:right="835"/>
              <w:spacing w:after="0" w:line="145" w:lineRule="exact"/>
              <w:rPr>
                <w:sz w:val="20"/>
                <w:szCs w:val="20"/>
                <w:color w:val="auto"/>
              </w:rPr>
            </w:pPr>
            <w:r>
              <w:rPr>
                <w:rFonts w:ascii="Arial" w:cs="Arial" w:eastAsia="Arial" w:hAnsi="Arial"/>
                <w:sz w:val="14"/>
                <w:szCs w:val="14"/>
                <w:b w:val="1"/>
                <w:bCs w:val="1"/>
                <w:i w:val="1"/>
                <w:iCs w:val="1"/>
                <w:color w:val="auto"/>
                <w:w w:val="81"/>
              </w:rPr>
              <w:t>Copies to:</w:t>
            </w:r>
          </w:p>
        </w:tc>
        <w:tc>
          <w:tcPr>
            <w:tcW w:w="2200" w:type="dxa"/>
            <w:vAlign w:val="bottom"/>
          </w:tcPr>
          <w:p>
            <w:pPr>
              <w:spacing w:after="0"/>
              <w:rPr>
                <w:sz w:val="12"/>
                <w:szCs w:val="12"/>
                <w:color w:val="auto"/>
              </w:rPr>
            </w:pPr>
          </w:p>
        </w:tc>
      </w:tr>
      <w:tr>
        <w:trPr>
          <w:trHeight w:val="216"/>
        </w:trPr>
        <w:tc>
          <w:tcPr>
            <w:tcW w:w="3180" w:type="dxa"/>
            <w:vAlign w:val="bottom"/>
          </w:tcPr>
          <w:p>
            <w:pPr>
              <w:jc w:val="center"/>
              <w:ind w:right="595"/>
              <w:spacing w:after="0"/>
              <w:rPr>
                <w:sz w:val="20"/>
                <w:szCs w:val="20"/>
                <w:color w:val="auto"/>
              </w:rPr>
            </w:pPr>
            <w:r>
              <w:rPr>
                <w:rFonts w:ascii="Arial" w:cs="Arial" w:eastAsia="Arial" w:hAnsi="Arial"/>
                <w:sz w:val="18"/>
                <w:szCs w:val="18"/>
                <w:b w:val="1"/>
                <w:bCs w:val="1"/>
                <w:color w:val="auto"/>
                <w:w w:val="89"/>
              </w:rPr>
              <w:t>Jon Layman</w:t>
            </w:r>
          </w:p>
        </w:tc>
        <w:tc>
          <w:tcPr>
            <w:tcW w:w="4600" w:type="dxa"/>
            <w:vAlign w:val="bottom"/>
          </w:tcPr>
          <w:p>
            <w:pPr>
              <w:jc w:val="center"/>
              <w:ind w:right="595"/>
              <w:spacing w:after="0"/>
              <w:rPr>
                <w:sz w:val="20"/>
                <w:szCs w:val="20"/>
                <w:color w:val="auto"/>
              </w:rPr>
            </w:pPr>
            <w:r>
              <w:rPr>
                <w:rFonts w:ascii="Arial" w:cs="Arial" w:eastAsia="Arial" w:hAnsi="Arial"/>
                <w:sz w:val="18"/>
                <w:szCs w:val="18"/>
                <w:b w:val="1"/>
                <w:bCs w:val="1"/>
                <w:color w:val="auto"/>
                <w:w w:val="92"/>
              </w:rPr>
              <w:t>Allan L. Shaw</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3"/>
              </w:rPr>
              <w:t>Divakar Gupta</w:t>
            </w:r>
          </w:p>
        </w:tc>
      </w:tr>
      <w:tr>
        <w:trPr>
          <w:trHeight w:val="216"/>
        </w:trPr>
        <w:tc>
          <w:tcPr>
            <w:tcW w:w="3180" w:type="dxa"/>
            <w:vAlign w:val="bottom"/>
          </w:tcPr>
          <w:p>
            <w:pPr>
              <w:jc w:val="center"/>
              <w:ind w:right="615"/>
              <w:spacing w:after="0"/>
              <w:rPr>
                <w:sz w:val="20"/>
                <w:szCs w:val="20"/>
                <w:color w:val="auto"/>
              </w:rPr>
            </w:pPr>
            <w:r>
              <w:rPr>
                <w:rFonts w:ascii="Arial" w:cs="Arial" w:eastAsia="Arial" w:hAnsi="Arial"/>
                <w:sz w:val="18"/>
                <w:szCs w:val="18"/>
                <w:b w:val="1"/>
                <w:bCs w:val="1"/>
                <w:color w:val="auto"/>
                <w:w w:val="88"/>
              </w:rPr>
              <w:t>Jaime L. Chase</w:t>
            </w:r>
          </w:p>
        </w:tc>
        <w:tc>
          <w:tcPr>
            <w:tcW w:w="4600" w:type="dxa"/>
            <w:vAlign w:val="bottom"/>
          </w:tcPr>
          <w:p>
            <w:pPr>
              <w:jc w:val="center"/>
              <w:ind w:right="595"/>
              <w:spacing w:after="0"/>
              <w:rPr>
                <w:sz w:val="20"/>
                <w:szCs w:val="20"/>
                <w:color w:val="auto"/>
              </w:rPr>
            </w:pPr>
            <w:r>
              <w:rPr>
                <w:rFonts w:ascii="Arial" w:cs="Arial" w:eastAsia="Arial" w:hAnsi="Arial"/>
                <w:sz w:val="18"/>
                <w:szCs w:val="18"/>
                <w:b w:val="1"/>
                <w:bCs w:val="1"/>
                <w:color w:val="auto"/>
                <w:w w:val="90"/>
              </w:rPr>
              <w:t>Chief Financial Officer, Treasurer</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Joshua A. Kaufman</w:t>
            </w:r>
          </w:p>
        </w:tc>
      </w:tr>
      <w:tr>
        <w:trPr>
          <w:trHeight w:val="216"/>
        </w:trPr>
        <w:tc>
          <w:tcPr>
            <w:tcW w:w="3180" w:type="dxa"/>
            <w:vAlign w:val="bottom"/>
          </w:tcPr>
          <w:p>
            <w:pPr>
              <w:jc w:val="center"/>
              <w:ind w:right="595"/>
              <w:spacing w:after="0"/>
              <w:rPr>
                <w:sz w:val="20"/>
                <w:szCs w:val="20"/>
                <w:color w:val="auto"/>
              </w:rPr>
            </w:pPr>
            <w:r>
              <w:rPr>
                <w:rFonts w:ascii="Arial" w:cs="Arial" w:eastAsia="Arial" w:hAnsi="Arial"/>
                <w:sz w:val="18"/>
                <w:szCs w:val="18"/>
                <w:b w:val="1"/>
                <w:bCs w:val="1"/>
                <w:color w:val="auto"/>
                <w:w w:val="90"/>
              </w:rPr>
              <w:t>Hogan Lovells US LLP</w:t>
            </w:r>
          </w:p>
        </w:tc>
        <w:tc>
          <w:tcPr>
            <w:tcW w:w="4600" w:type="dxa"/>
            <w:vAlign w:val="bottom"/>
          </w:tcPr>
          <w:p>
            <w:pPr>
              <w:jc w:val="center"/>
              <w:ind w:right="595"/>
              <w:spacing w:after="0"/>
              <w:rPr>
                <w:sz w:val="20"/>
                <w:szCs w:val="20"/>
                <w:color w:val="auto"/>
              </w:rPr>
            </w:pPr>
            <w:r>
              <w:rPr>
                <w:rFonts w:ascii="Arial" w:cs="Arial" w:eastAsia="Arial" w:hAnsi="Arial"/>
                <w:sz w:val="18"/>
                <w:szCs w:val="18"/>
                <w:b w:val="1"/>
                <w:bCs w:val="1"/>
                <w:color w:val="auto"/>
                <w:w w:val="87"/>
              </w:rPr>
              <w:t>and Secretary</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8"/>
              </w:rPr>
              <w:t>David G. Peinsipp</w:t>
            </w:r>
          </w:p>
        </w:tc>
      </w:tr>
      <w:tr>
        <w:trPr>
          <w:trHeight w:val="216"/>
        </w:trPr>
        <w:tc>
          <w:tcPr>
            <w:tcW w:w="3180" w:type="dxa"/>
            <w:vAlign w:val="bottom"/>
          </w:tcPr>
          <w:p>
            <w:pPr>
              <w:jc w:val="center"/>
              <w:ind w:right="595"/>
              <w:spacing w:after="0"/>
              <w:rPr>
                <w:sz w:val="20"/>
                <w:szCs w:val="20"/>
                <w:color w:val="auto"/>
              </w:rPr>
            </w:pPr>
            <w:r>
              <w:rPr>
                <w:rFonts w:ascii="Arial" w:cs="Arial" w:eastAsia="Arial" w:hAnsi="Arial"/>
                <w:sz w:val="18"/>
                <w:szCs w:val="18"/>
                <w:b w:val="1"/>
                <w:bCs w:val="1"/>
                <w:color w:val="auto"/>
                <w:w w:val="87"/>
              </w:rPr>
              <w:t>4085 Campbell Avenue, Suite 100</w:t>
            </w:r>
          </w:p>
        </w:tc>
        <w:tc>
          <w:tcPr>
            <w:tcW w:w="4600" w:type="dxa"/>
            <w:vAlign w:val="bottom"/>
          </w:tcPr>
          <w:p>
            <w:pPr>
              <w:jc w:val="center"/>
              <w:ind w:right="575"/>
              <w:spacing w:after="0"/>
              <w:rPr>
                <w:sz w:val="20"/>
                <w:szCs w:val="20"/>
                <w:color w:val="auto"/>
              </w:rPr>
            </w:pPr>
            <w:r>
              <w:rPr>
                <w:rFonts w:ascii="Arial" w:cs="Arial" w:eastAsia="Arial" w:hAnsi="Arial"/>
                <w:sz w:val="18"/>
                <w:szCs w:val="18"/>
                <w:b w:val="1"/>
                <w:bCs w:val="1"/>
                <w:color w:val="auto"/>
                <w:w w:val="87"/>
              </w:rPr>
              <w:t>Syndax Pharmaceuticals, Inc.</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Cooley LLP</w:t>
            </w:r>
          </w:p>
        </w:tc>
      </w:tr>
      <w:tr>
        <w:trPr>
          <w:trHeight w:val="216"/>
        </w:trPr>
        <w:tc>
          <w:tcPr>
            <w:tcW w:w="3180" w:type="dxa"/>
            <w:vAlign w:val="bottom"/>
          </w:tcPr>
          <w:p>
            <w:pPr>
              <w:jc w:val="center"/>
              <w:ind w:right="615"/>
              <w:spacing w:after="0"/>
              <w:rPr>
                <w:sz w:val="20"/>
                <w:szCs w:val="20"/>
                <w:color w:val="auto"/>
              </w:rPr>
            </w:pPr>
            <w:r>
              <w:rPr>
                <w:rFonts w:ascii="Arial" w:cs="Arial" w:eastAsia="Arial" w:hAnsi="Arial"/>
                <w:sz w:val="18"/>
                <w:szCs w:val="18"/>
                <w:b w:val="1"/>
                <w:bCs w:val="1"/>
                <w:color w:val="auto"/>
                <w:w w:val="91"/>
              </w:rPr>
              <w:t>Menlo Park, California 94025</w:t>
            </w:r>
          </w:p>
        </w:tc>
        <w:tc>
          <w:tcPr>
            <w:tcW w:w="4600" w:type="dxa"/>
            <w:vAlign w:val="bottom"/>
          </w:tcPr>
          <w:p>
            <w:pPr>
              <w:jc w:val="center"/>
              <w:ind w:right="595"/>
              <w:spacing w:after="0"/>
              <w:rPr>
                <w:sz w:val="20"/>
                <w:szCs w:val="20"/>
                <w:color w:val="auto"/>
              </w:rPr>
            </w:pPr>
            <w:r>
              <w:rPr>
                <w:rFonts w:ascii="Arial" w:cs="Arial" w:eastAsia="Arial" w:hAnsi="Arial"/>
                <w:sz w:val="18"/>
                <w:szCs w:val="18"/>
                <w:b w:val="1"/>
                <w:bCs w:val="1"/>
                <w:color w:val="auto"/>
                <w:w w:val="87"/>
              </w:rPr>
              <w:t>400 Totten Pond Road, Suite 110</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6"/>
              </w:rPr>
              <w:t>1114 Avenue of the Americas</w:t>
            </w:r>
          </w:p>
        </w:tc>
      </w:tr>
      <w:tr>
        <w:trPr>
          <w:trHeight w:val="216"/>
        </w:trPr>
        <w:tc>
          <w:tcPr>
            <w:tcW w:w="3180" w:type="dxa"/>
            <w:vAlign w:val="bottom"/>
          </w:tcPr>
          <w:p>
            <w:pPr>
              <w:jc w:val="center"/>
              <w:ind w:right="595"/>
              <w:spacing w:after="0"/>
              <w:rPr>
                <w:sz w:val="20"/>
                <w:szCs w:val="20"/>
                <w:color w:val="auto"/>
              </w:rPr>
            </w:pPr>
            <w:r>
              <w:rPr>
                <w:rFonts w:ascii="Arial" w:cs="Arial" w:eastAsia="Arial" w:hAnsi="Arial"/>
                <w:sz w:val="18"/>
                <w:szCs w:val="18"/>
                <w:b w:val="1"/>
                <w:bCs w:val="1"/>
                <w:color w:val="auto"/>
                <w:w w:val="89"/>
              </w:rPr>
              <w:t>(650) 463-4000</w:t>
            </w:r>
          </w:p>
        </w:tc>
        <w:tc>
          <w:tcPr>
            <w:tcW w:w="4600" w:type="dxa"/>
            <w:vAlign w:val="bottom"/>
          </w:tcPr>
          <w:p>
            <w:pPr>
              <w:jc w:val="center"/>
              <w:ind w:right="595"/>
              <w:spacing w:after="0"/>
              <w:rPr>
                <w:sz w:val="20"/>
                <w:szCs w:val="20"/>
                <w:color w:val="auto"/>
              </w:rPr>
            </w:pPr>
            <w:r>
              <w:rPr>
                <w:rFonts w:ascii="Arial" w:cs="Arial" w:eastAsia="Arial" w:hAnsi="Arial"/>
                <w:sz w:val="18"/>
                <w:szCs w:val="18"/>
                <w:b w:val="1"/>
                <w:bCs w:val="1"/>
                <w:color w:val="auto"/>
                <w:w w:val="87"/>
              </w:rPr>
              <w:t>Waltham, Massachusetts 02451</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New York 10036</w:t>
            </w:r>
          </w:p>
        </w:tc>
      </w:tr>
      <w:tr>
        <w:trPr>
          <w:trHeight w:val="228"/>
        </w:trPr>
        <w:tc>
          <w:tcPr>
            <w:tcW w:w="3180" w:type="dxa"/>
            <w:vAlign w:val="bottom"/>
          </w:tcPr>
          <w:p>
            <w:pPr>
              <w:spacing w:after="0"/>
              <w:rPr>
                <w:sz w:val="19"/>
                <w:szCs w:val="19"/>
                <w:color w:val="auto"/>
              </w:rPr>
            </w:pPr>
          </w:p>
        </w:tc>
        <w:tc>
          <w:tcPr>
            <w:tcW w:w="4600" w:type="dxa"/>
            <w:vAlign w:val="bottom"/>
          </w:tcPr>
          <w:p>
            <w:pPr>
              <w:jc w:val="center"/>
              <w:ind w:right="575"/>
              <w:spacing w:after="0"/>
              <w:rPr>
                <w:sz w:val="20"/>
                <w:szCs w:val="20"/>
                <w:color w:val="auto"/>
              </w:rPr>
            </w:pPr>
            <w:r>
              <w:rPr>
                <w:rFonts w:ascii="Arial" w:cs="Arial" w:eastAsia="Arial" w:hAnsi="Arial"/>
                <w:sz w:val="18"/>
                <w:szCs w:val="18"/>
                <w:b w:val="1"/>
                <w:bCs w:val="1"/>
                <w:color w:val="auto"/>
                <w:w w:val="89"/>
              </w:rPr>
              <w:t>(781) 419-1400</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(212) 479-6000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104140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3"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29" w:lineRule="exact"/>
        <w:rPr>
          <w:sz w:val="24"/>
          <w:szCs w:val="24"/>
          <w:color w:val="auto"/>
        </w:rPr>
      </w:pPr>
    </w:p>
    <w:p>
      <w:pPr>
        <w:ind w:right="60" w:firstLine="342"/>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0" w:type="dxa"/>
        <w:tblCellMar>
          <w:top w:w="0" w:type="dxa"/>
          <w:left w:w="0" w:type="dxa"/>
          <w:bottom w:w="0" w:type="dxa"/>
          <w:right w:w="0" w:type="dxa"/>
        </w:tblCellMar>
      </w:tblPr>
      <w:tr>
        <w:trPr>
          <w:trHeight w:val="136"/>
        </w:trPr>
        <w:tc>
          <w:tcPr>
            <w:tcW w:w="1220" w:type="dxa"/>
            <w:vAlign w:val="bottom"/>
            <w:gridSpan w:val="2"/>
          </w:tcPr>
          <w:p>
            <w:pPr>
              <w:spacing w:after="0" w:line="136" w:lineRule="exact"/>
              <w:rPr>
                <w:sz w:val="20"/>
                <w:szCs w:val="20"/>
                <w:color w:val="auto"/>
              </w:rPr>
            </w:pPr>
            <w:r>
              <w:rPr>
                <w:rFonts w:ascii="Arial" w:cs="Arial" w:eastAsia="Arial" w:hAnsi="Arial"/>
                <w:sz w:val="14"/>
                <w:szCs w:val="14"/>
                <w:color w:val="auto"/>
                <w:w w:val="86"/>
              </w:rPr>
              <w:t>Large accelerated filer</w:t>
            </w:r>
          </w:p>
        </w:tc>
        <w:tc>
          <w:tcPr>
            <w:tcW w:w="360" w:type="dxa"/>
            <w:vAlign w:val="bottom"/>
          </w:tcPr>
          <w:p>
            <w:pPr>
              <w:ind w:left="60"/>
              <w:spacing w:after="0" w:line="136" w:lineRule="exact"/>
              <w:rPr>
                <w:sz w:val="20"/>
                <w:szCs w:val="20"/>
                <w:color w:val="auto"/>
              </w:rPr>
            </w:pPr>
            <w:r>
              <w:rPr>
                <w:rFonts w:ascii="MS PGothic" w:cs="MS PGothic" w:eastAsia="MS PGothic" w:hAnsi="MS PGothic"/>
                <w:sz w:val="14"/>
                <w:szCs w:val="14"/>
                <w:color w:val="auto"/>
              </w:rPr>
              <w:t>☐</w:t>
            </w:r>
          </w:p>
        </w:tc>
        <w:tc>
          <w:tcPr>
            <w:tcW w:w="2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160" w:type="dxa"/>
            <w:vAlign w:val="bottom"/>
            <w:gridSpan w:val="2"/>
          </w:tcPr>
          <w:p>
            <w:pPr>
              <w:ind w:left="1000"/>
              <w:spacing w:after="0" w:line="136"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163"/>
        </w:trPr>
        <w:tc>
          <w:tcPr>
            <w:tcW w:w="1220" w:type="dxa"/>
            <w:vAlign w:val="bottom"/>
            <w:gridSpan w:val="2"/>
          </w:tcPr>
          <w:p>
            <w:pPr>
              <w:spacing w:after="0"/>
              <w:rPr>
                <w:sz w:val="20"/>
                <w:szCs w:val="20"/>
                <w:color w:val="auto"/>
              </w:rPr>
            </w:pPr>
            <w:r>
              <w:rPr>
                <w:rFonts w:ascii="Arial" w:cs="Arial" w:eastAsia="Arial" w:hAnsi="Arial"/>
                <w:sz w:val="14"/>
                <w:szCs w:val="14"/>
                <w:color w:val="auto"/>
                <w:w w:val="92"/>
              </w:rPr>
              <w:t>Non-accelerated filer</w:t>
            </w:r>
          </w:p>
        </w:tc>
        <w:tc>
          <w:tcPr>
            <w:tcW w:w="36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gridSpan w:val="3"/>
          </w:tcPr>
          <w:p>
            <w:pPr>
              <w:ind w:left="380"/>
              <w:spacing w:after="0"/>
              <w:rPr>
                <w:sz w:val="20"/>
                <w:szCs w:val="20"/>
                <w:color w:val="auto"/>
              </w:rPr>
            </w:pPr>
            <w:r>
              <w:rPr>
                <w:rFonts w:ascii="Arial" w:cs="Arial" w:eastAsia="Arial" w:hAnsi="Arial"/>
                <w:sz w:val="14"/>
                <w:szCs w:val="14"/>
                <w:color w:val="auto"/>
              </w:rPr>
              <w:t>(Do not check if a smaller reporting company)</w:t>
            </w:r>
          </w:p>
        </w:tc>
        <w:tc>
          <w:tcPr>
            <w:tcW w:w="1600" w:type="dxa"/>
            <w:vAlign w:val="bottom"/>
          </w:tcPr>
          <w:p>
            <w:pPr>
              <w:spacing w:after="0"/>
              <w:rPr>
                <w:sz w:val="14"/>
                <w:szCs w:val="14"/>
                <w:color w:val="auto"/>
              </w:rPr>
            </w:pPr>
          </w:p>
        </w:tc>
        <w:tc>
          <w:tcPr>
            <w:tcW w:w="3160" w:type="dxa"/>
            <w:vAlign w:val="bottom"/>
            <w:gridSpan w:val="2"/>
          </w:tcPr>
          <w:p>
            <w:pPr>
              <w:ind w:left="10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4420" w:type="dxa"/>
            <w:vAlign w:val="bottom"/>
            <w:gridSpan w:val="3"/>
          </w:tcPr>
          <w:p>
            <w:pPr>
              <w:ind w:left="580"/>
              <w:spacing w:after="0"/>
              <w:rPr>
                <w:sz w:val="20"/>
                <w:szCs w:val="20"/>
                <w:color w:val="auto"/>
              </w:rPr>
            </w:pPr>
            <w:r>
              <w:rPr>
                <w:rFonts w:ascii="Arial" w:cs="Arial" w:eastAsia="Arial" w:hAnsi="Arial"/>
                <w:sz w:val="14"/>
                <w:szCs w:val="14"/>
                <w:b w:val="1"/>
                <w:bCs w:val="1"/>
                <w:color w:val="auto"/>
              </w:rPr>
              <w:t>CALCULATION OF REGISTRATION FEE</w:t>
            </w:r>
          </w:p>
        </w:tc>
        <w:tc>
          <w:tcPr>
            <w:tcW w:w="16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68"/>
        </w:trPr>
        <w:tc>
          <w:tcPr>
            <w:tcW w:w="20" w:type="dxa"/>
            <w:vAlign w:val="bottom"/>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88"/>
              </w:rPr>
              <w:t>Amount of the</w:t>
            </w: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60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60" w:type="dxa"/>
            <w:vAlign w:val="bottom"/>
          </w:tcPr>
          <w:p>
            <w:pPr>
              <w:jc w:val="center"/>
              <w:ind w:right="312"/>
              <w:spacing w:after="0" w:line="148" w:lineRule="exact"/>
              <w:rPr>
                <w:sz w:val="20"/>
                <w:szCs w:val="20"/>
                <w:color w:val="auto"/>
              </w:rPr>
            </w:pPr>
            <w:r>
              <w:rPr>
                <w:rFonts w:ascii="Arial" w:cs="Arial" w:eastAsia="Arial" w:hAnsi="Arial"/>
                <w:sz w:val="14"/>
                <w:szCs w:val="14"/>
                <w:b w:val="1"/>
                <w:bCs w:val="1"/>
                <w:color w:val="auto"/>
                <w:w w:val="87"/>
              </w:rPr>
              <w:t>Title of Each Class of</w:t>
            </w:r>
          </w:p>
        </w:tc>
        <w:tc>
          <w:tcPr>
            <w:tcW w:w="122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3"/>
              </w:rPr>
              <w:t>Shares to be</w:t>
            </w:r>
          </w:p>
        </w:tc>
        <w:tc>
          <w:tcPr>
            <w:tcW w:w="1600" w:type="dxa"/>
            <w:vAlign w:val="bottom"/>
            <w:tcBorders>
              <w:right w:val="single" w:sz="8" w:color="auto"/>
            </w:tcBorders>
          </w:tcPr>
          <w:p>
            <w:pPr>
              <w:jc w:val="center"/>
              <w:ind w:left="34"/>
              <w:spacing w:after="0" w:line="148" w:lineRule="exact"/>
              <w:rPr>
                <w:sz w:val="20"/>
                <w:szCs w:val="20"/>
                <w:color w:val="auto"/>
              </w:rPr>
            </w:pPr>
            <w:r>
              <w:rPr>
                <w:rFonts w:ascii="Arial" w:cs="Arial" w:eastAsia="Arial" w:hAnsi="Arial"/>
                <w:sz w:val="14"/>
                <w:szCs w:val="14"/>
                <w:b w:val="1"/>
                <w:bCs w:val="1"/>
                <w:color w:val="auto"/>
                <w:w w:val="89"/>
              </w:rPr>
              <w:t>Offering Price Per</w:t>
            </w:r>
          </w:p>
        </w:tc>
        <w:tc>
          <w:tcPr>
            <w:tcW w:w="1600" w:type="dxa"/>
            <w:vAlign w:val="bottom"/>
            <w:tcBorders>
              <w:right w:val="single" w:sz="8" w:color="auto"/>
            </w:tcBorders>
          </w:tcPr>
          <w:p>
            <w:pPr>
              <w:jc w:val="center"/>
              <w:ind w:left="14"/>
              <w:spacing w:after="0" w:line="148"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34"/>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w w:val="84"/>
              </w:rPr>
              <w:t>Securities to be Registered</w:t>
            </w:r>
          </w:p>
        </w:tc>
        <w:tc>
          <w:tcPr>
            <w:tcW w:w="122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Registered</w:t>
            </w:r>
            <w:r>
              <w:rPr>
                <w:rFonts w:ascii="Arial" w:cs="Arial" w:eastAsia="Arial" w:hAnsi="Arial"/>
                <w:sz w:val="20"/>
                <w:szCs w:val="20"/>
                <w:b w:val="1"/>
                <w:bCs w:val="1"/>
                <w:color w:val="auto"/>
                <w:w w:val="88"/>
                <w:vertAlign w:val="superscript"/>
              </w:rPr>
              <w:t>(1)</w:t>
            </w:r>
          </w:p>
        </w:tc>
        <w:tc>
          <w:tcPr>
            <w:tcW w:w="1600" w:type="dxa"/>
            <w:vAlign w:val="bottom"/>
            <w:tcBorders>
              <w:bottom w:val="single" w:sz="8" w:color="auto"/>
              <w:right w:val="single" w:sz="8" w:color="auto"/>
            </w:tcBorders>
          </w:tcPr>
          <w:p>
            <w:pPr>
              <w:jc w:val="center"/>
              <w:ind w:left="34"/>
              <w:spacing w:after="0" w:line="176" w:lineRule="exact"/>
              <w:rPr>
                <w:sz w:val="20"/>
                <w:szCs w:val="20"/>
                <w:color w:val="auto"/>
              </w:rPr>
            </w:pPr>
            <w:r>
              <w:rPr>
                <w:rFonts w:ascii="Arial" w:cs="Arial" w:eastAsia="Arial" w:hAnsi="Arial"/>
                <w:sz w:val="13"/>
                <w:szCs w:val="13"/>
                <w:b w:val="1"/>
                <w:bCs w:val="1"/>
                <w:color w:val="auto"/>
                <w:w w:val="87"/>
              </w:rPr>
              <w:t>Share</w:t>
            </w:r>
            <w:r>
              <w:rPr>
                <w:rFonts w:ascii="Arial" w:cs="Arial" w:eastAsia="Arial" w:hAnsi="Arial"/>
                <w:sz w:val="20"/>
                <w:szCs w:val="20"/>
                <w:b w:val="1"/>
                <w:bCs w:val="1"/>
                <w:color w:val="auto"/>
                <w:w w:val="87"/>
                <w:vertAlign w:val="superscript"/>
              </w:rPr>
              <w:t>(2)</w:t>
            </w:r>
          </w:p>
        </w:tc>
        <w:tc>
          <w:tcPr>
            <w:tcW w:w="1600" w:type="dxa"/>
            <w:vAlign w:val="bottom"/>
            <w:tcBorders>
              <w:bottom w:val="single" w:sz="8" w:color="auto"/>
              <w:right w:val="single" w:sz="8" w:color="auto"/>
            </w:tcBorders>
          </w:tcPr>
          <w:p>
            <w:pPr>
              <w:jc w:val="center"/>
              <w:ind w:left="14"/>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(2)</w:t>
            </w:r>
          </w:p>
        </w:tc>
        <w:tc>
          <w:tcPr>
            <w:tcW w:w="1560" w:type="dxa"/>
            <w:vAlign w:val="bottom"/>
            <w:tcBorders>
              <w:bottom w:val="single" w:sz="8" w:color="auto"/>
            </w:tcBorders>
          </w:tcPr>
          <w:p>
            <w:pPr>
              <w:jc w:val="center"/>
              <w:ind w:left="14"/>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(3)</w:t>
            </w:r>
          </w:p>
        </w:tc>
      </w:tr>
      <w:tr>
        <w:trPr>
          <w:trHeight w:val="142"/>
        </w:trPr>
        <w:tc>
          <w:tcPr>
            <w:tcW w:w="2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22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5,060,000</w:t>
            </w:r>
          </w:p>
        </w:tc>
        <w:tc>
          <w:tcPr>
            <w:tcW w:w="160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83"/>
              </w:rPr>
              <w:t>$16.00</w:t>
            </w:r>
          </w:p>
        </w:tc>
        <w:tc>
          <w:tcPr>
            <w:tcW w:w="1600" w:type="dxa"/>
            <w:vAlign w:val="bottom"/>
            <w:tcBorders>
              <w:bottom w:val="single" w:sz="8" w:color="auto"/>
              <w:right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87"/>
              </w:rPr>
              <w:t>$80,960,000</w:t>
            </w:r>
          </w:p>
        </w:tc>
        <w:tc>
          <w:tcPr>
            <w:tcW w:w="1560" w:type="dxa"/>
            <w:vAlign w:val="bottom"/>
            <w:tcBorders>
              <w:bottom w:val="single" w:sz="8" w:color="auto"/>
            </w:tcBorders>
          </w:tcPr>
          <w:p>
            <w:pPr>
              <w:jc w:val="center"/>
              <w:ind w:left="34"/>
              <w:spacing w:after="0" w:line="142" w:lineRule="exact"/>
              <w:rPr>
                <w:sz w:val="20"/>
                <w:szCs w:val="20"/>
                <w:color w:val="auto"/>
              </w:rPr>
            </w:pPr>
            <w:r>
              <w:rPr>
                <w:rFonts w:ascii="Arial" w:cs="Arial" w:eastAsia="Arial" w:hAnsi="Arial"/>
                <w:sz w:val="14"/>
                <w:szCs w:val="14"/>
                <w:color w:val="auto"/>
                <w:w w:val="86"/>
              </w:rPr>
              <w:t>$8,152.68</w:t>
            </w: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shares of common stock that the underwriters have an option to purchase to cover any over-allotments, if any.</w:t>
      </w:r>
    </w:p>
    <w:p>
      <w:pPr>
        <w:ind w:left="34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457(a) under the Securities Act of 1933, as amended.</w:t>
      </w:r>
    </w:p>
    <w:p>
      <w:pPr>
        <w:ind w:left="340" w:right="28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 registration fee in the aggregate amount of $9,553.74 was previously paid by the registrant in connection with the filing of a Registration Statement on Form S-1 (Registration No. 333-194845), first filed on March 27, 2014 and subsequently withdrawn prior to the sale of any securities thereunder. Pursuant to Rule 457(p) under the Securities Act, the Registrant hereby applies $8,152.68 of the previously paid filing fee against amounts due herewith.</w:t>
      </w:r>
    </w:p>
    <w:p>
      <w:pPr>
        <w:spacing w:after="0" w:line="56" w:lineRule="exact"/>
        <w:rPr>
          <w:sz w:val="24"/>
          <w:szCs w:val="24"/>
          <w:color w:val="auto"/>
        </w:rPr>
      </w:pPr>
    </w:p>
    <w:p>
      <w:pPr>
        <w:ind w:right="1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As a result of filing an amended and restated certificate of incorporation with the Secretary of State for the State of Delaware on February 24, 2016 to effect the 1-for-1.25 reverse stock split, the Registrant is filing this Amendment No. 4 to its Registration Statement on Form S-1 (File No. 333-208861) (the “Registration Statement”) to reflect that the reverse stock split occurred on February 24, 2016, to file the unlegended audit opinion of Deloitte &amp; Touche LLP, to update Part II</w:t>
      </w:r>
    </w:p>
    <w:p>
      <w:pPr>
        <w:spacing w:after="0" w:line="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 Item 15 and to file the revised Exhibits 3.1 and 23.1. Unless otherwise indicated, all references to share numbers in the prospectus previously filed as part of Amendment No. 3 to the Registration Statement already reflected the effects of this reverse stock split.</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C062A"/>
        </w:rPr>
        <w:t>Subject to completion, dated February 26, 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194945</wp:posOffset>
            </wp:positionV>
            <wp:extent cx="1715135"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51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4,400,000 Shares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This is the initial public offering of shares of common stock of Syndax Pharmaceuticals, Inc. We are offering 4,400,000 shares of our common stock. Prior to this offering, there has been no public market for our common stock. We expect the initial public offering price to be between $14.00 and $16.00 per share. Our common stock has been approved for listing on the NASDAQ Global Select Market under the symbol “SNDX.”</w:t>
      </w:r>
    </w:p>
    <w:p>
      <w:pPr>
        <w:spacing w:after="0" w:line="10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and future filings.</w:t>
      </w:r>
    </w:p>
    <w:p>
      <w:pPr>
        <w:spacing w:after="0" w:line="113" w:lineRule="exact"/>
        <w:rPr>
          <w:sz w:val="20"/>
          <w:szCs w:val="20"/>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a high degree of risk. See “</w:t>
      </w:r>
      <w:hyperlink w:anchor="page14">
        <w:r>
          <w:rPr>
            <w:rFonts w:ascii="Arial" w:cs="Arial" w:eastAsia="Arial" w:hAnsi="Arial"/>
            <w:sz w:val="19"/>
            <w:szCs w:val="19"/>
            <w:b w:val="1"/>
            <w:bCs w:val="1"/>
            <w:u w:val="single" w:color="auto"/>
            <w:color w:val="0000EE"/>
          </w:rPr>
          <w:t>Risk Factors</w:t>
        </w:r>
        <w:r>
          <w:rPr>
            <w:rFonts w:ascii="Arial" w:cs="Arial" w:eastAsia="Arial" w:hAnsi="Arial"/>
            <w:sz w:val="19"/>
            <w:szCs w:val="19"/>
            <w:b w:val="1"/>
            <w:bCs w:val="1"/>
            <w:u w:val="single" w:color="auto"/>
            <w:color w:val="auto"/>
          </w:rPr>
          <w:t xml:space="preserve"> </w:t>
        </w:r>
      </w:hyperlink>
      <w:r>
        <w:rPr>
          <w:rFonts w:ascii="Arial" w:cs="Arial" w:eastAsia="Arial" w:hAnsi="Arial"/>
          <w:sz w:val="19"/>
          <w:szCs w:val="19"/>
          <w:b w:val="1"/>
          <w:bCs w:val="1"/>
          <w:color w:val="auto"/>
        </w:rPr>
        <w:t>” beginning on page 10 of this prospectus.</w:t>
      </w:r>
    </w:p>
    <w:p>
      <w:pPr>
        <w:spacing w:after="0" w:line="20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740" w:type="dxa"/>
            <w:vAlign w:val="bottom"/>
            <w:gridSpan w:val="3"/>
          </w:tcPr>
          <w:p>
            <w:pPr>
              <w:ind w:left="360"/>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4"/>
                <w:szCs w:val="14"/>
                <w:color w:val="auto"/>
              </w:rPr>
            </w:pP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3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1140" w:type="dxa"/>
            <w:vAlign w:val="bottom"/>
            <w:gridSpan w:val="2"/>
          </w:tcPr>
          <w:p>
            <w:pPr>
              <w:jc w:val="right"/>
              <w:ind w:right="59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140" w:type="dxa"/>
            <w:vAlign w:val="bottom"/>
            <w:gridSpan w:val="2"/>
            <w:shd w:val="clear" w:color="auto" w:fill="CCEEFF"/>
          </w:tcPr>
          <w:p>
            <w:pPr>
              <w:jc w:val="right"/>
              <w:ind w:right="59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6360" w:type="dxa"/>
            <w:vAlign w:val="bottom"/>
            <w:gridSpan w:val="2"/>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82"/>
        </w:trPr>
        <w:tc>
          <w:tcPr>
            <w:tcW w:w="7520" w:type="dxa"/>
            <w:vAlign w:val="bottom"/>
            <w:gridSpan w:val="3"/>
          </w:tcPr>
          <w:p>
            <w:pPr>
              <w:spacing w:after="0"/>
              <w:rPr>
                <w:sz w:val="20"/>
                <w:szCs w:val="20"/>
                <w:color w:val="auto"/>
              </w:rPr>
            </w:pPr>
            <w:r>
              <w:rPr>
                <w:rFonts w:ascii="Arial" w:cs="Arial" w:eastAsia="Arial" w:hAnsi="Arial"/>
                <w:sz w:val="14"/>
                <w:szCs w:val="14"/>
                <w:color w:val="auto"/>
              </w:rPr>
              <w:t>(1)   See “Underwriting” for a description of the compensation payable to the underwriters.</w:t>
            </w: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57"/>
        </w:trPr>
        <w:tc>
          <w:tcPr>
            <w:tcW w:w="7520" w:type="dxa"/>
            <w:vAlign w:val="bottom"/>
            <w:gridSpan w:val="3"/>
          </w:tcPr>
          <w:p>
            <w:pPr>
              <w:spacing w:after="0"/>
              <w:rPr>
                <w:sz w:val="20"/>
                <w:szCs w:val="20"/>
                <w:color w:val="auto"/>
              </w:rPr>
            </w:pPr>
            <w:r>
              <w:rPr>
                <w:rFonts w:ascii="Arial" w:cs="Arial" w:eastAsia="Arial" w:hAnsi="Arial"/>
                <w:sz w:val="18"/>
                <w:szCs w:val="18"/>
                <w:color w:val="auto"/>
                <w:w w:val="92"/>
              </w:rPr>
              <w:t>Delivery of the shares of common stock purchased in this offering is expected to be made on or about</w:t>
            </w:r>
          </w:p>
        </w:tc>
        <w:tc>
          <w:tcPr>
            <w:tcW w:w="380" w:type="dxa"/>
            <w:vAlign w:val="bottom"/>
          </w:tcPr>
          <w:p>
            <w:pPr>
              <w:spacing w:after="0"/>
              <w:rPr>
                <w:sz w:val="24"/>
                <w:szCs w:val="24"/>
                <w:color w:val="auto"/>
              </w:rPr>
            </w:pPr>
          </w:p>
        </w:tc>
        <w:tc>
          <w:tcPr>
            <w:tcW w:w="3260" w:type="dxa"/>
            <w:vAlign w:val="bottom"/>
            <w:gridSpan w:val="6"/>
          </w:tcPr>
          <w:p>
            <w:pPr>
              <w:ind w:left="160"/>
              <w:spacing w:after="0"/>
              <w:rPr>
                <w:sz w:val="20"/>
                <w:szCs w:val="20"/>
                <w:color w:val="auto"/>
              </w:rPr>
            </w:pPr>
            <w:r>
              <w:rPr>
                <w:rFonts w:ascii="Arial" w:cs="Arial" w:eastAsia="Arial" w:hAnsi="Arial"/>
                <w:sz w:val="18"/>
                <w:szCs w:val="18"/>
                <w:color w:val="auto"/>
                <w:w w:val="86"/>
              </w:rPr>
              <w:t>, 2016. We have granted the underwriters an</w:t>
            </w:r>
          </w:p>
        </w:tc>
      </w:tr>
      <w:tr>
        <w:trPr>
          <w:trHeight w:val="222"/>
        </w:trPr>
        <w:tc>
          <w:tcPr>
            <w:tcW w:w="9260" w:type="dxa"/>
            <w:vAlign w:val="bottom"/>
            <w:gridSpan w:val="6"/>
          </w:tcPr>
          <w:p>
            <w:pPr>
              <w:spacing w:after="0"/>
              <w:rPr>
                <w:sz w:val="20"/>
                <w:szCs w:val="20"/>
                <w:color w:val="auto"/>
              </w:rPr>
            </w:pPr>
            <w:r>
              <w:rPr>
                <w:rFonts w:ascii="Arial" w:cs="Arial" w:eastAsia="Arial" w:hAnsi="Arial"/>
                <w:sz w:val="18"/>
                <w:szCs w:val="18"/>
                <w:color w:val="auto"/>
                <w:w w:val="89"/>
              </w:rPr>
              <w:t>option for a period of 30 days to purchase up to 660,000 additional shares of common stock solely to cover over-allotments, if any.</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Citigroup</w:t>
      </w:r>
    </w:p>
    <w:p>
      <w:pPr>
        <w:spacing w:after="0" w:line="200" w:lineRule="exact"/>
        <w:rPr>
          <w:sz w:val="20"/>
          <w:szCs w:val="20"/>
          <w:color w:val="auto"/>
        </w:rPr>
      </w:pPr>
    </w:p>
    <w:p>
      <w:pPr>
        <w:sectPr>
          <w:pgSz w:w="11900" w:h="16838" w:orient="portrait"/>
          <w:cols w:equalWidth="0" w:num="2">
            <w:col w:w="9360" w:space="720"/>
            <w:col w:w="13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JMP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Oppenheimer &amp; Co.</w:t>
      </w:r>
    </w:p>
    <w:p>
      <w:pPr>
        <w:spacing w:after="0" w:line="200" w:lineRule="exact"/>
        <w:rPr>
          <w:sz w:val="20"/>
          <w:szCs w:val="20"/>
          <w:color w:val="auto"/>
        </w:rPr>
      </w:pPr>
    </w:p>
    <w:p>
      <w:pPr>
        <w:sectPr>
          <w:pgSz w:w="11900" w:h="16838" w:orient="portrait"/>
          <w:cols w:equalWidth="0" w:num="2">
            <w:col w:w="8600" w:space="720"/>
            <w:col w:w="2100"/>
          </w:cols>
          <w:pgMar w:left="240" w:top="459" w:right="239" w:bottom="1440" w:gutter="0" w:footer="0" w:header="0"/>
          <w:type w:val="continuous"/>
        </w:sectPr>
      </w:pPr>
    </w:p>
    <w:p>
      <w:pPr>
        <w:spacing w:after="0" w:line="17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 2016</w:t>
      </w:r>
    </w:p>
    <w:p>
      <w:pPr>
        <w:sectPr>
          <w:pgSz w:w="11900" w:h="16838" w:orient="portrait"/>
          <w:cols w:equalWidth="0" w:num="2">
            <w:col w:w="5820" w:space="720"/>
            <w:col w:w="488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11"/>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9500" w:type="dxa"/>
            <w:vAlign w:val="bottom"/>
            <w:gridSpan w:val="12"/>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0000EE"/>
            </w:tcBorders>
            <w:gridSpan w:val="11"/>
            <w:vMerge w:val="continue"/>
          </w:tcPr>
          <w:p>
            <w:pPr>
              <w:spacing w:after="0"/>
              <w:rPr>
                <w:sz w:val="13"/>
                <w:szCs w:val="13"/>
                <w:color w:val="auto"/>
              </w:rPr>
            </w:pPr>
          </w:p>
        </w:tc>
        <w:tc>
          <w:tcPr>
            <w:tcW w:w="9500" w:type="dxa"/>
            <w:vAlign w:val="bottom"/>
            <w:gridSpan w:val="12"/>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4">
              <w:r>
                <w:rPr>
                  <w:rFonts w:ascii="Arial" w:cs="Arial" w:eastAsia="Arial" w:hAnsi="Arial"/>
                  <w:sz w:val="18"/>
                  <w:szCs w:val="18"/>
                  <w:color w:val="0000EE"/>
                  <w:w w:val="87"/>
                </w:rPr>
                <w:t>Risk Factors</w:t>
              </w:r>
            </w:hyperlink>
          </w:p>
        </w:tc>
        <w:tc>
          <w:tcPr>
            <w:tcW w:w="10100" w:type="dxa"/>
            <w:vAlign w:val="bottom"/>
            <w:gridSpan w:val="1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2">
              <w:r>
                <w:rPr>
                  <w:rFonts w:ascii="Arial" w:cs="Arial" w:eastAsia="Arial" w:hAnsi="Arial"/>
                  <w:sz w:val="18"/>
                  <w:szCs w:val="18"/>
                  <w:color w:val="0000EE"/>
                  <w:w w:val="88"/>
                </w:rPr>
                <w:t>Special Note Regarding Forward-Looking Statements and Industry Data</w:t>
              </w:r>
            </w:hyperlink>
          </w:p>
        </w:tc>
        <w:tc>
          <w:tcPr>
            <w:tcW w:w="59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Dividend Policy</w:t>
              </w:r>
            </w:hyperlink>
          </w:p>
        </w:tc>
        <w:tc>
          <w:tcPr>
            <w:tcW w:w="98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Capitalization</w:t>
              </w:r>
            </w:hyperlink>
          </w:p>
        </w:tc>
        <w:tc>
          <w:tcPr>
            <w:tcW w:w="100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9">
              <w:r>
                <w:rPr>
                  <w:rFonts w:ascii="Arial" w:cs="Arial" w:eastAsia="Arial" w:hAnsi="Arial"/>
                  <w:sz w:val="18"/>
                  <w:szCs w:val="18"/>
                  <w:color w:val="0000EE"/>
                  <w:w w:val="96"/>
                </w:rPr>
                <w:t>Dilution</w:t>
              </w:r>
            </w:hyperlink>
          </w:p>
        </w:tc>
        <w:tc>
          <w:tcPr>
            <w:tcW w:w="104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81">
              <w:r>
                <w:rPr>
                  <w:rFonts w:ascii="Arial" w:cs="Arial" w:eastAsia="Arial" w:hAnsi="Arial"/>
                  <w:sz w:val="18"/>
                  <w:szCs w:val="18"/>
                  <w:color w:val="0000EE"/>
                  <w:w w:val="84"/>
                </w:rPr>
                <w:t>Business</w:t>
              </w:r>
            </w:hyperlink>
          </w:p>
        </w:tc>
        <w:tc>
          <w:tcPr>
            <w:tcW w:w="5660" w:type="dxa"/>
            <w:vAlign w:val="bottom"/>
            <w:tcBorders>
              <w:top w:val="single" w:sz="8" w:color="0000EE"/>
            </w:tcBorders>
            <w:gridSpan w:val="19"/>
          </w:tcPr>
          <w:p>
            <w:pPr>
              <w:spacing w:after="0"/>
              <w:rPr>
                <w:sz w:val="17"/>
                <w:szCs w:val="17"/>
                <w:color w:val="auto"/>
              </w:rPr>
            </w:pPr>
          </w:p>
        </w:tc>
        <w:tc>
          <w:tcPr>
            <w:tcW w:w="4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34">
              <w:r>
                <w:rPr>
                  <w:rFonts w:ascii="Arial" w:cs="Arial" w:eastAsia="Arial" w:hAnsi="Arial"/>
                  <w:sz w:val="18"/>
                  <w:szCs w:val="18"/>
                  <w:color w:val="0000EE"/>
                  <w:w w:val="88"/>
                </w:rPr>
                <w:t>Executive and Director Compensation</w:t>
              </w:r>
            </w:hyperlink>
          </w:p>
        </w:tc>
        <w:tc>
          <w:tcPr>
            <w:tcW w:w="83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Certain Relationships and Related Party Transactions</w:t>
              </w:r>
            </w:hyperlink>
          </w:p>
        </w:tc>
        <w:tc>
          <w:tcPr>
            <w:tcW w:w="7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149</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8">
              <w:r>
                <w:rPr>
                  <w:rFonts w:ascii="Arial" w:cs="Arial" w:eastAsia="Arial" w:hAnsi="Arial"/>
                  <w:sz w:val="18"/>
                  <w:szCs w:val="18"/>
                  <w:color w:val="0000EE"/>
                  <w:w w:val="90"/>
                </w:rPr>
                <w:t>Description of Capital Stock</w:t>
              </w:r>
            </w:hyperlink>
          </w:p>
        </w:tc>
        <w:tc>
          <w:tcPr>
            <w:tcW w:w="89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164</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74">
              <w:r>
                <w:rPr>
                  <w:rFonts w:ascii="Arial" w:cs="Arial" w:eastAsia="Arial" w:hAnsi="Arial"/>
                  <w:sz w:val="18"/>
                  <w:szCs w:val="18"/>
                  <w:color w:val="0000EE"/>
                  <w:w w:val="88"/>
                </w:rPr>
                <w:t>Shares Eligible for Future Sale</w:t>
              </w:r>
            </w:hyperlink>
          </w:p>
        </w:tc>
        <w:tc>
          <w:tcPr>
            <w:tcW w:w="88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170</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Material U.S. Federal Income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173</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81">
              <w:r>
                <w:rPr>
                  <w:rFonts w:ascii="Arial" w:cs="Arial" w:eastAsia="Arial" w:hAnsi="Arial"/>
                  <w:sz w:val="18"/>
                  <w:szCs w:val="18"/>
                  <w:color w:val="0000EE"/>
                  <w:w w:val="93"/>
                </w:rPr>
                <w:t>Underwriting</w:t>
              </w:r>
            </w:hyperlink>
          </w:p>
        </w:tc>
        <w:tc>
          <w:tcPr>
            <w:tcW w:w="3980" w:type="dxa"/>
            <w:vAlign w:val="bottom"/>
            <w:tcBorders>
              <w:top w:val="single" w:sz="8" w:color="0000EE"/>
            </w:tcBorders>
            <w:gridSpan w:val="14"/>
          </w:tcPr>
          <w:p>
            <w:pPr>
              <w:spacing w:after="0"/>
              <w:rPr>
                <w:sz w:val="17"/>
                <w:szCs w:val="17"/>
                <w:color w:val="auto"/>
              </w:rPr>
            </w:pPr>
          </w:p>
        </w:tc>
        <w:tc>
          <w:tcPr>
            <w:tcW w:w="60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Experts</w:t>
              </w:r>
            </w:hyperlink>
          </w:p>
        </w:tc>
        <w:tc>
          <w:tcPr>
            <w:tcW w:w="1002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183</w:t>
            </w:r>
          </w:p>
        </w:tc>
        <w:tc>
          <w:tcPr>
            <w:tcW w:w="0" w:type="dxa"/>
            <w:vAlign w:val="bottom"/>
          </w:tcPr>
          <w:p>
            <w:pPr>
              <w:spacing w:after="0"/>
              <w:rPr>
                <w:sz w:val="1"/>
                <w:szCs w:val="1"/>
                <w:color w:val="auto"/>
              </w:rPr>
            </w:pPr>
          </w:p>
        </w:tc>
      </w:tr>
      <w:tr>
        <w:trPr>
          <w:trHeight w:val="20"/>
        </w:trPr>
        <w:tc>
          <w:tcPr>
            <w:tcW w:w="2800" w:type="dxa"/>
            <w:vAlign w:val="bottom"/>
            <w:gridSpan w:val="1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88">
              <w:r>
                <w:rPr>
                  <w:rFonts w:ascii="Arial" w:cs="Arial" w:eastAsia="Arial" w:hAnsi="Arial"/>
                  <w:sz w:val="18"/>
                  <w:szCs w:val="18"/>
                  <w:color w:val="0000EE"/>
                  <w:w w:val="88"/>
                </w:rPr>
                <w:t>Index to Consolidated Financial Statements</w:t>
              </w:r>
            </w:hyperlink>
          </w:p>
        </w:tc>
        <w:tc>
          <w:tcPr>
            <w:tcW w:w="79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shares of our common stock, and seeking offers to buy shares of our common stock, only in jurisdictions where offers and sales are permitted. The information in this prospectus is complete and accurate only as of the date on the front cover of this prospectus, regardless of the time of delivery of this prospectus or any sale of shares of our common stock.</w:t>
      </w:r>
    </w:p>
    <w:p>
      <w:pPr>
        <w:spacing w:after="0" w:line="1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Until and including , 2016 (25 days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shares of our common stock and the distribution of this prospectus outside the United States.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“Syndax,” “the company,” “we,” “us,” “our” and similar references refer to Syndax Pharmaceuticals, Inc. and our wholly owned subsidiary. “Syndax” is a registered trademark and the “Syndax” and “Syndax Pharmaceuticals” logos are unregistered trademarks of the company. This prospectus also contains registered marks, trademarks and trade names of other companies. All other trademarks, registered marks and trade names appearing in this prospectus are the property of their respective 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020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020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and is qualified in its entirety by the more detailed information and consolidated financial statements and related notes thereto included elsewhere in this prospectus. This summary does not contain all of the information you should consider before investing in our common stock. Before you decide to invest in our common stock, you should read and carefully consider the following summary together with the entire prospectus, including our consolidated financial statements and the related notes thereto included elsewhere in this prospectus and the matters discussed in the sections titled “Risk Factors,” “Selected Consolidated Financial Data” and “Management’s Discussion and Analysis of Financial Condition and Results of Operations.” Some of the statements in this prospectus constitute forward-looking statements that involve risks and uncertainties. See the section titled “Special Note Regarding Forward-Looking Statements and Industry Data.” Our actual results could differ materially from those anticipated in such forward-looking statements as a result of certain factors, including those discussed in the section titled “Risk Factors” and other sections of this prospectus.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 xml:space="preserve">We are a clinical stage biopharmaceutical company developing entinostat as a combination therapy in multiple cancer indications with our initial focus on tumors that have shown sensitivity to immunotherapy, including lung cancer, melanoma, ovarian cancer and triple negative breast cancer, or TNBC. Entinostat is our oral, small molecule drug candidate that has direct effects on both cancer cells and immune regulatory cells, potentially enhancing the body’s immune response to tumors. The favorable safety profile of entinostat has been demonstrated in clinical trials in more than 900 cancer patients. We are currently evaluating entinostat in combination with </w:t>
      </w:r>
      <w:r>
        <w:rPr>
          <w:rFonts w:ascii="Arial" w:cs="Arial" w:eastAsia="Arial" w:hAnsi="Arial"/>
          <w:sz w:val="16"/>
          <w:szCs w:val="16"/>
          <w:i w:val="1"/>
          <w:iCs w:val="1"/>
          <w:color w:val="auto"/>
        </w:rPr>
        <w:t>Keytruda</w:t>
      </w:r>
      <w:r>
        <w:rPr>
          <w:rFonts w:ascii="Arial" w:cs="Arial" w:eastAsia="Arial" w:hAnsi="Arial"/>
          <w:sz w:val="10"/>
          <w:szCs w:val="10"/>
          <w:color w:val="auto"/>
        </w:rPr>
        <w:t>®</w:t>
      </w:r>
      <w:r>
        <w:rPr>
          <w:rFonts w:ascii="Arial" w:cs="Arial" w:eastAsia="Arial" w:hAnsi="Arial"/>
          <w:sz w:val="16"/>
          <w:szCs w:val="16"/>
          <w:color w:val="auto"/>
        </w:rPr>
        <w:t xml:space="preserve"> (pembrolizumab) in a Phase 1b/2 clinical trial for non-small cell lung cancer, or NSCLC, and melanoma, and we plan to initiate a Phase 1b/2 clinical trial for entinostat in combination with atezolizumab in TNBC in the first half of 2016 and a Phase 1b/2 clinical trial for entinostat in combination with avelumab in ovarian cancer in the second half of 2016. We believe that, based on its mechanism of action, entinostat may have broad applications in additional tumor types, including head and neck, bladder and renal cell, which are immuno-responsive, or sensitive to immunotherapy.</w:t>
      </w:r>
    </w:p>
    <w:p>
      <w:pPr>
        <w:spacing w:after="0" w:line="120" w:lineRule="exact"/>
        <w:rPr>
          <w:sz w:val="20"/>
          <w:szCs w:val="20"/>
          <w:color w:val="auto"/>
        </w:rPr>
      </w:pPr>
    </w:p>
    <w:p>
      <w:pPr>
        <w:jc w:val="both"/>
        <w:ind w:left="200" w:right="80" w:firstLine="443"/>
        <w:spacing w:after="0" w:line="306" w:lineRule="auto"/>
        <w:rPr>
          <w:sz w:val="20"/>
          <w:szCs w:val="20"/>
          <w:color w:val="auto"/>
        </w:rPr>
      </w:pPr>
      <w:r>
        <w:rPr>
          <w:rFonts w:ascii="Arial" w:cs="Arial" w:eastAsia="Arial" w:hAnsi="Arial"/>
          <w:sz w:val="16"/>
          <w:szCs w:val="16"/>
          <w:color w:val="auto"/>
        </w:rPr>
        <w:t xml:space="preserve">We are also developing entinostat for use in advanced hormone receptor positive, or HR+, breast cancer. Following positive results from our Phase 2b clinical trial, ENCORE 301, entinostat in combination with </w:t>
      </w:r>
      <w:r>
        <w:rPr>
          <w:rFonts w:ascii="Arial" w:cs="Arial" w:eastAsia="Arial" w:hAnsi="Arial"/>
          <w:sz w:val="16"/>
          <w:szCs w:val="16"/>
          <w:i w:val="1"/>
          <w:iCs w:val="1"/>
          <w:color w:val="auto"/>
        </w:rPr>
        <w:t>Aromasin</w:t>
      </w:r>
      <w:r>
        <w:rPr>
          <w:rFonts w:ascii="Arial" w:cs="Arial" w:eastAsia="Arial" w:hAnsi="Arial"/>
          <w:sz w:val="10"/>
          <w:szCs w:val="10"/>
          <w:color w:val="auto"/>
        </w:rPr>
        <w:t>®</w:t>
      </w:r>
      <w:r>
        <w:rPr>
          <w:rFonts w:ascii="Arial" w:cs="Arial" w:eastAsia="Arial" w:hAnsi="Arial"/>
          <w:sz w:val="16"/>
          <w:szCs w:val="16"/>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0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Immuno-oncology is an emerging field of cancer medicine that has focused on the development of therapeutic approaches designed to activate the immune system to find and destroy cancer cells. Many tumors have the ability to evade the immune system through direct cellular interactions and recruitment of immuno-suppressive cells to the area surrounding the tumor. One such evasion mechanism is through the expression of proteins known as checkpoint proteins, such as programmed cell death protein ligand 1, or PDL-1, on the cancer cell surface. These checkpoint proteins bind to a corresponding receptor known as programmed cell death protein 1, or PD-1, which is expressed on particular immune cells known as cytotoxic T cells. Through this binding process, cytotoxic T cells are blocked from killing cancer cells. Antibodies known as immune checkpoint inhibitors block the interaction between PD-1 and PDL-1 to restore the ability of cytotoxic T cells to kill cancer cells and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15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8152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have shown significant clinical benefit in treating certain cancers. We believe that entinostat acts on a different tumor-evasion mechanism than is targeted by most other immunotherapies in development. Instead of focusing on the interaction between the T cell and the tumor, entinostat has been observed to decrease the population of immuno-suppressive cells known as myeloid-derived suppressor cells, or MDSCs, and regulatory T cells, or Tregs, which localize in the area surrounding the tumor and block T cells from killing cancer cells.</w:t>
      </w:r>
    </w:p>
    <w:p>
      <w:pPr>
        <w:spacing w:after="0" w:line="143"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We believe entinostat, a Class 1-specific histone deacetylase, or HDAC, inhibitor, is the therapy most advanced in development that can directly reduce both the number and activity of MDSCs and Tregs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 Through this important effect on MDSCs and Tregs, entinostat has the potential to be used synergistically with therapies working to stimulate the immune system. The long half-life of entinostat allows for continuous exposure to therapy potentially resulting in positive immuno-modulatory effects without corresponding cytotoxic effects. Another benefit of entinostat’s long half-life is the potential to minimize the frequency of dosing and reduce the severity and frequency of adverse events. We believe entinostat’s well-characterized safety profile and mechanism of action allows it to be readily combined with, and thereby enhance the activity of, conventional and novel cancer therapies, such as immune checkpoint inhibitors, hormone therapies and chemotherapies.</w:t>
      </w:r>
    </w:p>
    <w:p>
      <w:pPr>
        <w:spacing w:after="0" w:line="120" w:lineRule="exact"/>
        <w:rPr>
          <w:sz w:val="20"/>
          <w:szCs w:val="20"/>
          <w:color w:val="auto"/>
        </w:rPr>
      </w:pPr>
    </w:p>
    <w:p>
      <w:pPr>
        <w:ind w:left="200" w:firstLine="443"/>
        <w:spacing w:after="0" w:line="285" w:lineRule="auto"/>
        <w:rPr>
          <w:sz w:val="20"/>
          <w:szCs w:val="20"/>
          <w:color w:val="auto"/>
        </w:rPr>
      </w:pPr>
      <w:r>
        <w:rPr>
          <w:rFonts w:ascii="Arial" w:cs="Arial" w:eastAsia="Arial" w:hAnsi="Arial"/>
          <w:sz w:val="16"/>
          <w:szCs w:val="16"/>
          <w:color w:val="auto"/>
        </w:rPr>
        <w:t xml:space="preserve">Entinostat is currently being studied in clinical trials across a broad range of solid tumors, including breast cancer, NSCLC, renal cell carcinoma and ovarian cancer. We are working in collaboration with Merck &amp; Co. Inc., or Merck, to study the combination of entinostat with Merck’s immune checkpoint inhibitor,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a Phase 1b/2 clinical trial, ENCORE 601, of up to 178 patients with NSCLC or melanoma. Patient enrollment was initiated in the Phase 1b portion of the clinical trial in August 2015, which will evaluate the safety and tolerability of the combination of entinostat and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and the Phase 2 portion of the clinical trial will assess the efficacy of entinostat combined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either NSCLC or melanoma. We have also entered into a collaboration with Genentech, Inc., or Genentech, to evaluate the safety, tolerability and preliminary efficacy of entinostat in combination with Genentech’s investigational immune checkpoint inhibitor, atezolizumab, in a Phase 1b/2 clinical trial, ENCORE 602, of patients with TNBC. We have also entered into a collaboration with Ares Trading S.A., a subsidiary of Merck KGaA, Darmstadt, Germany, or Merck KGaA, and Pfizer Inc. to evaluate the safety, tolerability and preliminary efficacy of entinostat in combination with an investigational monoclonal antibody targeting PDL-1, avelumab, in a Phase 1b/2 clinical trial, ENCORE 603, of patients with ovarian cancer. Avelumab is the proposed International Non-proprietary Name for the anti-PDL-1 IgG1 monoclonal antibody (MSB0010718C). Additionally, entinostat is being evaluated in two ongoing and one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128" w:lineRule="exact"/>
        <w:rPr>
          <w:sz w:val="20"/>
          <w:szCs w:val="20"/>
          <w:color w:val="auto"/>
        </w:rPr>
      </w:pPr>
    </w:p>
    <w:p>
      <w:pPr>
        <w:ind w:left="200" w:right="460" w:firstLine="443"/>
        <w:spacing w:after="0" w:line="306" w:lineRule="auto"/>
        <w:rPr>
          <w:sz w:val="20"/>
          <w:szCs w:val="20"/>
          <w:color w:val="auto"/>
        </w:rPr>
      </w:pPr>
      <w:r>
        <w:rPr>
          <w:rFonts w:ascii="Arial" w:cs="Arial" w:eastAsia="Arial" w:hAnsi="Arial"/>
          <w:sz w:val="16"/>
          <w:szCs w:val="16"/>
          <w:color w:val="auto"/>
        </w:rPr>
        <w:t xml:space="preserve">We are also providing financial and operational support for an ongoing Phase 3 clinical trial in advanced HR+ breast cancer in combination with </w:t>
      </w:r>
      <w:r>
        <w:rPr>
          <w:rFonts w:ascii="Arial" w:cs="Arial" w:eastAsia="Arial" w:hAnsi="Arial"/>
          <w:sz w:val="16"/>
          <w:szCs w:val="16"/>
          <w:i w:val="1"/>
          <w:iCs w:val="1"/>
          <w:color w:val="auto"/>
        </w:rPr>
        <w:t xml:space="preserve">Aromasin. </w:t>
      </w:r>
      <w:r>
        <w:rPr>
          <w:rFonts w:ascii="Arial" w:cs="Arial" w:eastAsia="Arial" w:hAnsi="Arial"/>
          <w:sz w:val="16"/>
          <w:szCs w:val="16"/>
          <w:color w:val="auto"/>
        </w:rPr>
        <w:t>Eastern Cooperative Oncology Group-American College of Radiology Imaging Network Cancer Research Group, or ECOG-ACRIN, is</w:t>
      </w:r>
      <w:r>
        <w:rPr>
          <w:rFonts w:ascii="Arial" w:cs="Arial" w:eastAsia="Arial" w:hAnsi="Arial"/>
          <w:sz w:val="16"/>
          <w:szCs w:val="16"/>
          <w:i w:val="1"/>
          <w:iCs w:val="1"/>
          <w:color w:val="auto"/>
        </w:rPr>
        <w:t xml:space="preserve"> </w:t>
      </w:r>
      <w:r>
        <w:rPr>
          <w:rFonts w:ascii="Arial" w:cs="Arial" w:eastAsia="Arial" w:hAnsi="Arial"/>
          <w:sz w:val="16"/>
          <w:szCs w:val="16"/>
          <w:color w:val="auto"/>
        </w:rPr>
        <w:t>conducting this clinical trial under sponsorship and funding support from the National Cancer Institute,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1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741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spacing w:after="0" w:line="306" w:lineRule="auto"/>
        <w:rPr>
          <w:sz w:val="20"/>
          <w:szCs w:val="20"/>
          <w:color w:val="auto"/>
        </w:rPr>
      </w:pPr>
      <w:r>
        <w:rPr>
          <w:rFonts w:ascii="Arial" w:cs="Arial" w:eastAsia="Arial" w:hAnsi="Arial"/>
          <w:sz w:val="16"/>
          <w:szCs w:val="16"/>
          <w:color w:val="auto"/>
        </w:rPr>
        <w:t xml:space="preserve">or NCI. The Phase 3 clinical trial is designed to determine whether the addition of entinostat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improves progression-free survival, or PFS, overall survival, or both in patients who have previously progressed after treatment with standard-of-care hormonal agents. We believe that the submission of the results of the Phase 3 clinical trial, if successful, would be sufficient for regulatory approval of entinostat in the United States.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Clinical Development Programs of Entinostat</w:t>
      </w:r>
    </w:p>
    <w:p>
      <w:pPr>
        <w:spacing w:after="0" w:line="177" w:lineRule="exact"/>
        <w:rPr>
          <w:sz w:val="20"/>
          <w:szCs w:val="20"/>
          <w:color w:val="auto"/>
        </w:rPr>
      </w:pPr>
    </w:p>
    <w:p>
      <w:pPr>
        <w:ind w:left="200" w:right="180" w:firstLine="443"/>
        <w:spacing w:after="0" w:line="332" w:lineRule="auto"/>
        <w:rPr>
          <w:sz w:val="20"/>
          <w:szCs w:val="20"/>
          <w:color w:val="auto"/>
        </w:rPr>
      </w:pPr>
      <w:r>
        <w:rPr>
          <w:rFonts w:ascii="Arial" w:cs="Arial" w:eastAsia="Arial" w:hAnsi="Arial"/>
          <w:sz w:val="16"/>
          <w:szCs w:val="16"/>
          <w:color w:val="auto"/>
        </w:rPr>
        <w:t>The following table sets forth information pertaining to the clinical trials for entinostat with our initial focus on advancing ENCORE 601, ENCORE 602 and ENCORE 603 in immuno-oncology and E2112, our collaboration with ECOG-ACRIN and the NCI, in advanced HR+ breast cancer.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are focused on developing entinostat for use in multiple cancer indications in combination with complementary therapeutic drugs. Key elements of our strategy include:</w:t>
      </w:r>
    </w:p>
    <w:p>
      <w:pPr>
        <w:spacing w:after="0" w:line="51" w:lineRule="exact"/>
        <w:rPr>
          <w:sz w:val="20"/>
          <w:szCs w:val="20"/>
          <w:color w:val="auto"/>
        </w:rPr>
      </w:pPr>
    </w:p>
    <w:p>
      <w:pPr>
        <w:ind w:left="1180" w:hanging="321"/>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establish entinostat as the combination therapy of choice with immune checkpoint inhibitors, initially PD-1 and PDL-1 inhibitors;</w:t>
      </w:r>
    </w:p>
    <w:p>
      <w:pPr>
        <w:spacing w:after="0" w:line="113" w:lineRule="exact"/>
        <w:rPr>
          <w:rFonts w:ascii="Arial" w:cs="Arial" w:eastAsia="Arial" w:hAnsi="Arial"/>
          <w:sz w:val="16"/>
          <w:szCs w:val="16"/>
          <w:color w:val="auto"/>
        </w:rPr>
      </w:pPr>
    </w:p>
    <w:p>
      <w:pPr>
        <w:ind w:left="1180" w:hanging="321"/>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regulatory approval of entinostat in indications with significant unmet need and commercial potential;</w:t>
      </w:r>
    </w:p>
    <w:p>
      <w:pPr>
        <w:spacing w:after="0" w:line="90" w:lineRule="exact"/>
        <w:rPr>
          <w:rFonts w:ascii="Arial" w:cs="Arial" w:eastAsia="Arial" w:hAnsi="Arial"/>
          <w:sz w:val="18"/>
          <w:szCs w:val="18"/>
          <w:color w:val="auto"/>
        </w:rPr>
      </w:pPr>
    </w:p>
    <w:p>
      <w:pPr>
        <w:ind w:left="1180" w:hanging="321"/>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continue to develop and obtain regulatory approval for entinostat in combination with hormone therapy in advanced HR+ breast cancer; and</w:t>
      </w:r>
    </w:p>
    <w:p>
      <w:pPr>
        <w:spacing w:after="0" w:line="113" w:lineRule="exact"/>
        <w:rPr>
          <w:rFonts w:ascii="Arial" w:cs="Arial" w:eastAsia="Arial" w:hAnsi="Arial"/>
          <w:sz w:val="16"/>
          <w:szCs w:val="16"/>
          <w:color w:val="auto"/>
        </w:rPr>
      </w:pPr>
    </w:p>
    <w:p>
      <w:pPr>
        <w:ind w:left="1180" w:right="220" w:hanging="321"/>
        <w:spacing w:after="0" w:line="268"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the technical and business expertise of our management team and scientific collaborators to license, acquire and develop additional cancer therapies to expand our pipeline.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240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240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77"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color w:val="auto"/>
        </w:rPr>
        <w:t>Our ability to implement our business strategy is subject to numerous risks and uncertainties. As a late-stage biopharmaceutical company, we face many risks inherent in our business and our industry generally. You should carefully consider all of the information set forth in this prospectus and, in particular, the information in the section titled “Risk Factors,” prior to making an investment in our common stock. These risks include, among others, the following:</w:t>
      </w:r>
    </w:p>
    <w:p>
      <w:pPr>
        <w:spacing w:after="0" w:line="184" w:lineRule="exact"/>
        <w:rPr>
          <w:sz w:val="20"/>
          <w:szCs w:val="20"/>
          <w:color w:val="auto"/>
        </w:rPr>
      </w:pPr>
    </w:p>
    <w:p>
      <w:pPr>
        <w:ind w:left="1180" w:hanging="321"/>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source of product revenue, may never achieve or maintain profitability, have incurred net losses since our inception and anticipate that we will continue to incur net losses for the foreseeable future.</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require additional capital to finance our planned operations, which may not be available to us on acceptable terms, or at all.</w:t>
      </w:r>
    </w:p>
    <w:p>
      <w:pPr>
        <w:spacing w:after="0" w:line="113" w:lineRule="exact"/>
        <w:rPr>
          <w:rFonts w:ascii="Arial" w:cs="Arial" w:eastAsia="Arial" w:hAnsi="Arial"/>
          <w:sz w:val="16"/>
          <w:szCs w:val="16"/>
          <w:color w:val="auto"/>
        </w:rPr>
      </w:pPr>
    </w:p>
    <w:p>
      <w:pPr>
        <w:ind w:left="1180" w:right="520" w:hanging="321"/>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Entinostat currently is our only product candidate. If we are unable to successfully complete clinical development of, obtain regulatory approval for and commercialize entinostat, our business prospects will be significantly harmed.</w:t>
      </w:r>
    </w:p>
    <w:p>
      <w:pPr>
        <w:spacing w:after="0" w:line="50" w:lineRule="exact"/>
        <w:rPr>
          <w:rFonts w:ascii="Arial" w:cs="Arial" w:eastAsia="Arial" w:hAnsi="Arial"/>
          <w:sz w:val="18"/>
          <w:szCs w:val="18"/>
          <w:color w:val="auto"/>
        </w:rPr>
      </w:pPr>
    </w:p>
    <w:p>
      <w:pPr>
        <w:ind w:left="1180" w:hanging="321"/>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50" w:lineRule="exact"/>
        <w:rPr>
          <w:rFonts w:ascii="Arial" w:cs="Arial" w:eastAsia="Arial" w:hAnsi="Arial"/>
          <w:sz w:val="18"/>
          <w:szCs w:val="18"/>
          <w:color w:val="auto"/>
        </w:rPr>
      </w:pPr>
    </w:p>
    <w:p>
      <w:pPr>
        <w:ind w:left="1180" w:right="40" w:hanging="321"/>
        <w:spacing w:after="0" w:line="259"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59" w:lineRule="exact"/>
        <w:rPr>
          <w:rFonts w:ascii="Arial" w:cs="Arial" w:eastAsia="Arial" w:hAnsi="Arial"/>
          <w:sz w:val="18"/>
          <w:szCs w:val="18"/>
          <w:color w:val="auto"/>
        </w:rPr>
      </w:pPr>
    </w:p>
    <w:p>
      <w:pPr>
        <w:ind w:left="1180" w:hanging="321"/>
        <w:spacing w:after="0"/>
        <w:tabs>
          <w:tab w:leader="none" w:pos="118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are dependent on Merck, Genentech, Merck KGaA and Pfizer and any future collaborators to perform satisfactorily under our agreements.</w:t>
      </w:r>
    </w:p>
    <w:p>
      <w:pPr>
        <w:spacing w:after="0" w:line="124" w:lineRule="exact"/>
        <w:rPr>
          <w:rFonts w:ascii="Arial" w:cs="Arial" w:eastAsia="Arial" w:hAnsi="Arial"/>
          <w:sz w:val="15"/>
          <w:szCs w:val="15"/>
          <w:color w:val="auto"/>
        </w:rPr>
      </w:pPr>
    </w:p>
    <w:p>
      <w:pPr>
        <w:ind w:left="1180" w:right="220" w:hanging="321"/>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 consuming and inherently unpredictable. Our inability to obtain regulatory approval for entinostat could harm our business.</w:t>
      </w:r>
    </w:p>
    <w:p>
      <w:pPr>
        <w:spacing w:after="0" w:line="50" w:lineRule="exact"/>
        <w:rPr>
          <w:rFonts w:ascii="Arial" w:cs="Arial" w:eastAsia="Arial" w:hAnsi="Arial"/>
          <w:sz w:val="18"/>
          <w:szCs w:val="18"/>
          <w:color w:val="auto"/>
        </w:rPr>
      </w:pPr>
    </w:p>
    <w:p>
      <w:pPr>
        <w:ind w:left="1180" w:right="260" w:hanging="321"/>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90" w:lineRule="exact"/>
        <w:rPr>
          <w:rFonts w:ascii="Arial" w:cs="Arial" w:eastAsia="Arial" w:hAnsi="Arial"/>
          <w:sz w:val="18"/>
          <w:szCs w:val="18"/>
          <w:color w:val="auto"/>
        </w:rPr>
      </w:pPr>
    </w:p>
    <w:p>
      <w:pPr>
        <w:ind w:left="1180" w:right="320" w:hanging="321"/>
        <w:spacing w:after="0" w:line="332" w:lineRule="auto"/>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breach our license agreement with Bayer Pharma AG (formerly known as Bayer Schering Pharma AG) related to entinostat or if the license agreement is otherwise terminated, we could lose the ability to continue the development and commercialization of entinostat.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44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944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77"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were incorporated under the laws of the State of Delaware in October 2005. Our principal executive offices are located at 400 Totten Pond Road, Suite 110, Waltham, Massachusetts 02451, and our telephone number is (781) 419-1400. Our website address is www.syndax.com. Our website and the information contained on, or that can be accessed through, the website will not be deemed to be incorporated by reference in, and are not considered part of, this prospectus. You should not rely on any such information in making your decision to purchase our common stock.</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7"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a company with less than $1.0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1" w:lineRule="exact"/>
        <w:rPr>
          <w:sz w:val="20"/>
          <w:szCs w:val="20"/>
          <w:color w:val="auto"/>
        </w:rPr>
      </w:pPr>
    </w:p>
    <w:p>
      <w:pPr>
        <w:ind w:left="1180" w:right="18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in this prospectus;</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on the effectiveness of our internal control over financial reporting;</w:t>
      </w:r>
    </w:p>
    <w:p>
      <w:pPr>
        <w:spacing w:after="0" w:line="113" w:lineRule="exact"/>
        <w:rPr>
          <w:rFonts w:ascii="Arial" w:cs="Arial" w:eastAsia="Arial" w:hAnsi="Arial"/>
          <w:sz w:val="16"/>
          <w:szCs w:val="16"/>
          <w:color w:val="auto"/>
        </w:rPr>
      </w:pPr>
    </w:p>
    <w:p>
      <w:pPr>
        <w:ind w:left="1180" w:right="100" w:hanging="321"/>
        <w:spacing w:after="0" w:line="332"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4" w:lineRule="exact"/>
        <w:rPr>
          <w:rFonts w:ascii="Arial" w:cs="Arial" w:eastAsia="Arial" w:hAnsi="Arial"/>
          <w:sz w:val="16"/>
          <w:szCs w:val="16"/>
          <w:color w:val="auto"/>
        </w:rPr>
      </w:pPr>
    </w:p>
    <w:p>
      <w:pPr>
        <w:ind w:left="1180" w:hanging="3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disclosure about the company’s executive compensation arrangements; and</w:t>
      </w:r>
    </w:p>
    <w:p>
      <w:pPr>
        <w:spacing w:after="0" w:line="90" w:lineRule="exact"/>
        <w:rPr>
          <w:rFonts w:ascii="Arial" w:cs="Arial" w:eastAsia="Arial" w:hAnsi="Arial"/>
          <w:sz w:val="18"/>
          <w:szCs w:val="18"/>
          <w:color w:val="auto"/>
        </w:rPr>
      </w:pPr>
    </w:p>
    <w:p>
      <w:pPr>
        <w:ind w:left="1180" w:right="8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w:t>
      </w:r>
    </w:p>
    <w:p>
      <w:pPr>
        <w:spacing w:after="0" w:line="132"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if we have more than $1.0 billion in annual revenues, have more than $700 million in market value of our capital stock held by non-affiliates, or issue more than $1.0 billion of non-convertible debt over a three-year period. We may choose to take advantage of some, but not all, of the available benefits under the JOBS Act. We have taken advantage of some reduced reporting burdens in this prospectus. Accordingly, the information contained herein may be different than the information you receive from other public companies in which you hold stock.</w:t>
      </w:r>
    </w:p>
    <w:p>
      <w:pPr>
        <w:spacing w:after="0" w:line="11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delayed adoption of new or revised accounting standards and, therefore, we will be subject to the same requirements to adopt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24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40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140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Common stock to be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4,400,000 shares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60" w:lineRule="exact"/>
        <w:rPr>
          <w:sz w:val="20"/>
          <w:szCs w:val="20"/>
          <w:color w:val="auto"/>
        </w:rPr>
      </w:pPr>
    </w:p>
    <w:p>
      <w:pPr>
        <w:ind w:left="280" w:hanging="81"/>
        <w:spacing w:after="0" w:line="268" w:lineRule="auto"/>
        <w:rPr>
          <w:sz w:val="20"/>
          <w:szCs w:val="20"/>
          <w:color w:val="auto"/>
        </w:rPr>
      </w:pPr>
      <w:r>
        <w:rPr>
          <w:rFonts w:ascii="Arial" w:cs="Arial" w:eastAsia="Arial" w:hAnsi="Arial"/>
          <w:sz w:val="18"/>
          <w:szCs w:val="18"/>
          <w:color w:val="auto"/>
        </w:rPr>
        <w:t>Common stock to be outstanding immediately following this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17,372,675 shares</w:t>
      </w:r>
    </w:p>
    <w:p>
      <w:pPr>
        <w:spacing w:after="0" w:line="475" w:lineRule="exact"/>
        <w:rPr>
          <w:sz w:val="20"/>
          <w:szCs w:val="20"/>
          <w:color w:val="auto"/>
        </w:rPr>
      </w:pPr>
    </w:p>
    <w:p>
      <w:pPr>
        <w:sectPr>
          <w:pgSz w:w="11900" w:h="16838" w:orient="portrait"/>
          <w:cols w:equalWidth="0" w:num="2">
            <w:col w:w="4160" w:space="24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ind w:right="440"/>
        <w:spacing w:after="0" w:line="370" w:lineRule="auto"/>
        <w:rPr>
          <w:sz w:val="20"/>
          <w:szCs w:val="20"/>
          <w:color w:val="auto"/>
        </w:rPr>
      </w:pPr>
      <w:r>
        <w:rPr>
          <w:rFonts w:ascii="Arial" w:cs="Arial" w:eastAsia="Arial" w:hAnsi="Arial"/>
          <w:sz w:val="15"/>
          <w:szCs w:val="15"/>
          <w:color w:val="auto"/>
        </w:rPr>
        <w:t>We have granted the underwriters an option for 30 days from the date of this prospectus to purchase up to 660,000 additional shares of common stock to cover over-allotments, if any.</w:t>
      </w:r>
    </w:p>
    <w:p>
      <w:pPr>
        <w:spacing w:after="0" w:line="103"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We expect to use the proceeds from this offering for the following purposes: (i) to support the clinical trials of entinostat in combination with Keytruda</w:t>
      </w:r>
      <w:r>
        <w:rPr>
          <w:rFonts w:ascii="Arial" w:cs="Arial" w:eastAsia="Arial" w:hAnsi="Arial"/>
          <w:sz w:val="10"/>
          <w:szCs w:val="10"/>
          <w:color w:val="auto"/>
        </w:rPr>
        <w:t>®</w:t>
      </w:r>
      <w:r>
        <w:rPr>
          <w:rFonts w:ascii="Arial" w:cs="Arial" w:eastAsia="Arial" w:hAnsi="Arial"/>
          <w:sz w:val="16"/>
          <w:szCs w:val="16"/>
          <w:color w:val="auto"/>
        </w:rPr>
        <w:t xml:space="preserve"> (pembrolizumab), atezolizumab and avelumab; (ii) to support additional clinical trials of entinostat in combination with immune checkpoint inhibitors; (iii) to support the Phase 3 clinical trial of entinostat in advanced HR+ breast cancer; (iv) to conduct activities to support the filing of a New Drug Application for entinostat, including manufacturing of registration batches of active pharmaceutical ingredient and final drug product; and (v) the remainder for working capital and general corporate purposes. See the section titled “Use of Proceeds” for a more complete description of the intended use of proceeds from this offering.</w:t>
      </w:r>
    </w:p>
    <w:p>
      <w:pPr>
        <w:spacing w:after="0" w:line="16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00"/>
        <w:spacing w:after="0" w:line="332" w:lineRule="auto"/>
        <w:rPr>
          <w:sz w:val="20"/>
          <w:szCs w:val="20"/>
          <w:color w:val="auto"/>
        </w:rPr>
      </w:pPr>
      <w:r>
        <w:rPr>
          <w:rFonts w:ascii="Arial" w:cs="Arial" w:eastAsia="Arial" w:hAnsi="Arial"/>
          <w:sz w:val="16"/>
          <w:szCs w:val="16"/>
          <w:color w:val="auto"/>
        </w:rPr>
        <w:t>You should read the section of this prospectus titled “Risk Factors” for a discussion of factors to carefully consider before deciding to invest in shares of our common stock.</w:t>
      </w:r>
    </w:p>
    <w:p>
      <w:pPr>
        <w:spacing w:after="0" w:line="126"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SNDX</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318" w:lineRule="exact"/>
        <w:rPr>
          <w:sz w:val="20"/>
          <w:szCs w:val="20"/>
          <w:color w:val="auto"/>
        </w:rPr>
      </w:pPr>
    </w:p>
    <w:p>
      <w:pPr>
        <w:ind w:left="200" w:right="40" w:firstLine="443"/>
        <w:spacing w:after="0" w:line="256" w:lineRule="auto"/>
        <w:rPr>
          <w:sz w:val="20"/>
          <w:szCs w:val="20"/>
          <w:color w:val="auto"/>
        </w:rPr>
      </w:pPr>
      <w:r>
        <w:rPr>
          <w:rFonts w:ascii="Arial" w:cs="Arial" w:eastAsia="Arial" w:hAnsi="Arial"/>
          <w:sz w:val="18"/>
          <w:szCs w:val="18"/>
          <w:color w:val="auto"/>
        </w:rPr>
        <w:t>The number of shares of our common stock outstanding immediately following this offering set forth above is based on 12,972,675 shares of our common stock outstanding as of December 31, 2015 (including 14,684 shares of unvested restricted stock subject to repurchase by us), which gives effect to the conversion of all outstanding shares of our convertible preferred stock into an aggregate of 12,872,551 shares of our common stock upon completion of this offering.</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outstanding immediately following this offering excludes:</w:t>
      </w:r>
    </w:p>
    <w:p>
      <w:pPr>
        <w:spacing w:after="0" w:line="212" w:lineRule="exact"/>
        <w:rPr>
          <w:sz w:val="20"/>
          <w:szCs w:val="20"/>
          <w:color w:val="auto"/>
        </w:rPr>
      </w:pPr>
    </w:p>
    <w:p>
      <w:pPr>
        <w:ind w:left="1180" w:right="60" w:hanging="321"/>
        <w:spacing w:after="0" w:line="268"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2,606,195 shares of our common stock issuable upon the exercise of stock options outstanding as of December 31, 2015 under our 2007 Stock Plan, as amended, or 2007 Plan, at a weighted-average exercise price of $7.56 per share;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074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30740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180" w:right="120" w:hanging="321"/>
        <w:spacing w:after="0" w:line="306"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355,857 shares of our common stock issuable upon the exercise of a warrant issued to Bayer on March 26, 2007, or the Bayer Warrant, at an exercise price of $1.54 per share, based upon 19,978,870 shares of our common stock outstanding as of December 31, 2015 on a fully diluted basis immediately following this offering, which warrant is expected to remain outstanding upon completion of this offering;</w:t>
      </w:r>
    </w:p>
    <w:p>
      <w:pPr>
        <w:spacing w:after="0" w:line="25" w:lineRule="exact"/>
        <w:rPr>
          <w:rFonts w:ascii="Arial" w:cs="Arial" w:eastAsia="Arial" w:hAnsi="Arial"/>
          <w:sz w:val="16"/>
          <w:szCs w:val="16"/>
          <w:color w:val="auto"/>
        </w:rPr>
      </w:pPr>
    </w:p>
    <w:p>
      <w:pPr>
        <w:ind w:left="1180" w:right="140" w:hanging="321"/>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1,750,000 shares of our common stock reserved for issuance under our 2015 Omnibus Incentive Plan, or 2015 Plan, which will become effective upon completion of this offering, as well as any future increases in the number of shares of our common stock reserved for issuance under the 2015 Plan; and</w:t>
      </w:r>
    </w:p>
    <w:p>
      <w:pPr>
        <w:spacing w:after="0" w:line="59" w:lineRule="exact"/>
        <w:rPr>
          <w:rFonts w:ascii="Arial" w:cs="Arial" w:eastAsia="Arial" w:hAnsi="Arial"/>
          <w:sz w:val="18"/>
          <w:szCs w:val="18"/>
          <w:color w:val="auto"/>
        </w:rPr>
      </w:pPr>
    </w:p>
    <w:p>
      <w:pPr>
        <w:ind w:left="1180" w:right="140" w:hanging="321"/>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250,000 shares of our common stock reserved for issuance under our 2015 Employee Stock Purchase Plan, or ESPP, which will become effective upon completion of this offering, as well as any future increases in the number of shares of our common stock reserved for issuance under the ESPP.</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the information in this prospectus assumes or gives effect to:</w:t>
      </w:r>
    </w:p>
    <w:p>
      <w:pPr>
        <w:spacing w:after="0" w:line="212" w:lineRule="exact"/>
        <w:rPr>
          <w:sz w:val="20"/>
          <w:szCs w:val="20"/>
          <w:color w:val="auto"/>
        </w:rPr>
      </w:pPr>
    </w:p>
    <w:p>
      <w:pPr>
        <w:ind w:left="1180" w:hanging="321"/>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to purchase up to 660,000 additional shares of common stock from us;</w:t>
      </w:r>
    </w:p>
    <w:p>
      <w:pPr>
        <w:spacing w:after="0" w:line="113" w:lineRule="exact"/>
        <w:rPr>
          <w:rFonts w:ascii="Arial" w:cs="Arial" w:eastAsia="Arial" w:hAnsi="Arial"/>
          <w:sz w:val="16"/>
          <w:szCs w:val="16"/>
          <w:color w:val="auto"/>
        </w:rPr>
      </w:pPr>
    </w:p>
    <w:p>
      <w:pPr>
        <w:ind w:left="1180" w:right="760" w:hanging="321"/>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outstanding as of December 31, 2015 into an aggregate of 12,872,551 shares of our common stock upon completion of this offering;</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1-for-1.25 reverse stock split of our common stock and convertible preferred stock effected on February 24, 2016; and</w:t>
      </w:r>
    </w:p>
    <w:p>
      <w:pPr>
        <w:spacing w:after="0" w:line="90" w:lineRule="exact"/>
        <w:rPr>
          <w:rFonts w:ascii="Arial" w:cs="Arial" w:eastAsia="Arial" w:hAnsi="Arial"/>
          <w:sz w:val="18"/>
          <w:szCs w:val="18"/>
          <w:color w:val="auto"/>
        </w:rPr>
      </w:pPr>
    </w:p>
    <w:p>
      <w:pPr>
        <w:ind w:left="1180" w:hanging="321"/>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right="80" w:firstLine="443"/>
        <w:spacing w:after="0" w:line="291" w:lineRule="auto"/>
        <w:rPr>
          <w:sz w:val="20"/>
          <w:szCs w:val="20"/>
          <w:color w:val="auto"/>
        </w:rPr>
      </w:pPr>
      <w:r>
        <w:rPr>
          <w:rFonts w:ascii="Arial" w:cs="Arial" w:eastAsia="Arial" w:hAnsi="Arial"/>
          <w:sz w:val="16"/>
          <w:szCs w:val="16"/>
          <w:color w:val="auto"/>
        </w:rPr>
        <w:t>The following table summarizes our consolidated financial data. We have derived the following consolidated statements of operations data for the years ended December 31, 2014 and 2015 from our audited consolidated financial statements, included elsewhere in this prospectus. Our historical results are not necessarily indicative of results to be expected for any period in the future. The summary consolidated financial data presented below should be read in conjunction with the section titled “Management’s Discussion and Analysis of Financial Condition and Results of Operations” and our consolidated financial statements and the related notes thereto, included elsewhere in this prospectus. The summary consolidated financial data in this section is not intended to replace our consolidated financial statements and the related notes thereto.</w:t>
      </w:r>
    </w:p>
    <w:p>
      <w:pPr>
        <w:spacing w:after="0" w:line="14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9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18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80" w:type="dxa"/>
            <w:vAlign w:val="bottom"/>
            <w:tcBorders>
              <w:bottom w:val="single" w:sz="8" w:color="CCEEFF"/>
            </w:tcBorders>
            <w:gridSpan w:val="2"/>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License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0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10,175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11,157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21,332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21,140</w:t>
            </w:r>
          </w:p>
        </w:tc>
        <w:tc>
          <w:tcPr>
            <w:tcW w:w="0" w:type="dxa"/>
            <w:vAlign w:val="bottom"/>
          </w:tcPr>
          <w:p>
            <w:pPr>
              <w:spacing w:after="0"/>
              <w:rPr>
                <w:sz w:val="1"/>
                <w:szCs w:val="1"/>
                <w:color w:val="auto"/>
              </w:rPr>
            </w:pPr>
          </w:p>
        </w:tc>
      </w:tr>
      <w:tr>
        <w:trPr>
          <w:trHeight w:val="28"/>
        </w:trPr>
        <w:tc>
          <w:tcPr>
            <w:tcW w:w="11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(21,332)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(20,513)</w:t>
            </w:r>
          </w:p>
        </w:tc>
        <w:tc>
          <w:tcPr>
            <w:tcW w:w="0" w:type="dxa"/>
            <w:vAlign w:val="bottom"/>
          </w:tcPr>
          <w:p>
            <w:pPr>
              <w:spacing w:after="0"/>
              <w:rPr>
                <w:sz w:val="1"/>
                <w:szCs w:val="1"/>
                <w:color w:val="auto"/>
              </w:rPr>
            </w:pP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(19,828)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(26,357)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(103,845)</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11"/>
                <w:szCs w:val="1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(453.02)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(1,519.27)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2"/>
              </w:rPr>
              <w:t>Weighted-average common shares outstanding used to compute net loss per share attributable to common stockholders—</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1"/>
                <w:szCs w:val="11"/>
                <w:color w:val="auto"/>
              </w:rPr>
              <w:t>(1)</w:t>
            </w: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58,181</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r>
              <w:rPr>
                <w:rFonts w:ascii="Arial" w:cs="Arial" w:eastAsia="Arial" w:hAnsi="Arial"/>
                <w:sz w:val="11"/>
                <w:szCs w:val="1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Pro forma weighted-average common shares outstanding used to compute net loss per share attributable to common</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9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9,597,519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140" w:hanging="423"/>
        <w:spacing w:after="0" w:line="259" w:lineRule="auto"/>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included elsewhere in this prospectus for an explanation of the method used to calculate the historical and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785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37858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0"/>
              </w:rPr>
              <w:t>As of December 31, 2015</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Pro Forma</w:t>
            </w:r>
            <w:r>
              <w:rPr>
                <w:rFonts w:ascii="Arial" w:cs="Arial" w:eastAsia="Arial" w:hAnsi="Arial"/>
                <w:sz w:val="22"/>
                <w:szCs w:val="22"/>
                <w:b w:val="1"/>
                <w:bCs w:val="1"/>
                <w:color w:val="auto"/>
                <w:w w:val="88"/>
                <w:vertAlign w:val="superscript"/>
              </w:rPr>
              <w:t>(1)</w:t>
            </w:r>
          </w:p>
        </w:tc>
        <w:tc>
          <w:tcPr>
            <w:tcW w:w="840" w:type="dxa"/>
            <w:vAlign w:val="bottom"/>
          </w:tcPr>
          <w:p>
            <w:pPr>
              <w:jc w:val="right"/>
              <w:spacing w:after="0" w:line="115" w:lineRule="exact"/>
              <w:rPr>
                <w:sz w:val="20"/>
                <w:szCs w:val="20"/>
                <w:color w:val="auto"/>
              </w:rPr>
            </w:pPr>
            <w:r>
              <w:rPr>
                <w:rFonts w:ascii="Arial" w:cs="Arial" w:eastAsia="Arial" w:hAnsi="Arial"/>
                <w:sz w:val="12"/>
                <w:szCs w:val="12"/>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60" w:type="dxa"/>
            <w:vAlign w:val="bottom"/>
            <w:gridSpan w:val="2"/>
          </w:tcPr>
          <w:p>
            <w:pPr>
              <w:jc w:val="right"/>
              <w:ind w:right="140"/>
              <w:spacing w:after="0" w:line="176" w:lineRule="exact"/>
              <w:rPr>
                <w:sz w:val="20"/>
                <w:szCs w:val="20"/>
                <w:color w:val="auto"/>
              </w:rPr>
            </w:pPr>
            <w:r>
              <w:rPr>
                <w:rFonts w:ascii="Arial" w:cs="Arial" w:eastAsia="Arial" w:hAnsi="Arial"/>
                <w:sz w:val="13"/>
                <w:szCs w:val="13"/>
                <w:b w:val="1"/>
                <w:bCs w:val="1"/>
                <w:color w:val="auto"/>
                <w:w w:val="90"/>
              </w:rPr>
              <w:t>Adjusted</w:t>
            </w:r>
            <w:r>
              <w:rPr>
                <w:rFonts w:ascii="Arial" w:cs="Arial" w:eastAsia="Arial" w:hAnsi="Arial"/>
                <w:sz w:val="20"/>
                <w:szCs w:val="20"/>
                <w:b w:val="1"/>
                <w:bCs w:val="1"/>
                <w:color w:val="auto"/>
                <w:w w:val="90"/>
                <w:vertAlign w:val="superscript"/>
              </w:rPr>
              <w:t>(2)(3)</w:t>
            </w:r>
          </w:p>
        </w:tc>
        <w:tc>
          <w:tcPr>
            <w:tcW w:w="0" w:type="dxa"/>
            <w:vAlign w:val="bottom"/>
          </w:tcPr>
          <w:p>
            <w:pPr>
              <w:spacing w:after="0"/>
              <w:rPr>
                <w:sz w:val="1"/>
                <w:szCs w:val="1"/>
                <w:color w:val="auto"/>
              </w:rPr>
            </w:pPr>
          </w:p>
        </w:tc>
      </w:tr>
      <w:tr>
        <w:trPr>
          <w:trHeight w:val="196"/>
        </w:trPr>
        <w:tc>
          <w:tcPr>
            <w:tcW w:w="7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  86,489</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   86,489</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  146,315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89,903</w:t>
            </w:r>
          </w:p>
        </w:tc>
        <w:tc>
          <w:tcPr>
            <w:tcW w:w="16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89,903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148,108</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319,113</w:t>
            </w:r>
          </w:p>
        </w:tc>
        <w:tc>
          <w:tcPr>
            <w:tcW w:w="3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(259,675)</w:t>
            </w:r>
          </w:p>
        </w:tc>
        <w:tc>
          <w:tcPr>
            <w:tcW w:w="16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(259,675)</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(259,675)</w:t>
            </w:r>
          </w:p>
        </w:tc>
        <w:tc>
          <w:tcPr>
            <w:tcW w:w="0" w:type="dxa"/>
            <w:vAlign w:val="bottom"/>
          </w:tcPr>
          <w:p>
            <w:pPr>
              <w:spacing w:after="0"/>
              <w:rPr>
                <w:sz w:val="1"/>
                <w:szCs w:val="1"/>
                <w:color w:val="auto"/>
              </w:rPr>
            </w:pPr>
          </w:p>
        </w:tc>
      </w:tr>
      <w:tr>
        <w:trPr>
          <w:trHeight w:val="222"/>
        </w:trPr>
        <w:tc>
          <w:tcPr>
            <w:tcW w:w="754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(252,415)</w:t>
            </w:r>
          </w:p>
        </w:tc>
        <w:tc>
          <w:tcPr>
            <w:tcW w:w="1660" w:type="dxa"/>
            <w:vAlign w:val="bottom"/>
            <w:gridSpan w:val="3"/>
          </w:tcPr>
          <w:p>
            <w:pPr>
              <w:jc w:val="right"/>
              <w:ind w:right="500"/>
              <w:spacing w:after="0"/>
              <w:rPr>
                <w:sz w:val="20"/>
                <w:szCs w:val="20"/>
                <w:color w:val="auto"/>
              </w:rPr>
            </w:pPr>
            <w:r>
              <w:rPr>
                <w:rFonts w:ascii="Arial" w:cs="Arial" w:eastAsia="Arial" w:hAnsi="Arial"/>
                <w:sz w:val="18"/>
                <w:szCs w:val="18"/>
                <w:color w:val="auto"/>
              </w:rPr>
              <w:t>69,546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128,126</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20" w:right="40" w:hanging="423"/>
        <w:spacing w:after="0" w:line="253"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 forma column in the consolidated balance sheet data above gives effect to the conversion of all outstanding shares of our convertible preferred stock outstanding as of December 31, 2015 into an aggregate of 12,872,551 shares of our common stock upon completion of this offering and the reclassification of the common stock warrant liability to additional paid-in capital.</w:t>
      </w:r>
    </w:p>
    <w:p>
      <w:pPr>
        <w:ind w:left="620" w:right="40" w:hanging="423"/>
        <w:spacing w:after="0" w:line="250" w:lineRule="auto"/>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 forma as adjusted column in the consolidated balance sheet data above gives additional effect to the sale of 4,400,000 shares of common stock in this offering at an assumed initial public offering price of $15.00 per share, the midpoint of the estimated price range set forth on the cover page of this prospectus, after deducting underwriting discounts and commissions and estimated offering expenses payable by us, as if the sale of the shares in this offering had occurred as of December 31, 2015.</w:t>
      </w:r>
    </w:p>
    <w:p>
      <w:pPr>
        <w:spacing w:after="0" w:line="1" w:lineRule="exact"/>
        <w:rPr>
          <w:rFonts w:ascii="Arial" w:cs="Arial" w:eastAsia="Arial" w:hAnsi="Arial"/>
          <w:sz w:val="18"/>
          <w:szCs w:val="18"/>
          <w:color w:val="auto"/>
        </w:rPr>
      </w:pPr>
    </w:p>
    <w:p>
      <w:pPr>
        <w:ind w:left="620" w:right="40" w:hanging="423"/>
        <w:spacing w:after="0" w:line="287" w:lineRule="auto"/>
        <w:tabs>
          <w:tab w:leader="none" w:pos="6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Each $1.00 increase (decrease) in the assumed initial public offering price of $15.00 per share, the midpoint of the estimated price range set forth on the cover page of this prospectus, would increase (decrease) each of cash, cash equivalents and short-term investments, working capital, total assets and total stockholders’ equity by approximately $4.1 million, assuming that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 million shares in the number of shares offered by us would increase (decrease) each of cash, cash equivalents and short-term investments, working capital, total assets and total stockholders’ equity by approximately $14.0 million, assuming that the assumed initial public offering price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consolidated financial statements and the related notes appearing at the end of this prospectus. We cannot assure you that any of the events discussed below will not occur. These events could harm our business, results of operations, financial condition and cash flows. If that were to happen, the trading price of our common stock could decline, and you could lose all or part of your investment.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 For the years ended December 31, 2014 and 2015, we reported a net loss of $19.8 million and $24.1 million, respectively. As of December 31, 2015, we had an accumulated deficit of $259.7 million, which included non-cash charges for stock-based compensation, preferred stock accretion and extinguishment charges.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entinostat.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entinostat. We do not anticipate generating revenue from the sale of entinostat for the foreseeable future. Our ability to generate future product revenue from entinostat also depends on a number of additional factors, including, but not limited to, our ability to:</w:t>
      </w:r>
    </w:p>
    <w:p>
      <w:pPr>
        <w:spacing w:after="0" w:line="181" w:lineRule="exact"/>
        <w:rPr>
          <w:sz w:val="20"/>
          <w:szCs w:val="20"/>
          <w:color w:val="auto"/>
        </w:rPr>
      </w:pPr>
    </w:p>
    <w:p>
      <w:pPr>
        <w:ind w:left="1000" w:hanging="317"/>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entinostat;</w:t>
      </w:r>
    </w:p>
    <w:p>
      <w:pPr>
        <w:spacing w:after="0" w:line="90" w:lineRule="exact"/>
        <w:rPr>
          <w:rFonts w:ascii="Arial" w:cs="Arial" w:eastAsia="Arial" w:hAnsi="Arial"/>
          <w:sz w:val="18"/>
          <w:szCs w:val="18"/>
          <w:color w:val="auto"/>
        </w:rPr>
      </w:pPr>
    </w:p>
    <w:p>
      <w:pPr>
        <w:ind w:left="1000" w:right="260" w:hanging="317"/>
        <w:spacing w:after="0" w:line="268"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entinostat, and if launched independently, successfully establish a sales, marketing and distribution infrastructure;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280" w:hanging="317"/>
        <w:spacing w:after="0" w:line="268"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because of the numerous risks and uncertainties associated with the development of a new chemical entity, including that entinostat may not achieve the endpoints of applicable trials, we are unable to predict the timing or amount of increased expenses, and if or when we will achieve or maintain profitability. In addition, our expenses could increase beyond expectations if we decide to or are required by the U.S. Food and Drug Administration, or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Even if we generate revenues from the sale of entinostat,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0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entinostat or develop new product candidates.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the net proceeds from this offering, together with our existing cash and cash equivalents and short-term investments, will fund our projected operating expenses and capital expenditure requirements for at least the next 24 months. 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any event, we will require additional capital to continue the development of, obtain regulatory approval for, and to commercialize, entinostat and any future product candidates. Any efforts to secure additional financing may divert our management from our day-to-day activities, which may adversely affect our ability to develop and commercialize entinostat. In addition, we cannot guarantee that future financing will be available in sufficient amounts or on terms acceptable to us, if at all. If we do not raise additional capital when required or on acceptable terms, we may need to:</w:t>
      </w:r>
    </w:p>
    <w:p>
      <w:pPr>
        <w:spacing w:after="0" w:line="153" w:lineRule="exact"/>
        <w:rPr>
          <w:sz w:val="20"/>
          <w:szCs w:val="20"/>
          <w:color w:val="auto"/>
        </w:rPr>
      </w:pPr>
    </w:p>
    <w:p>
      <w:pPr>
        <w:ind w:left="5620" w:right="2280" w:hanging="4937"/>
        <w:spacing w:after="0" w:line="440" w:lineRule="auto"/>
        <w:tabs>
          <w:tab w:leader="none" w:pos="998"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entinostat or cease operations altogether; 11</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strategic alliances for entinostat on terms less favorable than might otherwise be available; or</w:t>
      </w:r>
    </w:p>
    <w:p>
      <w:pPr>
        <w:spacing w:after="0" w:line="90" w:lineRule="exact"/>
        <w:rPr>
          <w:rFonts w:ascii="Arial" w:cs="Arial" w:eastAsia="Arial" w:hAnsi="Arial"/>
          <w:sz w:val="18"/>
          <w:szCs w:val="18"/>
          <w:color w:val="auto"/>
        </w:rPr>
      </w:pPr>
    </w:p>
    <w:p>
      <w:pPr>
        <w:ind w:left="1000" w:right="120" w:hanging="317"/>
        <w:spacing w:after="0" w:line="26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12"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entinostat;</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trials than we currently expect;</w:t>
      </w:r>
    </w:p>
    <w:p>
      <w:pPr>
        <w:spacing w:after="0" w:line="50" w:lineRule="exact"/>
        <w:rPr>
          <w:rFonts w:ascii="Arial" w:cs="Arial" w:eastAsia="Arial" w:hAnsi="Arial"/>
          <w:sz w:val="18"/>
          <w:szCs w:val="18"/>
          <w:color w:val="auto"/>
        </w:rPr>
      </w:pPr>
    </w:p>
    <w:p>
      <w:pPr>
        <w:ind w:left="1000" w:right="40" w:hanging="317"/>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acceptance of entinostat;</w:t>
      </w:r>
    </w:p>
    <w:p>
      <w:pPr>
        <w:spacing w:after="0" w:line="90"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13" w:lineRule="exact"/>
        <w:rPr>
          <w:rFonts w:ascii="Arial" w:cs="Arial" w:eastAsia="Arial" w:hAnsi="Arial"/>
          <w:sz w:val="16"/>
          <w:szCs w:val="16"/>
          <w:color w:val="auto"/>
        </w:rPr>
      </w:pPr>
    </w:p>
    <w:p>
      <w:pPr>
        <w:ind w:left="1000" w:right="260" w:hanging="317"/>
        <w:spacing w:after="0" w:line="26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entinostat if entinostat receives regulatory approval and we determine to commercialize it ourselves;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September 30, 2015 and determined that on March 30, 2007 and August 21, 2015 ownership changes had occurred. We may have experienced an ownership change subsequent to September 30, 2015, and we may also experience ownership changes in the future as a result of this offering or subsequent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Entinostat is currently our only product candidate. If we are unable to successfully complete clinical development of, obtain regulatory approval for and commercialize entinostat, our business prospects will be significantly harmed.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Entinostat is currently our only product candidate. Our financial success will depend substantially on our ability to effectively and profitably commercialize entinostat. In order to commercialize entinostat, we will be required to obtain regulatory approvals by establishing that it is sufficiently safe and effective. The clinical and commercial success of entinostat will depend on a number of factors, including the following:</w:t>
      </w:r>
    </w:p>
    <w:p>
      <w:pPr>
        <w:spacing w:after="0" w:line="181" w:lineRule="exact"/>
        <w:rPr>
          <w:sz w:val="20"/>
          <w:szCs w:val="20"/>
          <w:color w:val="auto"/>
        </w:rPr>
      </w:pPr>
    </w:p>
    <w:p>
      <w:pPr>
        <w:ind w:left="1000" w:right="380" w:hanging="317"/>
        <w:spacing w:after="0" w:line="26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timely commencement and completion of the planned Phase 1b/2 clinical trials of entinostat in combination with </w:t>
      </w:r>
      <w:r>
        <w:rPr>
          <w:rFonts w:ascii="Arial" w:cs="Arial" w:eastAsia="Arial" w:hAnsi="Arial"/>
          <w:sz w:val="18"/>
          <w:szCs w:val="18"/>
          <w:i w:val="1"/>
          <w:iCs w:val="1"/>
          <w:color w:val="auto"/>
        </w:rPr>
        <w:t>Keytruda</w:t>
      </w:r>
      <w:r>
        <w:rPr>
          <w:rFonts w:ascii="Arial" w:cs="Arial" w:eastAsia="Arial" w:hAnsi="Arial"/>
          <w:sz w:val="11"/>
          <w:szCs w:val="11"/>
          <w:color w:val="auto"/>
        </w:rPr>
        <w:t>®</w:t>
      </w:r>
      <w:r>
        <w:rPr>
          <w:rFonts w:ascii="Arial" w:cs="Arial" w:eastAsia="Arial" w:hAnsi="Arial"/>
          <w:sz w:val="18"/>
          <w:szCs w:val="18"/>
          <w:color w:val="auto"/>
        </w:rPr>
        <w:t xml:space="preserve"> (pembrolizumab), atezolizumab and avelumab;</w:t>
      </w:r>
    </w:p>
    <w:p>
      <w:pPr>
        <w:spacing w:after="0" w:line="50" w:lineRule="exact"/>
        <w:rPr>
          <w:rFonts w:ascii="Arial" w:cs="Arial" w:eastAsia="Arial" w:hAnsi="Arial"/>
          <w:sz w:val="18"/>
          <w:szCs w:val="18"/>
          <w:color w:val="auto"/>
        </w:rPr>
      </w:pPr>
    </w:p>
    <w:p>
      <w:pPr>
        <w:ind w:left="1000" w:right="540" w:hanging="317"/>
        <w:spacing w:after="0" w:line="256"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hormone receptor, or HR+, breast cancer, which may be significantly slower than we currently anticipate and will depend substantially upon the satisfactory performance of the Eastern Cooperative Oncology Group—American College of Radiology Imaging Network Cancer Research Group, or ECOG-ACRIN, and the National Cancer Institute, or NCI, and other third-party contractors;</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90" w:lineRule="exact"/>
        <w:rPr>
          <w:rFonts w:ascii="Arial" w:cs="Arial" w:eastAsia="Arial" w:hAnsi="Arial"/>
          <w:sz w:val="18"/>
          <w:szCs w:val="18"/>
          <w:color w:val="auto"/>
        </w:rPr>
      </w:pPr>
    </w:p>
    <w:p>
      <w:pPr>
        <w:ind w:left="1000" w:right="80" w:hanging="317"/>
        <w:spacing w:after="0" w:line="26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demonstrate entinostat’s safety and efficacy for its proposed indications and the timely receipt of necessary marketing approvals from the FDA and foreign regulatory authorities;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90" w:lineRule="exact"/>
        <w:rPr>
          <w:rFonts w:ascii="Arial" w:cs="Arial" w:eastAsia="Arial" w:hAnsi="Arial"/>
          <w:sz w:val="18"/>
          <w:szCs w:val="18"/>
          <w:color w:val="auto"/>
        </w:rPr>
      </w:pPr>
    </w:p>
    <w:p>
      <w:pPr>
        <w:ind w:left="1000" w:right="180" w:hanging="317"/>
        <w:spacing w:after="0" w:line="26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320" w:hanging="317"/>
        <w:spacing w:after="0" w:line="26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of entinostat and to develop, validate and maintain a commercially viable manufacturing process that is compliant with current Good Manufacturing Practices, or cGMP;</w:t>
      </w:r>
    </w:p>
    <w:p>
      <w:pPr>
        <w:spacing w:after="0" w:line="50" w:lineRule="exact"/>
        <w:rPr>
          <w:rFonts w:ascii="Arial" w:cs="Arial" w:eastAsia="Arial" w:hAnsi="Arial"/>
          <w:sz w:val="18"/>
          <w:szCs w:val="18"/>
          <w:color w:val="auto"/>
        </w:rPr>
      </w:pPr>
    </w:p>
    <w:p>
      <w:pPr>
        <w:ind w:left="1000" w:right="740" w:hanging="317"/>
        <w:spacing w:after="0" w:line="357" w:lineRule="auto"/>
        <w:tabs>
          <w:tab w:leader="none" w:pos="10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 xml:space="preserve">the availability of commercial supplies of therapeutics, including </w:t>
      </w:r>
      <w:r>
        <w:rPr>
          <w:rFonts w:ascii="Arial" w:cs="Arial" w:eastAsia="Arial" w:hAnsi="Arial"/>
          <w:sz w:val="15"/>
          <w:szCs w:val="15"/>
          <w:i w:val="1"/>
          <w:iCs w:val="1"/>
          <w:color w:val="auto"/>
        </w:rPr>
        <w:t>Aromasin</w:t>
      </w:r>
      <w:r>
        <w:rPr>
          <w:rFonts w:ascii="Arial" w:cs="Arial" w:eastAsia="Arial" w:hAnsi="Arial"/>
          <w:sz w:val="10"/>
          <w:szCs w:val="10"/>
          <w:color w:val="auto"/>
        </w:rPr>
        <w:t>®</w:t>
      </w:r>
      <w:r>
        <w:rPr>
          <w:rFonts w:ascii="Arial" w:cs="Arial" w:eastAsia="Arial" w:hAnsi="Arial"/>
          <w:sz w:val="15"/>
          <w:szCs w:val="15"/>
          <w:color w:val="auto"/>
        </w:rPr>
        <w:t xml:space="preserve"> (exemestane tablets) and </w:t>
      </w:r>
      <w:r>
        <w:rPr>
          <w:rFonts w:ascii="Arial" w:cs="Arial" w:eastAsia="Arial" w:hAnsi="Arial"/>
          <w:sz w:val="15"/>
          <w:szCs w:val="15"/>
          <w:i w:val="1"/>
          <w:iCs w:val="1"/>
          <w:color w:val="auto"/>
        </w:rPr>
        <w:t>Keytruda</w:t>
      </w:r>
      <w:r>
        <w:rPr>
          <w:rFonts w:ascii="Arial" w:cs="Arial" w:eastAsia="Arial" w:hAnsi="Arial"/>
          <w:sz w:val="15"/>
          <w:szCs w:val="15"/>
          <w:color w:val="auto"/>
        </w:rPr>
        <w:t>, and clinical supplies of investigational drugs, to support the development and marketing of the entinostat therapy as a component of a combination drug regimen;</w:t>
      </w:r>
    </w:p>
    <w:p>
      <w:pPr>
        <w:ind w:left="1000" w:hanging="317"/>
        <w:spacing w:after="0"/>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successfully commercialize entinostat in the United States and abroad, whether alone or in collaboration with others; and</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we fail to obtain regulatory approval for, or are unable to successfully commercialize, entinostat, we will have no other product candidates to rely on. In addition, we will not be able to generate product sales, which will have a material adverse effect on our business and our prospects.</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begun to clinically test our strategy of combining entinostat with immune checkpoint inhibitors, and therefore have not yet demonstrated the safety or the benefit of this combination in humans and we may be unable to establish a clinically meaningful benefit for patient without added toxicity.</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breast cancer, this agreement does not guarantee any particular outcome with respect to regulatory review of the trial or any associated New Drug Application, or NDA, for entinostat.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protocol for the pivotal Phase 3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Aromasin in advanced HR+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patients. The trial will measure two primary endpoints of progression-free survival, or PFS, and overall survival. Based on information received from ECOG-ACRIN to date, PFS data is expected no sooner than the second half of 2017 and overall survival data no sooner than the second half of 2019. If the Phase 3 clinical trial meets the PFS endpoint and the interim analysis of overall survival demonstrates a favorable trend, we expect to submit an NDA based on this data.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breast cancer, and it is unclear whether we would be able to complete an alternate clinical trial that would be sufficient.</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Despite the results reported in our Phase 2b clinical trial for entinostat in advanced estrogen receptor positive, or ER+, breast cancer, we do not know whether the Phase 3 clinical trial in advanced HR+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Arial" w:cs="Arial" w:eastAsia="Arial" w:hAnsi="Arial"/>
          <w:sz w:val="16"/>
          <w:szCs w:val="16"/>
          <w:i w:val="1"/>
          <w:iCs w:val="1"/>
          <w:color w:val="auto"/>
        </w:rPr>
        <w:t>Aromasin</w:t>
      </w:r>
      <w:r>
        <w:rPr>
          <w:rFonts w:ascii="Arial" w:cs="Arial" w:eastAsia="Arial" w:hAnsi="Arial"/>
          <w:sz w:val="16"/>
          <w:szCs w:val="16"/>
          <w:color w:val="auto"/>
        </w:rPr>
        <w:t>, we cannot be certain that we will not observe these toxicities or unexpected side effects in the Phase 3 clinical trial.</w:t>
      </w:r>
    </w:p>
    <w:p>
      <w:pPr>
        <w:spacing w:after="0" w:line="113" w:lineRule="exact"/>
        <w:rPr>
          <w:sz w:val="20"/>
          <w:szCs w:val="20"/>
          <w:color w:val="auto"/>
        </w:rPr>
      </w:pPr>
    </w:p>
    <w:p>
      <w:pPr>
        <w:ind w:firstLine="456"/>
        <w:spacing w:after="0" w:line="244" w:lineRule="auto"/>
        <w:rPr>
          <w:sz w:val="20"/>
          <w:szCs w:val="20"/>
          <w:color w:val="auto"/>
        </w:rPr>
      </w:pPr>
      <w:r>
        <w:rPr>
          <w:rFonts w:ascii="Arial" w:cs="Arial" w:eastAsia="Arial" w:hAnsi="Arial"/>
          <w:sz w:val="17"/>
          <w:szCs w:val="17"/>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7"/>
          <w:szCs w:val="17"/>
          <w:i w:val="1"/>
          <w:iCs w:val="1"/>
          <w:color w:val="auto"/>
        </w:rPr>
        <w:t>Faslodex</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(fulvestrant) and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(palbociclib), patients enrolled in the Phase 3 clinical trial may be different than those enrolled in our previous Phase 2b clinical trial in that they may have received </w:t>
      </w:r>
      <w:r>
        <w:rPr>
          <w:rFonts w:ascii="Arial" w:cs="Arial" w:eastAsia="Arial" w:hAnsi="Arial"/>
          <w:sz w:val="17"/>
          <w:szCs w:val="17"/>
          <w:i w:val="1"/>
          <w:iCs w:val="1"/>
          <w:color w:val="auto"/>
        </w:rPr>
        <w:t>Faslodex</w:t>
      </w:r>
      <w:r>
        <w:rPr>
          <w:rFonts w:ascii="Arial" w:cs="Arial" w:eastAsia="Arial" w:hAnsi="Arial"/>
          <w:sz w:val="17"/>
          <w:szCs w:val="17"/>
          <w:color w:val="auto"/>
        </w:rPr>
        <w:t xml:space="preserve"> and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6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have entered into an arrangement with ECOG-ACRIN, pursuant to which it, with sponsorship and funding support by the NCI, is conducting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 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1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breast cancer, we will be delayed in commercializing entinostat, our development costs may increase and our business may be harmed.</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commenced in the second quarter of 2014, and ECOG-ACRIN expects to have PFS data from this trial no sooner than the second half of 2017.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159" w:lineRule="exact"/>
        <w:rPr>
          <w:sz w:val="20"/>
          <w:szCs w:val="20"/>
          <w:color w:val="auto"/>
        </w:rPr>
      </w:pPr>
    </w:p>
    <w:p>
      <w:pPr>
        <w:ind w:left="5620" w:right="4080" w:hanging="4937"/>
        <w:spacing w:after="0" w:line="440" w:lineRule="auto"/>
        <w:tabs>
          <w:tab w:leader="none" w:pos="1001"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 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line="26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50" w:lineRule="exact"/>
        <w:rPr>
          <w:rFonts w:ascii="Arial" w:cs="Arial" w:eastAsia="Arial" w:hAnsi="Arial"/>
          <w:sz w:val="18"/>
          <w:szCs w:val="18"/>
          <w:color w:val="auto"/>
        </w:rPr>
      </w:pPr>
    </w:p>
    <w:p>
      <w:pPr>
        <w:ind w:left="1000" w:right="80" w:hanging="317"/>
        <w:spacing w:after="0" w:line="33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13" w:lineRule="exact"/>
        <w:rPr>
          <w:rFonts w:ascii="Arial" w:cs="Arial" w:eastAsia="Arial" w:hAnsi="Arial"/>
          <w:sz w:val="16"/>
          <w:szCs w:val="16"/>
          <w:color w:val="auto"/>
        </w:rPr>
      </w:pPr>
    </w:p>
    <w:p>
      <w:pPr>
        <w:ind w:left="1000" w:right="340" w:hanging="317"/>
        <w:spacing w:after="0" w:line="26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sponsorship of the NCI because of a failure of ECOG-ACRIN to meet certain performance metrics in the clinical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90" w:lineRule="exact"/>
        <w:rPr>
          <w:rFonts w:ascii="Arial" w:cs="Arial" w:eastAsia="Arial" w:hAnsi="Arial"/>
          <w:sz w:val="18"/>
          <w:szCs w:val="18"/>
          <w:color w:val="auto"/>
        </w:rPr>
      </w:pPr>
    </w:p>
    <w:p>
      <w:pPr>
        <w:ind w:left="1000" w:right="100" w:hanging="317"/>
        <w:spacing w:after="0" w:line="26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50" w:lineRule="exact"/>
        <w:rPr>
          <w:rFonts w:ascii="Arial" w:cs="Arial" w:eastAsia="Arial" w:hAnsi="Arial"/>
          <w:sz w:val="18"/>
          <w:szCs w:val="18"/>
          <w:color w:val="auto"/>
        </w:rPr>
      </w:pPr>
    </w:p>
    <w:p>
      <w:pPr>
        <w:ind w:left="1000" w:right="320" w:hanging="317"/>
        <w:spacing w:after="0" w:line="26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2" w:lineRule="exact"/>
        <w:rPr>
          <w:sz w:val="20"/>
          <w:szCs w:val="20"/>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perception about the relative efficacy of entinostat versus other compounds in clinical development or commercially available;</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immune-oncology agents;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above factors, there is a risk that our or our collaborators’ clinical trials may not be completed on a timely basis or at all.</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dependent on Merck, Genentech Inc., or Genentech, Ares Trading S.A., or Merck KGaA, and Pfizer, Inc., or Pfizer, and any future collaborators to perform satisfactorily under our agreements.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agreements with Merck, Genentech, Merck KGaA and Pfizer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actions of Kyowa Hakko Kirin Co., Ltd., or KHK, and any other current or future sublicensees could adversely affect our business.</w:t>
      </w:r>
    </w:p>
    <w:p>
      <w:pPr>
        <w:spacing w:after="0" w:line="19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affect on the development of entinostat for development and commercialization in the United States and the rest of the world.</w:t>
      </w:r>
    </w:p>
    <w:p>
      <w:pPr>
        <w:spacing w:after="0" w:line="11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entinostat to our current or future collaborators.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90" w:lineRule="exact"/>
        <w:rPr>
          <w:sz w:val="20"/>
          <w:szCs w:val="20"/>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90" w:lineRule="exact"/>
        <w:rPr>
          <w:rFonts w:ascii="Arial" w:cs="Arial" w:eastAsia="Arial" w:hAnsi="Arial"/>
          <w:sz w:val="18"/>
          <w:szCs w:val="18"/>
          <w:color w:val="auto"/>
        </w:rPr>
      </w:pPr>
    </w:p>
    <w:p>
      <w:pPr>
        <w:ind w:left="1000" w:right="160" w:hanging="317"/>
        <w:spacing w:after="0" w:line="26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50" w:lineRule="exact"/>
        <w:rPr>
          <w:rFonts w:ascii="Arial" w:cs="Arial" w:eastAsia="Arial" w:hAnsi="Arial"/>
          <w:sz w:val="18"/>
          <w:szCs w:val="18"/>
          <w:color w:val="auto"/>
        </w:rPr>
      </w:pPr>
    </w:p>
    <w:p>
      <w:pPr>
        <w:ind w:left="1000" w:right="340" w:hanging="317"/>
        <w:spacing w:after="0" w:line="26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0" w:lineRule="exact"/>
        <w:rPr>
          <w:rFonts w:ascii="Arial" w:cs="Arial" w:eastAsia="Arial" w:hAnsi="Arial"/>
          <w:sz w:val="18"/>
          <w:szCs w:val="18"/>
          <w:color w:val="auto"/>
        </w:rPr>
      </w:pPr>
    </w:p>
    <w:p>
      <w:pPr>
        <w:ind w:left="1000" w:right="840" w:hanging="317"/>
        <w:spacing w:after="0" w:line="26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0" w:lineRule="exact"/>
        <w:rPr>
          <w:rFonts w:ascii="Arial" w:cs="Arial" w:eastAsia="Arial" w:hAnsi="Arial"/>
          <w:sz w:val="18"/>
          <w:szCs w:val="18"/>
          <w:color w:val="auto"/>
        </w:rPr>
      </w:pPr>
    </w:p>
    <w:p>
      <w:pPr>
        <w:ind w:left="1000" w:right="500" w:hanging="317"/>
        <w:spacing w:after="0" w:line="26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50" w:lineRule="exact"/>
        <w:rPr>
          <w:rFonts w:ascii="Arial" w:cs="Arial" w:eastAsia="Arial" w:hAnsi="Arial"/>
          <w:sz w:val="18"/>
          <w:szCs w:val="18"/>
          <w:color w:val="auto"/>
        </w:rPr>
      </w:pPr>
    </w:p>
    <w:p>
      <w:pPr>
        <w:ind w:left="1000" w:right="460" w:hanging="317"/>
        <w:spacing w:after="0" w:line="259"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90" w:lineRule="exact"/>
        <w:rPr>
          <w:rFonts w:ascii="Arial" w:cs="Arial" w:eastAsia="Arial" w:hAnsi="Arial"/>
          <w:sz w:val="18"/>
          <w:szCs w:val="18"/>
          <w:color w:val="auto"/>
        </w:rPr>
      </w:pPr>
    </w:p>
    <w:p>
      <w:pPr>
        <w:ind w:left="1000" w:right="60" w:hanging="317"/>
        <w:spacing w:after="0" w:line="26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50" w:lineRule="exact"/>
        <w:rPr>
          <w:rFonts w:ascii="Arial" w:cs="Arial" w:eastAsia="Arial" w:hAnsi="Arial"/>
          <w:sz w:val="18"/>
          <w:szCs w:val="18"/>
          <w:color w:val="auto"/>
        </w:rPr>
      </w:pPr>
    </w:p>
    <w:p>
      <w:pPr>
        <w:ind w:left="1000" w:right="420" w:hanging="317"/>
        <w:spacing w:after="0" w:line="26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14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50" w:lineRule="exact"/>
        <w:rPr>
          <w:rFonts w:ascii="Arial" w:cs="Arial" w:eastAsia="Arial" w:hAnsi="Arial"/>
          <w:sz w:val="18"/>
          <w:szCs w:val="18"/>
          <w:color w:val="auto"/>
        </w:rPr>
      </w:pPr>
    </w:p>
    <w:p>
      <w:pPr>
        <w:ind w:left="1000" w:right="38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may, in the future,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entinostat could harm our business.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entinostat or any other product candidate, and it is possible that we will never obtain regulatory approval for entinostat or any future product candidates.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Entinostat could fail to receive regulatory approval from the FDA or foreign regulatory authorities for many reasons, including but not limited to:</w:t>
      </w:r>
    </w:p>
    <w:p>
      <w:pPr>
        <w:spacing w:after="0" w:line="235" w:lineRule="exact"/>
        <w:rPr>
          <w:sz w:val="20"/>
          <w:szCs w:val="20"/>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entinostat is safe and effective;</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entinostat’s clinical and other benefits outweigh any safety risks;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90" w:lineRule="exact"/>
        <w:rPr>
          <w:rFonts w:ascii="Arial" w:cs="Arial" w:eastAsia="Arial" w:hAnsi="Arial"/>
          <w:sz w:val="18"/>
          <w:szCs w:val="18"/>
          <w:color w:val="auto"/>
        </w:rPr>
      </w:pPr>
    </w:p>
    <w:p>
      <w:pPr>
        <w:ind w:left="1000" w:right="600" w:hanging="317"/>
        <w:spacing w:after="0" w:line="26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entinostat to support the submission and filing of an NDA or other submission or to obtain regulatory approval;</w:t>
      </w:r>
    </w:p>
    <w:p>
      <w:pPr>
        <w:spacing w:after="0" w:line="50" w:lineRule="exact"/>
        <w:rPr>
          <w:rFonts w:ascii="Arial" w:cs="Arial" w:eastAsia="Arial" w:hAnsi="Arial"/>
          <w:sz w:val="18"/>
          <w:szCs w:val="18"/>
          <w:color w:val="auto"/>
        </w:rPr>
      </w:pPr>
    </w:p>
    <w:p>
      <w:pPr>
        <w:ind w:left="1000" w:right="100" w:hanging="317"/>
        <w:spacing w:after="0" w:line="26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contract manufacturers with whom we contract for clinical and commercial supplies;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receipt of a negative opinion from an advisory committee due to a change in the standard of care regardless of the outcome of the clinical trials;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drug products.</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auto"/>
        </w:rPr>
        <w:t>We are not developing entinostat as a monotherapy. A shortage in the supply of Aromasin, Keytruda, atezolizumab or other drugs used in combination with entinostat or cessation of development efforts for investigational agents being studied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w:t>
      </w:r>
      <w:r>
        <w:rPr>
          <w:rFonts w:ascii="Arial" w:cs="Arial" w:eastAsia="Arial" w:hAnsi="Arial"/>
          <w:sz w:val="16"/>
          <w:szCs w:val="16"/>
          <w:i w:val="1"/>
          <w:iCs w:val="1"/>
          <w:color w:val="auto"/>
        </w:rPr>
        <w:t>Aromasin, Keytruda</w:t>
      </w:r>
      <w:r>
        <w:rPr>
          <w:rFonts w:ascii="Arial" w:cs="Arial" w:eastAsia="Arial" w:hAnsi="Arial"/>
          <w:sz w:val="16"/>
          <w:szCs w:val="16"/>
          <w:color w:val="auto"/>
        </w:rPr>
        <w:t xml:space="preserve">, atezolizumab, avelumab or other drugs that we are testing in combination with entinostat could adversely affect our ability to timely conduct the Phase 3 clinical trial in advanced HR+ breast cancer and the Phase 1b/2 clinical trials in NSCLC, melanoma, ovarian cancer and TNBC, and if entinostat receives regulatory approval, to commercialize entinostat for treatment of advanced HR+ breast cancer, NSCLC, melanoma, ovarian cancer or TNBC. A shortage of supply may also result in an increase, which could be significant, in our costs of procuring </w:t>
      </w:r>
      <w:r>
        <w:rPr>
          <w:rFonts w:ascii="Arial" w:cs="Arial" w:eastAsia="Arial" w:hAnsi="Arial"/>
          <w:sz w:val="16"/>
          <w:szCs w:val="16"/>
          <w:i w:val="1"/>
          <w:iCs w:val="1"/>
          <w:color w:val="auto"/>
        </w:rPr>
        <w:t>Aromasin</w:t>
      </w:r>
      <w:r>
        <w:rPr>
          <w:rFonts w:ascii="Arial" w:cs="Arial" w:eastAsia="Arial" w:hAnsi="Arial"/>
          <w:sz w:val="16"/>
          <w:szCs w:val="16"/>
          <w:color w:val="auto"/>
        </w:rPr>
        <w:t>.</w:t>
      </w:r>
    </w:p>
    <w:p>
      <w:pPr>
        <w:spacing w:after="0" w:line="12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0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Entinostat may not achieve adequate market acceptance among physicians, patients, healthcare payors and others in the medical community to be commercially successful.</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Even if entinostat receives regulatory approval, it may not gain sufficient market acceptance among physicians, patients, healthcare payors and others in the medical community. Our commercial success also depends on coverage and adequate reimbursement of entinostat by third-party payors, including government payors, which may be difficult or time-consuming to obtain, may be limited in scope and may not be obtained in all jurisdictions in which we may seek to market entinostat. The degree of market acceptance of entinostat will depend on a number of factors, including:</w:t>
      </w:r>
    </w:p>
    <w:p>
      <w:pPr>
        <w:spacing w:after="0" w:line="153" w:lineRule="exact"/>
        <w:rPr>
          <w:sz w:val="20"/>
          <w:szCs w:val="20"/>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entinostat is approved;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entinostat as a safe and effective treatment by physicians, clinics and patients;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potential and perceived advantages of entinostat over alternative treatments;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publicity relating to entinostat.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entinostat is approved but does not achieve an adequate level of acceptance by physicians, hospitals, healthcare payors and patients, we may not generate sufficient revenue to become or remain profitable.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entinostat, we intend to rely on third parties for commercial manufacturing and distribution of entinostat and we expect to rely on third parties for manufacturing and distribution of preclinical, clinical and commercial supplies of any future product candidates.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entinostat. While we expect to continue to depend on third-party contract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contract manufacturers for compliance with cGMPs and for manufacture of both active drug substances and finished drug products. Facilities used by our contract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contract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contract manufacturers are engaged with other companies to supply and/or manufacture materials or products for such companies, which also exposes our contract manufacturers to regulatory risks for the production of such materials and products. As a result, failure to meet the regulatory requirements for the production of those materials and products may also affect the regulatory clearance of a contract manufacturers’ facility. If the FDA or a foreign regulatory agency does not approve these facilities for the manufacture of entinostat, or if it withdraws its approval in the future, we may need to find alternative manufacturing facilities, which would impede or delay our ability to develop, obtain regulatory approval for or market entinostat, if approved.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necessarily increase the likelihood that entinostat will receive marketing approval.</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We have received breakthrough therapy designation for entinostat.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Entinostat when used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received a breakthrough therapy designation from the FDA based on the overall survival results from our completed Phase 2b clinical trial in advanced HR+ breast cancer. The trial showed statistically significant improvements in PFS, the primary endpoint, and overall survival,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 For instance, if results from the Phase 3 clinical trial do not confirm the improvements in PFS or overall survival observed in our Phase 2b clinical trial, the FDA may rescind our breakthrough therapy designation.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entinostat receives regulatory approval, it may still face future development and regulatory difficulties.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if we obtain regulatory approval for entinostat, it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entinostat,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contract manufacturers, fail to comply with applicable regulatory requirements, a regulatory agency may:</w:t>
      </w:r>
    </w:p>
    <w:p>
      <w:pPr>
        <w:spacing w:after="0" w:line="185"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and generate revenue from the sale of entinostat.</w:t>
      </w:r>
    </w:p>
    <w:p>
      <w:pPr>
        <w:spacing w:after="0" w:line="19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Entinostat may cause undesirable side effects or have other properties that could delay or prevent its regulatory approval, limit the commercial scope of its approved use, or result in significant negative consequences following any marketing approval.</w:t>
      </w:r>
    </w:p>
    <w:p>
      <w:pPr>
        <w:spacing w:after="0" w:line="132"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Undesirable side effects caused by entinostat could cause the interruption, delay or halting of the trials and could result in a more restrictive label or the delay or denial of regulatory approval by the FDA or other foreign regulatory authorities. In our Phase 2b clinical trial of entinostat in advanced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HR+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entinostat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Additionally, if entinostat receives marketing approval, and we or others later identify undesirable side effects, a number of potentially significant negative consequences could result, including:</w:t>
      </w:r>
    </w:p>
    <w:p>
      <w:pPr>
        <w:spacing w:after="0" w:line="172" w:lineRule="exact"/>
        <w:rPr>
          <w:sz w:val="20"/>
          <w:szCs w:val="20"/>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entinostat label;</w:t>
      </w:r>
    </w:p>
    <w:p>
      <w:pPr>
        <w:spacing w:after="0" w:line="90"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entinostat;</w:t>
      </w:r>
    </w:p>
    <w:p>
      <w:pPr>
        <w:spacing w:after="0" w:line="50" w:lineRule="exact"/>
        <w:rPr>
          <w:rFonts w:ascii="Arial" w:cs="Arial" w:eastAsia="Arial" w:hAnsi="Arial"/>
          <w:sz w:val="18"/>
          <w:szCs w:val="18"/>
          <w:color w:val="auto"/>
        </w:rPr>
      </w:pPr>
    </w:p>
    <w:p>
      <w:pPr>
        <w:ind w:left="1000" w:right="100" w:hanging="317"/>
        <w:spacing w:after="0" w:line="33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foreign regulatory authorities may require the establishment or modification of a similar strategy that may, for instance, restrict distribution of entinostat and impose burdensome implementation requirements on us;</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entinostat for use in targeted indications or otherwise materially harm its commercial prospects, if approved, and could harm our business,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obtain regulatory approval in international jurisdictions would prevent us from marketing entinostat outside the United States.</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to market and sell entinostat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entinostat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from the European Medicines Agency, the current Phase 3 clinical trial is likely to be insufficient to receive regulatory approval in Europe for entinostat to treat advanced HR+ breast cancer. Our failure to obtain approval of entinostat by foreign regulatory authorities may negatively impact the commercial prospects of entinostat and our business prospects could decline. Also, if regulatory approval for entinostat is granted, it may be later withdrawn. If we fail to comply with the regulatory requirements in international jurisdictions and receive applicable marketing approvals, our target market will be reduced and our ability to realize the full market potential for entinostat will be harmed and our business may be adversely affected.</w:t>
      </w:r>
    </w:p>
    <w:p>
      <w:pPr>
        <w:spacing w:after="0" w:line="1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32"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There are currently no approved combination immuno-oncology therapies although numerous drugs are undergoing active clinical investigation. We believe that if entinostat in combination with either </w:t>
      </w:r>
      <w:r>
        <w:rPr>
          <w:rFonts w:ascii="Arial" w:cs="Arial" w:eastAsia="Arial" w:hAnsi="Arial"/>
          <w:sz w:val="18"/>
          <w:szCs w:val="18"/>
          <w:i w:val="1"/>
          <w:iCs w:val="1"/>
          <w:color w:val="auto"/>
        </w:rPr>
        <w:t>Keytruda</w:t>
      </w:r>
      <w:r>
        <w:rPr>
          <w:rFonts w:ascii="Arial" w:cs="Arial" w:eastAsia="Arial" w:hAnsi="Arial"/>
          <w:sz w:val="18"/>
          <w:szCs w:val="18"/>
          <w:color w:val="auto"/>
        </w:rPr>
        <w:t>, atezolizumab or avelumab were approved for the treatment of NSCLC, melanoma, TNBC or ovarian cancer, it would face competition from these standard-of-care approaches and other investigational drugs being tested in combination with any of these approaches.</w:t>
      </w:r>
    </w:p>
    <w:p>
      <w:pPr>
        <w:spacing w:after="0" w:line="14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developed by Novartis, and other therapies currently in Phase 3 clinical development such as abemaciclib, being developed by Eli Lilly and Company, and ribociclib and buparlisib, both of which are being developed by Novartis.</w:t>
      </w:r>
    </w:p>
    <w:p>
      <w:pPr>
        <w:spacing w:after="0" w:line="14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12" w:lineRule="exact"/>
        <w:rPr>
          <w:sz w:val="20"/>
          <w:szCs w:val="20"/>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efficacy and safety profile of entinostat relative to marketed products and product candidates in development by third parties;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 it takes for entinostat to complete clinical development and receive marketing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commercialize entinostat if it receives regulatory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of entinostat, including in comparison to branded or generic competitors;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coverage and adequate levels of reimbursement are available under private and governmental health insurance plans, including Medicare;</w:t>
      </w:r>
    </w:p>
    <w:p>
      <w:pPr>
        <w:spacing w:after="0" w:line="124" w:lineRule="exact"/>
        <w:rPr>
          <w:rFonts w:ascii="Arial" w:cs="Arial" w:eastAsia="Arial" w:hAnsi="Arial"/>
          <w:sz w:val="15"/>
          <w:szCs w:val="15"/>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entinostat if it receives regulatory approval;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and other drugs by physicians and other healthcare providers.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Even if we obtain regulatory approval of entinostat, the availability and price of our competitors’ products could limit the demand and the price we are able to charge for entinostat. We may not be able to implement our business plan if the acceptance of entinostat is inhibited by price competition or the reluctance of physicians to switch from existing methods of treatment to entinostat, or if physicians switch to other new drug or biologic products or choose to reserve entinostat for use in limited circumstances.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in the field of immuno-oncology could damage public perception of entinostat and negatively affect our business.</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commercial success of entinostat will depend in part on public acceptance of the use of cancer immunotherapies. Adverse events in clinical trials of entinostat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entinostat may not be accepted by the general public or the medical community.</w:t>
      </w:r>
    </w:p>
    <w:p>
      <w:pPr>
        <w:spacing w:after="0" w:line="11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44"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Even if we commercialize entinostat, it or any other product candidates that we develop may become subject to unfavorable pricing regulations or third-party coverage or reimbursement practices, which could harm our business.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 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12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4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4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approval for entinostat in a particular country, but be subject to price regulations that delay our commercial launch of the product, possibly for lengthy time periods, which could negatively impact the revenues we generate from the sale of entinostat in that particular country. Adverse pricing limitations may hinder our ability to recoup our investment even if entinostat obtains marketing approval.</w:t>
      </w:r>
    </w:p>
    <w:p>
      <w:pPr>
        <w:spacing w:after="0" w:line="14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There can be no assurance that entinostat, if it is approved for sale in the United States or in other countries, will be considered medically reasonable and necessary for a specific indication, that it will be considered cost-effective by third-party payors, that coverage and an adequate level of reimbursement will be available, or that third-party payors’ reimbursement policies will not adversely affect our ability to sell entinostat profitably.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order to market entinostat or any other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153" w:lineRule="exact"/>
        <w:rPr>
          <w:sz w:val="20"/>
          <w:szCs w:val="20"/>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90" w:lineRule="exact"/>
        <w:rPr>
          <w:rFonts w:ascii="Arial" w:cs="Arial" w:eastAsia="Arial" w:hAnsi="Arial"/>
          <w:sz w:val="18"/>
          <w:szCs w:val="18"/>
          <w:color w:val="auto"/>
        </w:rPr>
      </w:pPr>
    </w:p>
    <w:p>
      <w:pPr>
        <w:ind w:left="1000" w:right="280" w:hanging="317"/>
        <w:spacing w:after="0" w:line="268"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90" w:lineRule="exact"/>
        <w:rPr>
          <w:rFonts w:ascii="Arial" w:cs="Arial" w:eastAsia="Arial" w:hAnsi="Arial"/>
          <w:sz w:val="18"/>
          <w:szCs w:val="18"/>
          <w:color w:val="auto"/>
        </w:rPr>
      </w:pPr>
    </w:p>
    <w:p>
      <w:pPr>
        <w:ind w:left="1000" w:right="220" w:hanging="317"/>
        <w:spacing w:after="0" w:line="259"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Alternatively, we may rely on third parties to launch and market our drug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drug candidate.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and future legislation may increase the difficulty and cost for us to commercialize entinostat and affect the prices we may obtain.</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14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For example, President Obama signed into law the Patient Protection and Affordable Care Act, as amended by the Health Care and Education Reconciliation Act of 2010, or, collectively, the Affordable Care Act. Among other cost containment measures, the Affordable Care Act established an annual,</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 as of 2013. Further legislation has extended the 2% reduction to 2024. In January 2013,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entinostat.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face an inherent risk of product liability exposure related to the testing of entinostat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entinostat or other products that we may develop caused injuries, we could incur substantial liabilities. Regardless of merit or eventual outcome, liability claims may result in:</w:t>
      </w:r>
    </w:p>
    <w:p>
      <w:pPr>
        <w:spacing w:after="0" w:line="153" w:lineRule="exact"/>
        <w:rPr>
          <w:sz w:val="20"/>
          <w:szCs w:val="20"/>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While we currently hold trial liability insurance coverage consistent with industry standards, this may not adequately cover all liabilities that we may incur. We also may not be able to maintain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insurance coverage at a reasonable cost or in an amount adequate to satisfy any liability that may arise in the future. We intend to expand our insurance coverage for products to include the sale of commercial products if we obtain marketing approval for entinostat,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but are not limited to, the following:</w:t>
      </w:r>
    </w:p>
    <w:p>
      <w:pPr>
        <w:spacing w:after="0" w:line="183" w:lineRule="exact"/>
        <w:rPr>
          <w:sz w:val="20"/>
          <w:szCs w:val="20"/>
          <w:color w:val="auto"/>
        </w:rPr>
      </w:pPr>
    </w:p>
    <w:p>
      <w:pPr>
        <w:ind w:left="1000" w:right="180" w:hanging="317"/>
        <w:spacing w:after="0" w:line="298"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31" w:lineRule="exact"/>
        <w:rPr>
          <w:rFonts w:ascii="Arial" w:cs="Arial" w:eastAsia="Arial" w:hAnsi="Arial"/>
          <w:sz w:val="16"/>
          <w:szCs w:val="16"/>
          <w:color w:val="auto"/>
        </w:rPr>
      </w:pPr>
    </w:p>
    <w:p>
      <w:pPr>
        <w:ind w:left="1000" w:right="80" w:hanging="317"/>
        <w:spacing w:after="0" w:line="256"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2" w:lineRule="exact"/>
        <w:rPr>
          <w:rFonts w:ascii="Arial" w:cs="Arial" w:eastAsia="Arial" w:hAnsi="Arial"/>
          <w:sz w:val="18"/>
          <w:szCs w:val="18"/>
          <w:color w:val="auto"/>
        </w:rPr>
      </w:pPr>
    </w:p>
    <w:p>
      <w:pPr>
        <w:ind w:left="1000" w:right="120" w:hanging="317"/>
        <w:spacing w:after="0" w:line="254"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63" w:lineRule="exact"/>
        <w:rPr>
          <w:rFonts w:ascii="Arial" w:cs="Arial" w:eastAsia="Arial" w:hAnsi="Arial"/>
          <w:sz w:val="18"/>
          <w:szCs w:val="18"/>
          <w:color w:val="auto"/>
        </w:rPr>
      </w:pPr>
    </w:p>
    <w:p>
      <w:pPr>
        <w:ind w:left="1000" w:right="480" w:hanging="317"/>
        <w:spacing w:after="0" w:line="306"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40" w:hanging="317"/>
        <w:spacing w:after="0" w:line="253"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66" w:lineRule="exact"/>
        <w:rPr>
          <w:rFonts w:ascii="Arial" w:cs="Arial" w:eastAsia="Arial" w:hAnsi="Arial"/>
          <w:sz w:val="18"/>
          <w:szCs w:val="18"/>
          <w:color w:val="auto"/>
        </w:rPr>
      </w:pPr>
    </w:p>
    <w:p>
      <w:pPr>
        <w:ind w:left="1000" w:hanging="317"/>
        <w:spacing w:after="0" w:line="287"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2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4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0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expires in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the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2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2029. After expiry of RE39,754 in 2017, a competitor may develop a competing polymorphic form other than based on polymorph B, which could compete with polymorph B.</w:t>
      </w:r>
    </w:p>
    <w:p>
      <w:pPr>
        <w:spacing w:after="0" w:line="33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able to effectively block entry of generic versions of our entinostat crystalline polymorph B candidate products into markets where the crystalline polymorph B patent claims are found to be invalid.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entinostat and our and our licensors’ patents or other intellectual property rights may not be effective or sufficient to prevent them from competing.</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 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2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result in our having to negotiate a new or reinstated agreement, which may not be available to us on equally favorable terms, or at 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entinostat.</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entinostat, our competitors might be able to enter the market, which would harm our business.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32"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entinostat,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4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or derivation proceedings before the United States or other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An unfavorable outcome could require us or our licensors or collaborators to cease using the related technology or developing or commercializing entinostat,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entinostat or force us to cease some of our business operations, which could materially harm our business.</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71"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32" w:lineRule="exact"/>
        <w:rPr>
          <w:sz w:val="20"/>
          <w:szCs w:val="20"/>
          <w:color w:val="auto"/>
        </w:rPr>
      </w:pPr>
    </w:p>
    <w:p>
      <w:pPr>
        <w:ind w:right="220" w:firstLine="456"/>
        <w:spacing w:after="0" w:line="288" w:lineRule="auto"/>
        <w:rPr>
          <w:sz w:val="20"/>
          <w:szCs w:val="20"/>
          <w:color w:val="auto"/>
        </w:rPr>
      </w:pPr>
      <w:r>
        <w:rPr>
          <w:rFonts w:ascii="Arial" w:cs="Arial" w:eastAsia="Arial" w:hAnsi="Arial"/>
          <w:sz w:val="16"/>
          <w:szCs w:val="16"/>
          <w:color w:val="auto"/>
        </w:rPr>
        <w:t>Prior to this offering, no market for shares of our common stock existed and an active trading market for our shares may never develop or be sustained following this offering. Our common stock has been approved for listing on the NASDAQ Global Select Market, however, there is no assurance that it will be listed or, if it is so listed that an active trading market will develop on such exchange. We and the underwriters will determine the initial public offering price based on a number of factors, and such price may not be ultimately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26" w:lineRule="exact"/>
        <w:rPr>
          <w:sz w:val="20"/>
          <w:szCs w:val="20"/>
          <w:color w:val="auto"/>
        </w:rPr>
      </w:pPr>
    </w:p>
    <w:p>
      <w:pPr>
        <w:ind w:left="1000" w:hanging="317"/>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trials of entinostat or those of our competitors;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entinostat or clinical development programs;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the stock market in general, and the NASDAQ Global Select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32"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our executive officers, directors, holders of 5% or more of our capital stock and their respective affiliates beneficially owned approximately 78.3% of our outstanding voting stock and, upon completion of this offering, that same group will hold approximately 60.8% of our outstanding voting stock, assuming no exercise of outstanding options.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as defined in the Jumpstart Our Business Startups Act of 2012, or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4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72" w:lineRule="exact"/>
        <w:rPr>
          <w:sz w:val="20"/>
          <w:szCs w:val="20"/>
          <w:color w:val="auto"/>
        </w:rPr>
      </w:pPr>
    </w:p>
    <w:p>
      <w:pPr>
        <w:ind w:left="1000" w:right="200" w:hanging="317"/>
        <w:spacing w:after="0" w:line="33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4" w:lineRule="exact"/>
        <w:rPr>
          <w:rFonts w:ascii="Arial" w:cs="Arial" w:eastAsia="Arial" w:hAnsi="Arial"/>
          <w:sz w:val="16"/>
          <w:szCs w:val="16"/>
          <w:color w:val="auto"/>
        </w:rPr>
      </w:pPr>
    </w:p>
    <w:p>
      <w:pPr>
        <w:ind w:left="1000" w:right="40" w:hanging="317"/>
        <w:spacing w:after="0" w:line="256"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“say on pay” provisions (requiring a non-binding stockholder vote to approve compensation of certain executive officers) and the “say on golden parachute” provisions (requiring a non-binding stockholder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62" w:lineRule="exact"/>
        <w:rPr>
          <w:rFonts w:ascii="Arial" w:cs="Arial" w:eastAsia="Arial" w:hAnsi="Arial"/>
          <w:sz w:val="18"/>
          <w:szCs w:val="18"/>
          <w:color w:val="auto"/>
        </w:rPr>
      </w:pPr>
    </w:p>
    <w:p>
      <w:pPr>
        <w:ind w:left="1000" w:right="100" w:hanging="317"/>
        <w:spacing w:after="0" w:line="332"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4" w:lineRule="exact"/>
        <w:rPr>
          <w:rFonts w:ascii="Arial" w:cs="Arial" w:eastAsia="Arial" w:hAnsi="Arial"/>
          <w:sz w:val="16"/>
          <w:szCs w:val="16"/>
          <w:color w:val="auto"/>
        </w:rPr>
      </w:pPr>
    </w:p>
    <w:p>
      <w:pPr>
        <w:ind w:left="1000" w:hanging="317"/>
        <w:spacing w:after="0" w:line="268"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this offering; (ii) the first fiscal year after our annual gross revenues are $1.0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because we may rely on these exemptions. If some investors find our common stock less attractive as a result, there may be a less active trading market for our common stock, and our stock price may be more volatile and may decline.</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incur increased costs as a result of operating as a public company, and our management will devote substantial time to new compliance initiatives.</w:t>
      </w:r>
    </w:p>
    <w:p>
      <w:pPr>
        <w:spacing w:after="0" w:line="20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17,372,675 shares of common stock (including 14,684 shares of unvested restricted stock subject to repurchase by us) based on the number of shares outstanding as of December 31, 2015, assuming: (i) no exercise of the underwriters’ over-allotment option; and (ii) the conversion of all outstanding shares of our convertible preferred stock into 12,872,551 shares of common stock immediately prior to the completion of this offering. This includes the shares that we sell in this offering, which may be resold in the public market immediately without restriction, unless purchased by our affiliates. Of the remaining shares, 12,972,675 shares of our common stock are currently restricted as a result of securities laws or lock-up agreements but will be able to be sold after this offering as described in the section titled “Shares Eligible for Future Sale” included elsewhere in this prospectus. Moreover, after this offering, holders of an aggregate of 13,259,554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 included elsewhere in this prospectus.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7"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 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that will become effective immediately prior to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47" w:lineRule="exact"/>
        <w:rPr>
          <w:sz w:val="20"/>
          <w:szCs w:val="20"/>
          <w:color w:val="auto"/>
        </w:rPr>
      </w:pPr>
    </w:p>
    <w:p>
      <w:pPr>
        <w:ind w:left="1000" w:right="700" w:hanging="317"/>
        <w:spacing w:after="0" w:line="26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50" w:lineRule="exact"/>
        <w:rPr>
          <w:rFonts w:ascii="Arial" w:cs="Arial" w:eastAsia="Arial" w:hAnsi="Arial"/>
          <w:sz w:val="18"/>
          <w:szCs w:val="18"/>
          <w:color w:val="auto"/>
        </w:rPr>
      </w:pPr>
    </w:p>
    <w:p>
      <w:pPr>
        <w:ind w:left="1000" w:right="320" w:hanging="317"/>
        <w:spacing w:after="0" w:line="26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thereby requiring all stockholder actions to be taken at a meeting of our stockholders;</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90" w:lineRule="exact"/>
        <w:rPr>
          <w:rFonts w:ascii="Arial" w:cs="Arial" w:eastAsia="Arial" w:hAnsi="Arial"/>
          <w:sz w:val="18"/>
          <w:szCs w:val="18"/>
          <w:color w:val="auto"/>
        </w:rPr>
      </w:pPr>
    </w:p>
    <w:p>
      <w:pPr>
        <w:ind w:left="1000" w:right="240" w:hanging="317"/>
        <w:spacing w:after="0" w:line="26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11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b w:val="1"/>
          <w:bCs w:val="1"/>
          <w:i w:val="1"/>
          <w:iCs w:val="1"/>
          <w:color w:val="auto"/>
        </w:rPr>
        <w:t>Our amended and restated certificate of incorporation that will become effective upon the closing of this offering will provide that the Court of Chancery of the State of Delaware is the sole and exclusive forum for certain litigation that may be initiated by our stockholders, which could limit our stockholders’ ability to obtain a favorable judicial forum for disputes with us or our directors, officers, employees or agents.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that the Court of Chancery of the State of Delaware is the sole and exclusive forum for: (i) any derivative action or proceeding brought on behalf of the company; (ii) any action or proceeding commenced by any of our stockholders (including any class action) asserting a claim of breach of a fiduciary duty owed to the company, or other wrongdoing, by any director, officer,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employee or agent of the company or the company’s stockholders; (iii) any action or proceeding commenced by any of our stockholders (including any class action) asserting a claim against the company arising pursuant to any provision of the DGCL, our amended and restated certificate of incorporation or our amended and restated bylaws, each of which will become effective upon the closing of this offering; (iv) any action or proceeding commenced by any of our stockholders (including any class action) to interpret, apply, enforce or determine the validity of our amended and restated certificate of incorporation or our amended and restated bylaws; or (v) any action or proceeding commenced by any of our stockholders (including any class action) asserting a claim against the company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our stockholder’s ability to bring a claim in a judicial forum that it finds favorable for disputes with us or our directors, officers, employees or agents, which may discourage such lawsuits against us and our directors, officers,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INDUSTRY DATA</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Some of the statements made in the sections titled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“could,” “expect,” “would,” “plan,” “anticipate,” “believe,” “estimate,” “predict,” “potential,” “intend” or “continue,” or the negative of these terms or other comparable terminology.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12" w:lineRule="exact"/>
        <w:rPr>
          <w:sz w:val="20"/>
          <w:szCs w:val="20"/>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90" w:lineRule="exact"/>
        <w:rPr>
          <w:rFonts w:ascii="Arial" w:cs="Arial" w:eastAsia="Arial" w:hAnsi="Arial"/>
          <w:sz w:val="18"/>
          <w:szCs w:val="18"/>
          <w:color w:val="auto"/>
        </w:rPr>
      </w:pPr>
    </w:p>
    <w:p>
      <w:pPr>
        <w:ind w:left="1000" w:right="140" w:hanging="317"/>
        <w:spacing w:after="0" w:line="268"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from the planned Phase 1b/2 clinical trials of entinostat in lung cancer, melanoma, ovarian cancer and triple negative breast cancer;</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timing of the commencement, progress and receipt of data from the planned Phase 3 clinical trial of entinostat in advanced HR+ breast cancer;</w:t>
      </w:r>
    </w:p>
    <w:p>
      <w:pPr>
        <w:spacing w:after="0" w:line="124" w:lineRule="exact"/>
        <w:rPr>
          <w:rFonts w:ascii="Arial" w:cs="Arial" w:eastAsia="Arial" w:hAnsi="Arial"/>
          <w:sz w:val="15"/>
          <w:szCs w:val="15"/>
          <w:color w:val="auto"/>
        </w:rPr>
      </w:pPr>
    </w:p>
    <w:p>
      <w:pPr>
        <w:ind w:left="1000" w:hanging="317"/>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timing of the commencement, progress and receipt of data from any other clinical trials that we and our collaborators may conduct;</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replicate results from a completed clinical trial in a future clinical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for entinostat and the timing or likelihood of regulatory filings and approvals for entinostat;</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license with Bayer and KHK;</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entinostat development;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protection we establish and maintain for intellectual property rights covering entinostat and our technology;</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market adoption of entinostat by physicians and patients;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in the section titled “Risk Factors” and elsewhere in this prospectus. You should not rely upon forward-looking statements as predictions of future events.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after the date of this prospectus, we are under no duty to update or revise any of the forward-looking statements, whether as a result of new information, future events or otherwise.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also contains estimates, projections and other information concerning our industry, the market and our business. Information that is based on estimates, forecasts, projections or similar methodologies is inherently subject to uncertainties and actual events or circumstances may differ materially from events and circumstances reflected in this information. We obtained the industry, market and competitive position data in this prospectus from our own internal estimates and research as well as from industry and general publications and research surveys and studies conducted by third parties.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estimate that our net proceeds from the sale of shares of our common stock in this offering will be approximately $58.6 million, based on an assumed initial public offering price of $15.00 per share, the midpoint of the estimated price range set forth on the cover of this prospectus, after deducting underwriting discounts and commissions and estimated offering expenses payable by us. If the underwriters exercise their over-allotment option in full, we estimate that our net proceeds will be approximately $67.8 million based on an assumed initial public offering price of $15.00 per share, the midpoint of the estimated price range set forth on the cover of this prospectus, after deducting underwriting discounts and commissions and estimated offering expenses payable by us.</w:t>
      </w:r>
    </w:p>
    <w:p>
      <w:pPr>
        <w:spacing w:after="0" w:line="1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to facilitate our future access to the public capital markets. We currently expect to use the net proceeds from this offering, together with our existing cash, cash equivalents and short-term investments, for the following purposes:</w:t>
      </w:r>
    </w:p>
    <w:p>
      <w:pPr>
        <w:spacing w:after="0" w:line="181" w:lineRule="exact"/>
        <w:rPr>
          <w:sz w:val="20"/>
          <w:szCs w:val="20"/>
          <w:color w:val="auto"/>
        </w:rPr>
      </w:pPr>
    </w:p>
    <w:p>
      <w:pPr>
        <w:ind w:left="1000" w:right="700" w:hanging="317"/>
        <w:spacing w:after="0" w:line="26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approximately $28.0 million to support the clinical trials of entinostat in combination with </w:t>
      </w:r>
      <w:r>
        <w:rPr>
          <w:rFonts w:ascii="Arial" w:cs="Arial" w:eastAsia="Arial" w:hAnsi="Arial"/>
          <w:sz w:val="18"/>
          <w:szCs w:val="18"/>
          <w:i w:val="1"/>
          <w:iCs w:val="1"/>
          <w:color w:val="auto"/>
        </w:rPr>
        <w:t>Keytruda</w:t>
      </w:r>
      <w:r>
        <w:rPr>
          <w:rFonts w:ascii="Arial" w:cs="Arial" w:eastAsia="Arial" w:hAnsi="Arial"/>
          <w:sz w:val="11"/>
          <w:szCs w:val="11"/>
          <w:color w:val="auto"/>
        </w:rPr>
        <w:t>®</w:t>
      </w:r>
      <w:r>
        <w:rPr>
          <w:rFonts w:ascii="Arial" w:cs="Arial" w:eastAsia="Arial" w:hAnsi="Arial"/>
          <w:sz w:val="18"/>
          <w:szCs w:val="18"/>
          <w:color w:val="auto"/>
        </w:rPr>
        <w:t xml:space="preserve"> (pembrolizumab), atezolizumab and avelumab through the expected completion date of the two Phase 2 clinical trials;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$10.0 million to support additional clinical trials of entinostat in combination with immune checkpoint inhibitors;</w:t>
      </w:r>
    </w:p>
    <w:p>
      <w:pPr>
        <w:spacing w:after="0" w:line="90" w:lineRule="exact"/>
        <w:rPr>
          <w:rFonts w:ascii="Arial" w:cs="Arial" w:eastAsia="Arial" w:hAnsi="Arial"/>
          <w:sz w:val="18"/>
          <w:szCs w:val="18"/>
          <w:color w:val="auto"/>
        </w:rPr>
      </w:pPr>
    </w:p>
    <w:p>
      <w:pPr>
        <w:ind w:left="1000" w:right="480" w:hanging="317"/>
        <w:spacing w:after="0" w:line="26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$19.0 million to support the Phase 3 clinical trial of entinostat in advanced HR+ breast cancer through the primary endpoint of overall survival data;</w:t>
      </w:r>
    </w:p>
    <w:p>
      <w:pPr>
        <w:spacing w:after="0" w:line="50" w:lineRule="exact"/>
        <w:rPr>
          <w:rFonts w:ascii="Arial" w:cs="Arial" w:eastAsia="Arial" w:hAnsi="Arial"/>
          <w:sz w:val="18"/>
          <w:szCs w:val="18"/>
          <w:color w:val="auto"/>
        </w:rPr>
      </w:pPr>
    </w:p>
    <w:p>
      <w:pPr>
        <w:ind w:left="1000" w:right="560" w:hanging="317"/>
        <w:spacing w:after="0" w:line="26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approximately $16.0 million to conduct activities to support the filing of a New Drug Application for entinostat, including manufacturing of registration batches of active pharmaceutical ingredient and final drug product; and</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depend on numerous factors, including the ongoing status of and results from our clinical trials and other studies and any unforeseen cash needs. As a result, our management will have broad discretion in applying the net proceeds from this offering. We may use a portion of the net proceeds from this offering allocated to general corporate purposes for the acquisition or licensing, as the case may be, of product candidates, technologies, compounds, other assets or complementary businesses; however, we have no current understandings, agreements or commitments to do so. Pending these uses, we intend to invest the net proceeds from this offering in interest-bearing, investment-grade securities.</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Although it is difficult to predict future liquidity requirements, we believe that the net proceeds from this offering, together with our existing cash, cash equivalents and short-term investments, will fund our projected operating expenses and capital expenditure requirements for at least the next 24 months.</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Each $1.00 increase (decrease) in the assumed initial public offering price of $15.00 per share, the midpoint of the estimated price range set forth on the cover of this prospectus, would increase (decrease) the net proceeds to us from this offering by approximately $4.1 million, assuming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underwriting discounts and commissions and estimated offering expenses payable by us. We may also increase or decrease the number of shares we are offering. We may also increase or decrease the number of shares we are offering. Each increase (decrease) of 1.0 million shares in the number of shares offered by us would increase (decrease) the net proceeds to us from this offering by approximately $14.0 million, assuming the assumed initial public offering price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intend to declare or pay any cash dividends in the foreseeable future. As a result, you will likely need to sell your shares of common stock to realize a return on your investment, and you may not be able to sell your shares at or above the price you paid for them.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our capitalization as of December 31, 2015, on:</w:t>
      </w:r>
    </w:p>
    <w:p>
      <w:pPr>
        <w:spacing w:after="0" w:line="212" w:lineRule="exact"/>
        <w:rPr>
          <w:sz w:val="20"/>
          <w:szCs w:val="20"/>
          <w:color w:val="auto"/>
        </w:rPr>
      </w:pPr>
    </w:p>
    <w:p>
      <w:pPr>
        <w:ind w:left="1000" w:hanging="317"/>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90" w:lineRule="exact"/>
        <w:rPr>
          <w:rFonts w:ascii="Arial" w:cs="Arial" w:eastAsia="Arial" w:hAnsi="Arial"/>
          <w:sz w:val="18"/>
          <w:szCs w:val="18"/>
          <w:color w:val="auto"/>
        </w:rPr>
      </w:pPr>
    </w:p>
    <w:p>
      <w:pPr>
        <w:ind w:left="1000" w:right="60" w:hanging="317"/>
        <w:spacing w:after="0" w:line="259"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 forma basis giving effect to the conversion of all outstanding shares of our convertible preferred stock outstanding as of December 31, 2015 into an aggregate of 12,872,551 shares of our common stock upon completion of this offering and the reclassification of the common stock warrant liability to additional paid-in capital; and</w:t>
      </w:r>
    </w:p>
    <w:p>
      <w:pPr>
        <w:spacing w:after="0" w:line="59" w:lineRule="exact"/>
        <w:rPr>
          <w:rFonts w:ascii="Arial" w:cs="Arial" w:eastAsia="Arial" w:hAnsi="Arial"/>
          <w:sz w:val="18"/>
          <w:szCs w:val="18"/>
          <w:color w:val="auto"/>
        </w:rPr>
      </w:pPr>
    </w:p>
    <w:p>
      <w:pPr>
        <w:ind w:left="1000" w:hanging="317"/>
        <w:spacing w:after="0" w:line="256"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 forma as adjusted basis giving additional effect to the sale of 4,400,000 shares of common stock in this offering at an assumed initial public offering price of $15.00 per share, the midpoint of the estimated price range set forth on the cover of this prospectus, after deducting underwriting discounts and commissions and estimated offering expenses payable by us, as if the sale of the shares in this offering had occurred on December 31, 2015.</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information in this table is illustrative only and our capitalization following the completion of this offering will be adjusted based on the actual initial public offering price and other terms of this offering determined at pricing. You should read this table in conjunction with the information contained in the sections titled “Use of Proceeds,” “Selected Consolidated Financial Data” and “Management’s Discussion and Analysis of Financial Condition and Results of Operations,” as well as the consolidated financial statements and related notes thereto included elsewhere in this prospectus.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Pro Forma</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180" w:type="dxa"/>
            <w:vAlign w:val="bottom"/>
          </w:tcPr>
          <w:p>
            <w:pPr>
              <w:spacing w:after="0"/>
              <w:rPr>
                <w:sz w:val="14"/>
                <w:szCs w:val="14"/>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Pro Forma</w:t>
            </w:r>
          </w:p>
        </w:tc>
        <w:tc>
          <w:tcPr>
            <w:tcW w:w="10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86,489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146,315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w w:val="96"/>
              </w:rPr>
              <w:t>Convertible preferred stock, par value $0.001: 16,598,980 shares authorized, 12,732,466 shares issued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83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gridSpan w:val="2"/>
          </w:tcPr>
          <w:p>
            <w:pPr>
              <w:ind w:left="200"/>
              <w:spacing w:after="0"/>
              <w:rPr>
                <w:sz w:val="20"/>
                <w:szCs w:val="20"/>
                <w:color w:val="auto"/>
              </w:rPr>
            </w:pPr>
            <w:r>
              <w:rPr>
                <w:rFonts w:ascii="Arial" w:cs="Arial" w:eastAsia="Arial" w:hAnsi="Arial"/>
                <w:sz w:val="18"/>
                <w:szCs w:val="18"/>
                <w:color w:val="auto"/>
                <w:w w:val="99"/>
              </w:rPr>
              <w:t>outstanding, actual; no shares authorized, issued or outstanding, pro forma and pro forma as adjusted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319,113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w w:val="91"/>
              </w:rPr>
              <w:t>Series A convertible preferred stock, par value $0.001: 3,512,194 shares authorized, 700,435 shares issued</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640"/>
              <w:spacing w:after="0"/>
              <w:rPr>
                <w:sz w:val="20"/>
                <w:szCs w:val="20"/>
                <w:color w:val="auto"/>
              </w:rPr>
            </w:pPr>
            <w:r>
              <w:rPr>
                <w:rFonts w:ascii="Arial" w:cs="Arial" w:eastAsia="Arial" w:hAnsi="Arial"/>
                <w:sz w:val="18"/>
                <w:szCs w:val="18"/>
                <w:color w:val="auto"/>
                <w:w w:val="90"/>
              </w:rPr>
              <w:t>and outstanding, actual; no shares authorized, issued or outstanding, pro forma and pro forma as adjusted</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7,231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Common stock, par value $0.0001: 20,800,000 shares authorized, 85,440 shares issued and outstanding,</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8"/>
              </w:rPr>
              <w:t>actual</w:t>
            </w:r>
            <w:r>
              <w:rPr>
                <w:rFonts w:ascii="Arial" w:cs="Arial" w:eastAsia="Arial" w:hAnsi="Arial"/>
                <w:sz w:val="11"/>
                <w:szCs w:val="11"/>
                <w:color w:val="auto"/>
                <w:w w:val="98"/>
              </w:rPr>
              <w:t>(1)</w:t>
            </w:r>
            <w:r>
              <w:rPr>
                <w:rFonts w:ascii="Arial" w:cs="Arial" w:eastAsia="Arial" w:hAnsi="Arial"/>
                <w:sz w:val="18"/>
                <w:szCs w:val="18"/>
                <w:color w:val="auto"/>
                <w:w w:val="98"/>
              </w:rPr>
              <w:t>; 100,000,000 shares authorized, 12,957,991 shares issued and outstanding, pro forma</w:t>
            </w:r>
            <w:r>
              <w:rPr>
                <w:rFonts w:ascii="Arial" w:cs="Arial" w:eastAsia="Arial" w:hAnsi="Arial"/>
                <w:sz w:val="11"/>
                <w:szCs w:val="11"/>
                <w:color w:val="auto"/>
                <w:w w:val="98"/>
              </w:rPr>
              <w:t>(1)</w:t>
            </w:r>
            <w:r>
              <w:rPr>
                <w:rFonts w:ascii="Arial" w:cs="Arial" w:eastAsia="Arial" w:hAnsi="Arial"/>
                <w:sz w:val="18"/>
                <w:szCs w:val="18"/>
                <w:color w:val="auto"/>
                <w:w w:val="98"/>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6"/>
              </w:rPr>
              <w:t>100,000,000 shares authorized, 17,357,991 shares issued and outstanding, pro forma as adjusted</w:t>
            </w:r>
            <w:r>
              <w:rPr>
                <w:rFonts w:ascii="Arial" w:cs="Arial" w:eastAsia="Arial" w:hAnsi="Arial"/>
                <w:sz w:val="11"/>
                <w:szCs w:val="11"/>
                <w:color w:val="auto"/>
                <w:w w:val="96"/>
              </w:rPr>
              <w:t>(1)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w w:val="91"/>
              </w:rPr>
              <w:t>Preferred stock, par value $0.001: no shares authorized, issued and outstanding, actual; 10,000,000 shares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gridSpan w:val="2"/>
          </w:tcPr>
          <w:p>
            <w:pPr>
              <w:ind w:left="640"/>
              <w:spacing w:after="0"/>
              <w:rPr>
                <w:sz w:val="20"/>
                <w:szCs w:val="20"/>
                <w:color w:val="auto"/>
              </w:rPr>
            </w:pPr>
            <w:r>
              <w:rPr>
                <w:rFonts w:ascii="Arial" w:cs="Arial" w:eastAsia="Arial" w:hAnsi="Arial"/>
                <w:sz w:val="18"/>
                <w:szCs w:val="18"/>
                <w:color w:val="auto"/>
              </w:rPr>
              <w:t>authorized, no shares issued and outstanding, pro forma and pro forma as adjusted</w:t>
            </w:r>
          </w:p>
        </w:tc>
        <w:tc>
          <w:tcPr>
            <w:tcW w:w="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329,191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387,771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(259,675)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(259,675)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(259,675)</w:t>
            </w: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color w:val="auto"/>
              </w:rPr>
              <w:t>Total stockholders’ (deficit) equity</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2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(252,415)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69,546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128,126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69,546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128,126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Excludes 14,684 shares of unvested restricted stock subject to repurchase by us.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number of shares of our common stock outstanding immediately following this offering set forth above is based on 17,357,991 shares of our common stock outstanding as of December 31, 2015, which gives effect to the pro forma transactions described above and excludes the following:</w:t>
      </w:r>
    </w:p>
    <w:p>
      <w:pPr>
        <w:spacing w:after="0" w:line="126" w:lineRule="exact"/>
        <w:rPr>
          <w:sz w:val="20"/>
          <w:szCs w:val="20"/>
          <w:color w:val="auto"/>
        </w:rPr>
      </w:pPr>
    </w:p>
    <w:p>
      <w:pPr>
        <w:ind w:left="1000" w:right="180" w:hanging="317"/>
        <w:spacing w:after="0" w:line="268"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2,606,195 shares of our common stock issuable upon the exercise of stock options outstanding as of December 31, 2015 under the 2007 Plan at a weighted-average exercise price of $7.56 per share;</w:t>
      </w:r>
    </w:p>
    <w:p>
      <w:pPr>
        <w:spacing w:after="0" w:line="50" w:lineRule="exact"/>
        <w:rPr>
          <w:rFonts w:ascii="Arial" w:cs="Arial" w:eastAsia="Arial" w:hAnsi="Arial"/>
          <w:sz w:val="18"/>
          <w:szCs w:val="18"/>
          <w:color w:val="auto"/>
        </w:rPr>
      </w:pPr>
    </w:p>
    <w:p>
      <w:pPr>
        <w:ind w:left="1000" w:right="180" w:hanging="317"/>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355,857 shares of our common stock issuable upon the exercise of the Bayer Warrant at an exercise price of $1.54 per share, based upon 19,978,870 shares of our common stock outstanding as of December 31, 2015 on a fully diluted basis immediately following this offering, which warrant is expected to remain outstanding upon completion of this offering;</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14,684 shares of unvested restricted stock subject to repurchase by us;</w:t>
      </w:r>
    </w:p>
    <w:p>
      <w:pPr>
        <w:spacing w:after="0" w:line="90" w:lineRule="exact"/>
        <w:rPr>
          <w:rFonts w:ascii="Arial" w:cs="Arial" w:eastAsia="Arial" w:hAnsi="Arial"/>
          <w:sz w:val="18"/>
          <w:szCs w:val="18"/>
          <w:color w:val="auto"/>
        </w:rPr>
      </w:pPr>
    </w:p>
    <w:p>
      <w:pPr>
        <w:ind w:left="1000" w:right="40" w:hanging="317"/>
        <w:spacing w:after="0" w:line="33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1,750,000 shares of our common stock reserved for issuance under the 2015 Plan, which will become effective upon completion of this offering, as well as any future increases in the number of shares of our common stock reserved for issuance under the 2015 Plan; and</w:t>
      </w:r>
    </w:p>
    <w:p>
      <w:pPr>
        <w:spacing w:after="0" w:line="4" w:lineRule="exact"/>
        <w:rPr>
          <w:rFonts w:ascii="Arial" w:cs="Arial" w:eastAsia="Arial" w:hAnsi="Arial"/>
          <w:sz w:val="16"/>
          <w:szCs w:val="16"/>
          <w:color w:val="auto"/>
        </w:rPr>
      </w:pPr>
    </w:p>
    <w:p>
      <w:pPr>
        <w:ind w:left="1000" w:right="140" w:hanging="317"/>
        <w:spacing w:after="0" w:line="332" w:lineRule="auto"/>
        <w:tabs>
          <w:tab w:leader="none" w:pos="1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250,000 shares of our common stock reserved for issuance under the ESPP, which will become effective upon completion of this offering, as well as any future increases in the number of shares of our common stock reserved for issuance under the ESPP.</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Each $1.00 increase (decrease) in the assumed initial public offering price of $15.00 per share, the midpoint of the estimated price range set forth on the cover page of this prospectus, would increase (decrease) each of cash, cash equivalents and short-term investments, additional paid-in capital, total stockholders’ equity and total capitalization by approximately $4.1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 million shares in the number of shares offered by us would increase (decrease) each of cash, cash equivalents and short-term investments, additional paid-in capital, total stockholders’ equity and total capitalization by approximately $14.0 million, assuming that the assumed initial public offering price of $15.00 per share, the midpoint of the estimated price range set forth on the cover page of this prospectus,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assumed initial public offering price per share of our common stock and the pro forma as adjusted net tangible book value per share of our common stock immediately after this offering. Net tangible book value per share of our common stock is determined at any date by subtracting our total liabilities and convertible preferred stock from the amount of our total tangible assets (total assets less intangible assets) and dividing the difference by the number of shares of our common stock deemed to be outstanding at that date.</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historical net tangible book deficit as of December 31, 2015 was $(252.4) million, or $(2,954.30) per share, based on 85,440 shares of common stock outstanding as of December 31, 2015 (excluding 14,684 shares of unvested restricted stock subject to repurchase by us). Our pro forma net tangible book value as of December 31, 2015 was approximately $69.5 million, or $5.37 per share. Our pro forma net tangible book value per share gives effect to the conversion of all outstanding shares of our convertible preferred stock outstanding as of December 31, 2015 into an aggregate of 12,872,551 shares of our common stock upon completion of this offering.</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After giving effect to our receipt of approximately $58.6 million of estimated net proceeds, after deducting underwriting discounts and commissions and estimated offering expenses payable by us, from our sale of common stock in this offering at an assumed initial public offering price of $15.00 per share, the midpoint of the estimated price range set forth on the cover page of this prospectus, our pro forma as adjusted net tangible book value as of December 31, 2015, would have been $128.1 million, or $7.38 per share. This amount represents an immediate increase in net tangible book value of $2.01 per share of our common stock to existing stockholders and an immediate dilution in net tangible book value of $7.62 per share of our common stock to new investors purchasing shares of common stock in this offering.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200" w:type="dxa"/>
            <w:vAlign w:val="bottom"/>
          </w:tcPr>
          <w:p>
            <w:pPr>
              <w:ind w:left="44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20" w:type="dxa"/>
            <w:vAlign w:val="bottom"/>
            <w:gridSpan w:val="2"/>
          </w:tcPr>
          <w:p>
            <w:pPr>
              <w:spacing w:after="0"/>
              <w:rPr>
                <w:sz w:val="20"/>
                <w:szCs w:val="20"/>
                <w:color w:val="auto"/>
              </w:rPr>
            </w:pPr>
            <w:r>
              <w:rPr>
                <w:rFonts w:ascii="Arial" w:cs="Arial" w:eastAsia="Arial" w:hAnsi="Arial"/>
                <w:sz w:val="18"/>
                <w:szCs w:val="18"/>
                <w:color w:val="auto"/>
              </w:rPr>
              <w:t>Historical net tangible book deficit per share as of December 31, 2015</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$(2,954.30)</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w w:val="91"/>
              </w:rPr>
              <w:t>Pro forma increase in net tangible book value per share attributable to pro forma transactions and other adjustments described</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above</w:t>
            </w:r>
          </w:p>
        </w:tc>
        <w:tc>
          <w:tcPr>
            <w:tcW w:w="4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2,959.67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220" w:type="dxa"/>
            <w:vAlign w:val="bottom"/>
            <w:gridSpan w:val="2"/>
          </w:tcPr>
          <w:p>
            <w:pPr>
              <w:spacing w:after="0"/>
              <w:rPr>
                <w:sz w:val="20"/>
                <w:szCs w:val="20"/>
                <w:color w:val="auto"/>
              </w:rPr>
            </w:pPr>
            <w:r>
              <w:rPr>
                <w:rFonts w:ascii="Arial" w:cs="Arial" w:eastAsia="Arial" w:hAnsi="Arial"/>
                <w:sz w:val="18"/>
                <w:szCs w:val="18"/>
                <w:color w:val="auto"/>
              </w:rPr>
              <w:t>Pro forma net tangible book value per share before this offering</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 forma increase in net tangible book value per share attributable to new investors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4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common stock in this offering</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Each $1.00 increase (decrease) in the assumed initial public offering price of $15.00 per share, the midpoint of the estimated price range set forth on the cover page of this prospectus, would increase (decrease) our pro forma as adjusted net tangible book value by $4.1 million or by $0.24 per share and the dilution to new investors in this offering by $0.76 per share, assuming the number of shares offered by us, as set forth on the cover page of this prospectus, remains the same, and after deducting underwriting discounts and commissions and estimated offering expenses payable by us.</w:t>
      </w:r>
    </w:p>
    <w:p>
      <w:pPr>
        <w:spacing w:after="0" w:line="113"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may also increase or decrease the number of shares we are offering. An increase of 1.0 million shares in the number of shares offered by us would increase our pro forma as adjusted net tangible book value after this offering by approximately $14.0 million, or $0.76 per share, and the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dilution per share to new investors would be $0.36 per share, assuming that the assumed public offering price remains the same, and after deducting underwriting discounts and commissions and estimated offering expenses payable by us. Similarly, a decrease of 1.0 million of shares in the number of shares offered by us would decrease our as adjusted net tangible book value after this offering by approximately $14.0 million, or $0.85 per share, and the dilution per share to new investors would be $0.40 per share, assuming that the assumed public offering price remains the same, and after deducting underwriting discounts and commissions and estimated offering expenses payable by us.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per share after giving effect to this offering would be $7.62 per share, which amount represents an immediate increase in pro forma net tangible book value of $2.25 per share of our common stock to existing stockholders and an immediate dilution in net tangible book value of $7.38 per share of our common stock to new investors purchasing shares of common stock in this offering.</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following table summarizes, as of December 31, 2015, after giving effect to the pro forma adjustments noted above, the differences between the number of shares purchased from us, the total consideration paid to us, and the average price per share paid to us by existing stockholders and by new investors purchasing shares in this offering, before deducting underwriting discounts and commissions and estimated offering expenses payable by us, at an assumed initial public offering price of $15.00 per share, the midpoint of the estimated price range set forth on the cover page of this prospectus.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gridSpan w:val="2"/>
          </w:tcPr>
          <w:p>
            <w:pPr>
              <w:ind w:left="480"/>
              <w:spacing w:after="0"/>
              <w:rPr>
                <w:sz w:val="20"/>
                <w:szCs w:val="20"/>
                <w:color w:val="auto"/>
              </w:rPr>
            </w:pPr>
            <w:r>
              <w:rPr>
                <w:rFonts w:ascii="Arial" w:cs="Arial" w:eastAsia="Arial" w:hAnsi="Arial"/>
                <w:sz w:val="14"/>
                <w:szCs w:val="14"/>
                <w:b w:val="1"/>
                <w:bCs w:val="1"/>
                <w:color w:val="auto"/>
                <w:w w:val="92"/>
              </w:rPr>
              <w:t>Total Cash</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Shares Purchased</w:t>
            </w:r>
          </w:p>
        </w:tc>
        <w:tc>
          <w:tcPr>
            <w:tcW w:w="22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Consideration</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Average Price</w:t>
            </w:r>
          </w:p>
        </w:tc>
        <w:tc>
          <w:tcPr>
            <w:tcW w:w="0" w:type="dxa"/>
            <w:vAlign w:val="bottom"/>
          </w:tcPr>
          <w:p>
            <w:pPr>
              <w:spacing w:after="0"/>
              <w:rPr>
                <w:sz w:val="1"/>
                <w:szCs w:val="1"/>
                <w:color w:val="auto"/>
              </w:rPr>
            </w:pPr>
          </w:p>
        </w:tc>
      </w:tr>
      <w:tr>
        <w:trPr>
          <w:trHeight w:val="142"/>
        </w:trPr>
        <w:tc>
          <w:tcPr>
            <w:tcW w:w="62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Number</w:t>
            </w: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600" w:type="dxa"/>
            <w:vAlign w:val="bottom"/>
          </w:tcPr>
          <w:p>
            <w:pPr>
              <w:spacing w:after="0"/>
              <w:rPr>
                <w:sz w:val="12"/>
                <w:szCs w:val="12"/>
                <w:color w:val="auto"/>
              </w:rPr>
            </w:pPr>
          </w:p>
        </w:tc>
        <w:tc>
          <w:tcPr>
            <w:tcW w:w="11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12,958</w:t>
            </w:r>
          </w:p>
        </w:tc>
        <w:tc>
          <w:tcPr>
            <w:tcW w:w="500" w:type="dxa"/>
            <w:vAlign w:val="bottom"/>
            <w:vMerge w:val="continue"/>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$188,089</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New investors</w:t>
            </w:r>
          </w:p>
        </w:tc>
        <w:tc>
          <w:tcPr>
            <w:tcW w:w="540" w:type="dxa"/>
            <w:vAlign w:val="bottom"/>
          </w:tcPr>
          <w:p>
            <w:pPr>
              <w:jc w:val="right"/>
              <w:spacing w:after="0"/>
              <w:rPr>
                <w:sz w:val="20"/>
                <w:szCs w:val="20"/>
                <w:color w:val="auto"/>
              </w:rPr>
            </w:pPr>
            <w:r>
              <w:rPr>
                <w:rFonts w:ascii="Arial" w:cs="Arial" w:eastAsia="Arial" w:hAnsi="Arial"/>
                <w:sz w:val="18"/>
                <w:szCs w:val="18"/>
                <w:color w:val="auto"/>
              </w:rPr>
              <w:t>4,400</w:t>
            </w:r>
          </w:p>
        </w:tc>
        <w:tc>
          <w:tcPr>
            <w:tcW w:w="5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660" w:type="dxa"/>
            <w:vAlign w:val="bottom"/>
          </w:tcPr>
          <w:p>
            <w:pPr>
              <w:jc w:val="right"/>
              <w:spacing w:after="0"/>
              <w:rPr>
                <w:sz w:val="20"/>
                <w:szCs w:val="20"/>
                <w:color w:val="auto"/>
              </w:rPr>
            </w:pPr>
            <w:r>
              <w:rPr>
                <w:rFonts w:ascii="Arial" w:cs="Arial" w:eastAsia="Arial" w:hAnsi="Arial"/>
                <w:sz w:val="18"/>
                <w:szCs w:val="18"/>
                <w:color w:val="auto"/>
              </w:rPr>
              <w:t>66,000</w:t>
            </w:r>
          </w:p>
        </w:tc>
        <w:tc>
          <w:tcPr>
            <w:tcW w:w="5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17,358</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254,089</w:t>
            </w: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The number of shares of our common stock outstanding immediately following this offering is based on 17,357,991 shares of our common stock outstanding as of December 31, 2015, which gives effect to the pro forma transactions described above and excludes the following:</w:t>
      </w:r>
    </w:p>
    <w:p>
      <w:pPr>
        <w:spacing w:after="0" w:line="126" w:lineRule="exact"/>
        <w:rPr>
          <w:sz w:val="20"/>
          <w:szCs w:val="20"/>
          <w:color w:val="auto"/>
        </w:rPr>
      </w:pPr>
    </w:p>
    <w:p>
      <w:pPr>
        <w:ind w:left="1000" w:right="220" w:hanging="317"/>
        <w:spacing w:after="0" w:line="268"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2,606,195 shares of our common stock issuable upon the exercise of stock options outstanding as of December 31, 2015 under the 2007 Plan at a weighted-average exercise price of $7.56 per share;</w:t>
      </w:r>
    </w:p>
    <w:p>
      <w:pPr>
        <w:spacing w:after="0" w:line="50" w:lineRule="exact"/>
        <w:rPr>
          <w:rFonts w:ascii="Arial" w:cs="Arial" w:eastAsia="Arial" w:hAnsi="Arial"/>
          <w:sz w:val="18"/>
          <w:szCs w:val="18"/>
          <w:color w:val="auto"/>
        </w:rPr>
      </w:pPr>
    </w:p>
    <w:p>
      <w:pPr>
        <w:ind w:left="1000" w:right="100" w:hanging="317"/>
        <w:spacing w:after="0" w:line="259"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355,857 shares of our common stock based upon 19,978,870 shares of our common stock outstanding as of December 31, 2015 on a fully diluted basis immediately following this offering, issuable upon the exercise of the Bayer Warrant at an exercise price of $1.54 per share, which warrant is expected to remain outstanding upon completion of this offering;</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14,684 shares of unvested restricted stock subject to repurchase by us;</w:t>
      </w:r>
    </w:p>
    <w:p>
      <w:pPr>
        <w:spacing w:after="0" w:line="90" w:lineRule="exact"/>
        <w:rPr>
          <w:rFonts w:ascii="Arial" w:cs="Arial" w:eastAsia="Arial" w:hAnsi="Arial"/>
          <w:sz w:val="18"/>
          <w:szCs w:val="18"/>
          <w:color w:val="auto"/>
        </w:rPr>
      </w:pPr>
    </w:p>
    <w:p>
      <w:pPr>
        <w:ind w:left="1000" w:right="80" w:hanging="317"/>
        <w:spacing w:after="0" w:line="33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1,750,000 shares of our common stock reserved for issuance under the 2015 Plan, which will become effective upon completion of this offering, as well as any future increases in the number of shares of our common stock reserved for issuance under the 2015 Plan; and</w:t>
      </w:r>
    </w:p>
    <w:p>
      <w:pPr>
        <w:spacing w:after="0" w:line="4" w:lineRule="exact"/>
        <w:rPr>
          <w:rFonts w:ascii="Arial" w:cs="Arial" w:eastAsia="Arial" w:hAnsi="Arial"/>
          <w:sz w:val="16"/>
          <w:szCs w:val="16"/>
          <w:color w:val="auto"/>
        </w:rPr>
      </w:pPr>
    </w:p>
    <w:p>
      <w:pPr>
        <w:ind w:left="1000" w:right="180" w:hanging="317"/>
        <w:spacing w:after="0" w:line="33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250,000 shares of our common stock reserved for issuance under the ESPP, which will become effective upon completion of this offering, as well as any future increases in the number of shares of our common stock reserved for issuance under the ESPP.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all our outstanding stock options had been exercised as of December 31, 2015, assuming the treasury stock method, our pro forma net tangible book value as of December 31, 2015 (calculated on the basis of the assumptions set forth above) would have been approximately $72.1 million, or $5.47 per share of our common stock, and the pro forma as adjusted net tangible book value would have been $7.44 per share, representing dilution in our pro forma as adjusted net tangible book value to new investors of $7.56 per share.</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by issuing equity securities or convertible debt, your ownership will be further diluted.</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Effective upon completion of this offering, 1,750,000 shares of our common stock will be reserved for future issuance under our 2015 Plan and 250,000 shares of our common stock will be reserved for future issuance under our ESPP, and the number of reserved shares under each such plan will also be subject to automatic annual increases in accordance with the terms of the plans. New awards that we may grant under our 2015 Plan or shares issued under our ESPP will further dilute investors purchasing common stock in this offering.</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You should read the following selected consolidated financial data together with the information contained in the section titled “Management’s Discussion and Analysis of Financial Condition and Results of Operations” and our consolidated financial statements and the related notes, included elsewhere in this prospectus. We have derived the consolidated statements of operations data for the years ended December 31, 2014 and 2015 and the consolidated balance sheet data as of December 31, 2014 and 2015 from our audited consolidated financial statements, included elsewhere in this prospectus. Our historical results are not necessarily indicative of results to be expected for the full year or any period in the future.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17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4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fees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10,175</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11,157</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5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21,332</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(21,332)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5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(19,828)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(26,357)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(103,845)</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11"/>
                <w:szCs w:val="1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(453.02)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(1,519.27)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0"/>
              </w:rPr>
              <w:t>Weighted-average common shares outstanding used to compute net loss per share attributable to common stockholders—basic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58,181</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r>
              <w:rPr>
                <w:rFonts w:ascii="Arial" w:cs="Arial" w:eastAsia="Arial" w:hAnsi="Arial"/>
                <w:sz w:val="11"/>
                <w:szCs w:val="11"/>
                <w:color w:val="auto"/>
              </w:rPr>
              <w:t>(1)</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5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954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0" w:lineRule="exact"/>
              <w:rPr>
                <w:sz w:val="20"/>
                <w:szCs w:val="20"/>
                <w:color w:val="auto"/>
              </w:rPr>
            </w:pPr>
            <w:r>
              <w:rPr>
                <w:rFonts w:ascii="Arial" w:cs="Arial" w:eastAsia="Arial" w:hAnsi="Arial"/>
                <w:sz w:val="18"/>
                <w:szCs w:val="18"/>
                <w:color w:val="auto"/>
              </w:rPr>
              <w:t>(2.28)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Pro forma weighted-average common shares outstanding used to compute net loss per share attributable to common stockholders,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1"/>
                <w:szCs w:val="11"/>
                <w:color w:val="auto"/>
              </w:rPr>
              <w:t>(1)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9,597,519</w:t>
            </w:r>
          </w:p>
        </w:tc>
        <w:tc>
          <w:tcPr>
            <w:tcW w:w="0" w:type="dxa"/>
            <w:vAlign w:val="bottom"/>
          </w:tcPr>
          <w:p>
            <w:pPr>
              <w:spacing w:after="0"/>
              <w:rPr>
                <w:sz w:val="1"/>
                <w:szCs w:val="1"/>
                <w:color w:val="auto"/>
              </w:rPr>
            </w:pPr>
          </w:p>
        </w:tc>
      </w:tr>
      <w:tr>
        <w:trPr>
          <w:trHeight w:val="20"/>
        </w:trPr>
        <w:tc>
          <w:tcPr>
            <w:tcW w:w="9540" w:type="dxa"/>
            <w:vAlign w:val="bottom"/>
            <w:gridSpan w:val="2"/>
            <w:vMerge w:val="restart"/>
          </w:tcPr>
          <w:p>
            <w:pPr>
              <w:ind w:left="562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60" w:hanging="452"/>
        <w:spacing w:after="0" w:line="370" w:lineRule="auto"/>
        <w:tabs>
          <w:tab w:leader="none" w:pos="460"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See Note 2 to our audited consolidated financial statements included elsewhere in this prospectus for an explanation of the method used to calculate the historical and pro forma net loss per share, basic and diluted, and the weighted-average number of shares used in the computation of the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700" w:type="dxa"/>
            <w:vAlign w:val="bottom"/>
          </w:tcPr>
          <w:p>
            <w:pPr>
              <w:spacing w:after="0"/>
              <w:rPr>
                <w:sz w:val="14"/>
                <w:szCs w:val="14"/>
                <w:color w:val="auto"/>
              </w:rPr>
            </w:pPr>
          </w:p>
        </w:tc>
        <w:tc>
          <w:tcPr>
            <w:tcW w:w="21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600" w:type="dxa"/>
            <w:vAlign w:val="bottom"/>
            <w:gridSpan w:val="2"/>
            <w:vMerge w:val="continue"/>
          </w:tcPr>
          <w:p>
            <w:pPr>
              <w:spacing w:after="0"/>
              <w:rPr>
                <w:sz w:val="12"/>
                <w:szCs w:val="12"/>
                <w:color w:val="auto"/>
              </w:rPr>
            </w:pPr>
          </w:p>
        </w:tc>
        <w:tc>
          <w:tcPr>
            <w:tcW w:w="4700" w:type="dxa"/>
            <w:vAlign w:val="bottom"/>
          </w:tcPr>
          <w:p>
            <w:pPr>
              <w:spacing w:after="0"/>
              <w:rPr>
                <w:sz w:val="12"/>
                <w:szCs w:val="12"/>
                <w:color w:val="auto"/>
              </w:rPr>
            </w:pPr>
          </w:p>
        </w:tc>
        <w:tc>
          <w:tcPr>
            <w:tcW w:w="72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  12,091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86,489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12,816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1,449</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7,435</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liability</w:t>
            </w:r>
          </w:p>
        </w:tc>
        <w:tc>
          <w:tcPr>
            <w:tcW w:w="57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693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740" w:type="dxa"/>
            <w:vAlign w:val="bottom"/>
            <w:gridSpan w:val="3"/>
          </w:tcPr>
          <w:p>
            <w:pPr>
              <w:jc w:val="right"/>
              <w:ind w:right="320"/>
              <w:spacing w:after="0"/>
              <w:rPr>
                <w:sz w:val="20"/>
                <w:szCs w:val="20"/>
                <w:color w:val="auto"/>
              </w:rPr>
            </w:pPr>
            <w:r>
              <w:rPr>
                <w:rFonts w:ascii="Arial" w:cs="Arial" w:eastAsia="Arial" w:hAnsi="Arial"/>
                <w:sz w:val="18"/>
                <w:szCs w:val="18"/>
                <w:color w:val="auto"/>
              </w:rPr>
              <w:t>146,853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319,113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57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(159,801)</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(259,675)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5740" w:type="dxa"/>
            <w:vAlign w:val="bottom"/>
            <w:gridSpan w:val="3"/>
          </w:tcPr>
          <w:p>
            <w:pPr>
              <w:jc w:val="right"/>
              <w:ind w:right="260"/>
              <w:spacing w:after="0"/>
              <w:rPr>
                <w:sz w:val="20"/>
                <w:szCs w:val="20"/>
                <w:color w:val="auto"/>
              </w:rPr>
            </w:pPr>
            <w:r>
              <w:rPr>
                <w:rFonts w:ascii="Arial" w:cs="Arial" w:eastAsia="Arial" w:hAnsi="Arial"/>
                <w:sz w:val="18"/>
                <w:szCs w:val="18"/>
                <w:color w:val="auto"/>
              </w:rPr>
              <w:t>(152,569)</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(252,415)</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700" w:type="dxa"/>
            <w:vAlign w:val="bottom"/>
          </w:tcPr>
          <w:p>
            <w:pPr>
              <w:jc w:val="right"/>
              <w:ind w:right="3412"/>
              <w:spacing w:after="0"/>
              <w:rPr>
                <w:sz w:val="20"/>
                <w:szCs w:val="20"/>
                <w:color w:val="auto"/>
              </w:rPr>
            </w:pPr>
            <w:r>
              <w:rPr>
                <w:rFonts w:ascii="Arial" w:cs="Arial" w:eastAsia="Arial" w:hAnsi="Arial"/>
                <w:sz w:val="18"/>
                <w:szCs w:val="18"/>
                <w:color w:val="auto"/>
              </w:rPr>
              <w:t>59</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We are a clinical stage biopharmaceutical company developing entinostat as a combination therapy in multiple cancer indications with our initial focus on tumors that have shown sensitivity to immunotherapy, including lung cancer, melanoma, ovarian cancer and triple negative breast cancer, or TNBC. Entinostat is our oral, small molecule drug candidate that has direct effects on both cancer cells and immune regulatory cells, potentially enhancing the body’s immune response to tumors. The favorable safety profile of entinostat has been demonstrated in clinical trials in more than 900 cancer patients. We are currently evaluating entinostat in combination with </w:t>
      </w:r>
      <w:r>
        <w:rPr>
          <w:rFonts w:ascii="Arial" w:cs="Arial" w:eastAsia="Arial" w:hAnsi="Arial"/>
          <w:sz w:val="16"/>
          <w:szCs w:val="16"/>
          <w:i w:val="1"/>
          <w:iCs w:val="1"/>
          <w:color w:val="auto"/>
        </w:rPr>
        <w:t>Keytruda</w:t>
      </w:r>
      <w:r>
        <w:rPr>
          <w:rFonts w:ascii="Arial" w:cs="Arial" w:eastAsia="Arial" w:hAnsi="Arial"/>
          <w:sz w:val="10"/>
          <w:szCs w:val="10"/>
          <w:color w:val="auto"/>
        </w:rPr>
        <w:t>®</w:t>
      </w:r>
      <w:r>
        <w:rPr>
          <w:rFonts w:ascii="Arial" w:cs="Arial" w:eastAsia="Arial" w:hAnsi="Arial"/>
          <w:sz w:val="16"/>
          <w:szCs w:val="16"/>
          <w:color w:val="auto"/>
        </w:rPr>
        <w:t xml:space="preserve"> (pembrolizumab) in a Phase 1b/2 clinical trial, ENCORE 601, for non-small cell lung cancer, or NSCLC, and melanoma, and we plan to initiate a Phase 1b/2 clinical trial, ENCORE 602, for entinostat in combination with atezolizumab in TNBC in the first half of 2016 and a Phase 1b/2 clinical trial, ENCORE 603, for entinostat in combination with avelumab in ovarian cancer in the second half of 2016. We have also entered into a collaboration with Ares Trading S.A., a subsidiary of Merck KGaA, Darmstadt, Germany, or Merck KGaA, and Pfizer, Inc., to evaluate the safety, tolerability and preliminary efficacy of entinostat in combination with an investigational monoclonal antibody targeting PDL-1, avelumab, in a Phase 1b/2 clinical trial, ENCORE 603, of patients with ovarian cancer. We believe that, based on its mechanism of action, entinostat may have broad applications in additional tumor types, including head and neck, bladder and renal cell, which are immuno-responsive, or sensitive to immunotherapy.</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are also developing entinostat for use in advanced hormone receptor positive, or HR+, breast cancer. Following positive results from our Phase 2b clinical trial, ENCORE 301, entinostat in combination with </w:t>
      </w:r>
      <w:r>
        <w:rPr>
          <w:rFonts w:ascii="Arial" w:cs="Arial" w:eastAsia="Arial" w:hAnsi="Arial"/>
          <w:sz w:val="16"/>
          <w:szCs w:val="16"/>
          <w:i w:val="1"/>
          <w:iCs w:val="1"/>
          <w:color w:val="auto"/>
        </w:rPr>
        <w:t>Aromasin</w:t>
      </w:r>
      <w:r>
        <w:rPr>
          <w:rFonts w:ascii="Arial" w:cs="Arial" w:eastAsia="Arial" w:hAnsi="Arial"/>
          <w:sz w:val="10"/>
          <w:szCs w:val="10"/>
          <w:color w:val="auto"/>
        </w:rPr>
        <w:t>®</w:t>
      </w:r>
      <w:r>
        <w:rPr>
          <w:rFonts w:ascii="Arial" w:cs="Arial" w:eastAsia="Arial" w:hAnsi="Arial"/>
          <w:sz w:val="16"/>
          <w:szCs w:val="16"/>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07" w:lineRule="exact"/>
        <w:rPr>
          <w:sz w:val="20"/>
          <w:szCs w:val="20"/>
          <w:color w:val="auto"/>
        </w:rPr>
      </w:pPr>
    </w:p>
    <w:p>
      <w:pPr>
        <w:ind w:right="380" w:firstLine="456"/>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and we continue to incur significant research and development and other expenses related to our ongoing operations. As a result, we are not and have never been profitable and have incurred losses in each period since our inception in 2005. For the years ended December 31, 2014 and 2015, we reported a net loss of $19.8 million and $24.1 million, respectively. As of December 31, 2015, we had an accumulated deficit of $259.7 million, which included non-cash charges for stock-based compensation, preferred stock accretion and extinguishment charges. As of December 31, 2015, we had cash, cash equivalents and short-term investments of $86.5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 entinostat.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revenues in 2015 have been derived from our license agreement with Kyowa Hakko Kirin Co., Ltd., or KHK, under which we granted KHK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exclusive license to develop and commercialize entinostat in Japan and Korea, or the KHK license agreement. In 2015, we received a $25.0 million upfront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from KHK, inclusive of an equity investment, and to the extent certain development and commercial milestones are achieved, we will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million in milestone payments from KHK over the term of the KHK license agreement. Under the terms of the KHK license agreement, we are responsible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manufacture and supply of the product during the development activities and we are obligated to provide KHK with access to know-how and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that we may develop over the life of the entinostat patent. We allocated $17.3 million of the upfront payment to the upfront license fee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there are two units of accounting in connection with our obligations at inception under the KHK license agreement: (i) license unit of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rights to additional intellectual property. The two deliverables identified above comprise the license unit of accounting. We concluded that the stand-alone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price for the rights to additional intellectual property unit of account is immaterial. As such, the entire $17.3 million allocated to the upfront license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allocated to the license unit of accounting. The arrangement consideration allocated to the license unit of accounting will be recognized as revenue ratably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our expected services period (currently expected to be through 2029) commencing on the date of the first delivery of the clinical trial materials,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occurred during the second quarter of 2015. The balance of the upfront payment of $7.7 million was allocated to KHK’s purchase of shares of our Series B-1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entinostat, which include:</w:t>
      </w:r>
    </w:p>
    <w:p>
      <w:pPr>
        <w:spacing w:after="0" w:line="172" w:lineRule="exact"/>
        <w:rPr>
          <w:sz w:val="20"/>
          <w:szCs w:val="20"/>
          <w:color w:val="auto"/>
        </w:rPr>
      </w:pPr>
    </w:p>
    <w:p>
      <w:pPr>
        <w:ind w:left="1000" w:right="180" w:hanging="317"/>
        <w:spacing w:after="0" w:line="26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50" w:lineRule="exact"/>
        <w:rPr>
          <w:rFonts w:ascii="Arial" w:cs="Arial" w:eastAsia="Arial" w:hAnsi="Arial"/>
          <w:sz w:val="18"/>
          <w:szCs w:val="18"/>
          <w:color w:val="auto"/>
        </w:rPr>
      </w:pPr>
    </w:p>
    <w:p>
      <w:pPr>
        <w:ind w:left="1000" w:right="300" w:hanging="317"/>
        <w:spacing w:after="0" w:line="26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employee-related expenses related to our research and development activities, including salaries, benefits, travel and stock-based compensation expenses;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we expand the clinical development of entinostat, the amount of research and development expenses allocated to external spending will continue to grow, while we expect our internal spending to grow at a slower and more controlled pace. We have incurred a total of $71.8 million in research and development expenses from our inception through December 31, 2015.</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Conducting a significant amount of research and development is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seek to complete the development of entinostat. The successful development of entinostat is highly uncertain. At this time, we cannot reasonably estimate the nature, timing or costs of the efforts that will be necessary to complete the remainder of the development of entinostat for the period, if any, in which material net cash inflows from these potential drug candidates may commence. Clinical development timelines, the probability of success and development costs can differ materially from expectations.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legal services. We anticipate that our general and administrative expenses will increase in future periods, reflecting both increased costs in connection with the potential future commercialization of entinostat, an expanding infrastructure and increased professional fees associated with being a public reporting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and marketing expenses consist primarily of salaries and benefits for employees in the marketing, commercial and sales functions. Other significant expenses include professional and consulting fees related to these functions. Though we have incurred immaterial sales and marketing expenses to date as we continue primarily with the clinical development of our drug candidate programs, we expect to begin to incur increased selling and marketing expenses in anticipation of the commercialization of entinostat. These increased expenses will include payroll-related costs as we add employees in the commercial departments, costs related to the initiation and operation of our sales and distribution network and marketing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of interest expense on amounts borrowed under our term loan facility, capital leases and convertible notes.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71"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common stock warrant liability is associated with warrants to purchase common stock issued with license agreements. The change in fair value consists of the calculated change in value based upon the fair value of the underlying security at the end of each reporting period as calculated using the Black-Scholes option pricing model. Gains and losses arising from changes in fair value are recognized in other income (expense) in the consolidated statements of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Derivatives</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2014, we entered into a loan and security agreement consisting of a term loan facility that included a contingent liability that we determined to be a free-standing derivative. Although the term loans were paid in full during the fourth quarter of 2015, the contingent liability survived and is due and payable upon certain change of control or liquidity events. At each balance sheet date prior to the settlement of the contingent liability, we calculate the fair value of this right using a probability-weighted expected-return model, or PWERM. Gains and losses arising from changes in fair value are recognized in other income (expense) in the consolidated statements of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in Note 1 to our audited consolidated financial statements included elsewhere in this prospectus, we believe that the impact of recently issued standards that are not yet effective will not have a material impact on our financial position or results of operations upon adoption.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7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our significant accounting policies are more fully described in Note 1 to our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have generated revenue through license fees for the development and commercialization our product candidate, entinostat. We make judgments that affect the periods over which we recognize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revenue. We recognize revenue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we identify the deliverables included within the agreement and evaluate which deliverables represent separate units of accounting based on the achievement of certain criteria including whether the deliverable has stand-alone value to the collaborator. Upfront payments received in connection with licenses of our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 We periodically review our estimated periods of performance based on the progress under each arrangement and account for the impact of any changes in estimated periods of performance on a prospective basis.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 fees paid to CROs and investigative sites in connection with clinical studies and to vendors related to product manufacturing and development of clinical supplies.</w:t>
      </w:r>
    </w:p>
    <w:p>
      <w:pPr>
        <w:spacing w:after="0" w:line="118"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We issue stock-based awards to employees and non-employees, generally in the form of stock options. We account for our stock-based awards in accordance with FASB Accounting Standards Codification, or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or ASC 718. ASC 718 requires all stock-based payments to employees, including grants of employee stock options and modifications to existing stock options, to be recognized in the consolidated statements of comprehensive loss based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on their fair values. We account for stock-based awards to non-employees in accordance with FASB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the fair value of the award to be re-measured at fair value as the award vests. We recognize the compensation cost of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awards on a straight-line basis over the vesting period of the award for employees and non-employees, which is generally four years. Compensation expense related to our stock-based awards is subject to a number of estimates, including the estimated volatility and underlying fair value of our common stock as well as the estimated life of the awards. For a detailed description of how we estimate fair value for purposes of option grants and the methodology used in measuring stock-based compensation expense, see “Stock-Based Compensation and Common Stock Valuations” below. Following the completion of this offering, stock option values will be determined based on the market price of our common stock on the NASDAQ Global Select Market.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recorded common stock warrants issued in connection with license agreements as derivative financial liabilities. These warrants were initially recorded at fair value with gains and losses arising from changes in fair value recognized in the consolidated statements of comprehensive loss at each period end while such instruments are outstanding. The liabilities were valued using a Black-Scholes option-pricing model. The significant assumptions used in estimating the fair value of our warrant liabilities include the exercise price, volatility of the stock underlying the warrant, risk-free interest rate, estimated fair value of the stock underlying the warrant, and the estimated life of the warrant.</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2014, we recorded a derivative liability related to the 2014 term loans for the contingent success fee owed upon the occurrence of an initial public offering, or IPO, or other change of control events. The estimated fair value was determined using a PWERM approach. The fair value of the derivative will be re-measured at each balance sheet date until the liability is settled and any changes in the fair value of the derivative liability will be recorded in other income (expense) in the consolidated statements of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Common Stock Valuations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We estimate the fair value of our stock-based awards to employees and non-employees using the Black-Scholes option pricing model, which requires the input of highly subjective assumptions, including (a) the expected volatility of our stock, (b) the expected term of the award, (c) the risk-free interest rate</w:t>
      </w:r>
    </w:p>
    <w:p>
      <w:pPr>
        <w:ind w:right="20" w:firstLine="8"/>
        <w:spacing w:after="0" w:line="288"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dividends and (e) the fair value of our common stock on the date of grant. Due to the lack of a public market for the trading of our common stock and a lack of company-specific historical and implied volatility data, we have based our estimates of expected volatility on the historical volatility of a group of publicly traded companies in the life sciences and biotechnology industries generally in a similar stage of development as ourselves. For these analyses, we have selected companies that we consider broadly comparable to our company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methodology until a sufficient amount of historical information regarding the volatility of our own stock price becomes available. For options granted to employees in 2014 and 2015, we determined the</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expected term based on an average of expected terms used by a peer group of similar public companies. The risk-free interest rates for periods within the expected life of the option are based on the U.S. Treasury yield curve in effect during the period the options were granted.</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also required to estimate forfeitures at the time of grant and revise estimates in subsequent periods if actual forfeitures differ from estimates. We use historical data to estimate pre-vesting option forfeitures and record stock-based compensation expense only for those awards that are expected to vest. To the extent that actual forfeitures differ from our estimates, the difference is recorded as a cumulative adjustment in the period the estimates were revised. Stock-based compensation expense recognized in the consolidated financial statements is based on awards that are ultimately expected to vest.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computed the fair value of employee and non-employee stock options at date of grant using the following weighted-average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left="62"/>
              <w:spacing w:after="0"/>
              <w:rPr>
                <w:sz w:val="20"/>
                <w:szCs w:val="20"/>
                <w:color w:val="auto"/>
              </w:rPr>
            </w:pPr>
            <w:r>
              <w:rPr>
                <w:rFonts w:ascii="Arial" w:cs="Arial" w:eastAsia="Arial" w:hAnsi="Arial"/>
                <w:sz w:val="14"/>
                <w:szCs w:val="14"/>
                <w:b w:val="1"/>
                <w:bCs w:val="1"/>
                <w:color w:val="auto"/>
                <w:w w:val="84"/>
              </w:rPr>
              <w:t>Years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7"/>
              </w:rPr>
              <w:t>December 31,</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3"/>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3"/>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Volatility rate</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70.36%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5"/>
          </w:tcPr>
          <w:p>
            <w:pPr>
              <w:jc w:val="right"/>
              <w:ind w:right="60"/>
              <w:spacing w:after="0"/>
              <w:rPr>
                <w:sz w:val="20"/>
                <w:szCs w:val="20"/>
                <w:color w:val="auto"/>
              </w:rPr>
            </w:pPr>
            <w:r>
              <w:rPr>
                <w:rFonts w:ascii="Arial" w:cs="Arial" w:eastAsia="Arial" w:hAnsi="Arial"/>
                <w:sz w:val="18"/>
                <w:szCs w:val="18"/>
                <w:color w:val="auto"/>
                <w:w w:val="94"/>
              </w:rPr>
              <w:t>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1.73%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0.00%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86"/>
              </w:rPr>
              <w:t>0.00%</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9480" w:type="dxa"/>
            <w:vAlign w:val="bottom"/>
          </w:tcPr>
          <w:p>
            <w:pPr>
              <w:ind w:left="440"/>
              <w:spacing w:after="0"/>
              <w:rPr>
                <w:sz w:val="20"/>
                <w:szCs w:val="20"/>
                <w:color w:val="auto"/>
              </w:rPr>
            </w:pPr>
            <w:r>
              <w:rPr>
                <w:rFonts w:ascii="Arial" w:cs="Arial" w:eastAsia="Arial" w:hAnsi="Arial"/>
                <w:sz w:val="18"/>
                <w:szCs w:val="18"/>
                <w:color w:val="auto"/>
              </w:rPr>
              <w:t>Stock-based compensation for employees and non-employees was allocated as outlined below (in thousands):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Years Ended</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9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5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1,730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2,257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December 31, 2015, total unrecognized compensation expense was $9.1 million, net of related forfeiture estimates; and the weighted-average remaining requisite service period was 3.2 years. We expect the impact of our stock-based compensation expense for stock options granted to employees and non-employees to grow in future periods due to the potential increases in the value of our common stock and in headcount.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 xml:space="preserve">We are a private company with no public market for our common stock. Therefore, our board of directors determines the fair value of our common stock considering, in part, the work of an independent third-party valuation specialist. The valuations were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also known as the Practice Aid. In conducting these valuations, our board of directors considered all objective and subjective factors that it believed to be relevant, including its and management’s best estimates of our business condition, prospects and operating performance at each grant date. The valuations, assumptions and methodologies included, among other things:</w:t>
      </w:r>
    </w:p>
    <w:p>
      <w:pPr>
        <w:spacing w:after="0" w:line="185" w:lineRule="exact"/>
        <w:rPr>
          <w:sz w:val="20"/>
          <w:szCs w:val="20"/>
          <w:color w:val="auto"/>
        </w:rPr>
      </w:pPr>
    </w:p>
    <w:p>
      <w:pPr>
        <w:ind w:left="5620" w:right="1720" w:hanging="4937"/>
        <w:spacing w:after="0" w:line="440" w:lineRule="auto"/>
        <w:tabs>
          <w:tab w:leader="none" w:pos="10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recent contemporaneous third-party valuations prepared in accordance with methodologies outlined in the Practice Aid; 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280" w:hanging="317"/>
        <w:spacing w:after="0" w:line="332"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prices of our convertible preferred stock sold to investors in arm’s length transactions and the rights, preferences and privileges of our convertible preferred stock as compared to those of our common stock, including the liquidation preferences of our convertible preferred stock;</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results of operations, financial position and the status of research and development efforts;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lack of liquidity of our common stock as a private company;</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90" w:lineRule="exact"/>
        <w:rPr>
          <w:rFonts w:ascii="Arial" w:cs="Arial" w:eastAsia="Arial" w:hAnsi="Arial"/>
          <w:sz w:val="18"/>
          <w:szCs w:val="18"/>
          <w:color w:val="auto"/>
        </w:rPr>
      </w:pPr>
    </w:p>
    <w:p>
      <w:pPr>
        <w:ind w:left="1000" w:right="280" w:hanging="317"/>
        <w:spacing w:after="0" w:line="268"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valuation of comparable publicly traded companies in the life science and biotechnology sectors, as well as recently completed mergers and acquisitions of peer companies;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our stockholders, such as an IPO or a sale of our company, given prevailing market conditions; and</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external market conditions affecting the life science and biotechnology sectors.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and the determinations of the appropriate valuation methods. If we had made different assumptions, our stock-based compensation expense, net loss and net loss per common share could have been significantly different. The valuations are highly complex and subjective.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 Methodologies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valuing our common stock, we used the market approach, which is based on the assumption that the value of an asset is equal to the value of a substitute asset with the same characteristics. The following market approaches were utilized in our valuations:</w:t>
      </w:r>
    </w:p>
    <w:p>
      <w:pPr>
        <w:spacing w:after="0" w:line="166" w:lineRule="exact"/>
        <w:rPr>
          <w:sz w:val="20"/>
          <w:szCs w:val="20"/>
          <w:color w:val="auto"/>
        </w:rPr>
      </w:pPr>
    </w:p>
    <w:p>
      <w:pPr>
        <w:ind w:left="1000" w:right="100" w:hanging="317"/>
        <w:spacing w:after="0" w:line="275"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Guideline Public Company Method</w:t>
      </w:r>
      <w:r>
        <w:rPr>
          <w:rFonts w:ascii="Arial" w:cs="Arial" w:eastAsia="Arial" w:hAnsi="Arial"/>
          <w:sz w:val="18"/>
          <w:szCs w:val="18"/>
          <w:color w:val="auto"/>
        </w:rPr>
        <w:t>. The guideline public company market approach estimates the value of a business by comparing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comparable publicly traded companies.</w:t>
      </w:r>
    </w:p>
    <w:p>
      <w:pPr>
        <w:spacing w:after="0" w:line="38" w:lineRule="exact"/>
        <w:rPr>
          <w:rFonts w:ascii="Arial" w:cs="Arial" w:eastAsia="Arial" w:hAnsi="Arial"/>
          <w:sz w:val="18"/>
          <w:szCs w:val="18"/>
          <w:color w:val="auto"/>
        </w:rPr>
      </w:pPr>
    </w:p>
    <w:p>
      <w:pPr>
        <w:ind w:left="1000" w:right="600" w:hanging="317"/>
        <w:spacing w:after="0" w:line="275"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Precedent Transaction Method</w:t>
      </w:r>
      <w:r>
        <w:rPr>
          <w:rFonts w:ascii="Arial" w:cs="Arial" w:eastAsia="Arial" w:hAnsi="Arial"/>
          <w:sz w:val="18"/>
          <w:szCs w:val="18"/>
          <w:color w:val="auto"/>
        </w:rPr>
        <w:t>. The precedent transaction market approach estimates the value of a business based on the utilization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own relevant stock transactions.</w:t>
      </w:r>
    </w:p>
    <w:p>
      <w:pPr>
        <w:spacing w:after="0" w:line="12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In accordance with the Practice Aid, we considered the various methods for allocating the enterprise value across our classes and series of capital stock to determine the fair value of our common stock at each valuation date. We selected the PWERM approach to allocate the equity value among the various share classes given our stage of development, the availability of relevant data and our expectation that we are able to forecast distinct future liquidity scenarios as of each valuation date. Under the PWERM approach, share value is derived from the probability-weighted present value of expected future investment returns, considering each of the possible outcomes available to us, as well as the economic and control rights of each share class. For each valuation, the fair value of our</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common stock was estimated using a probability-weighted analysis of the present value of the returns afforded to our common stockholders under several future exit or liquidity event scenarios, including (1) an IPO, (2) a trade sale of our company at a high premium to the cumulative amounts invested by our convertible preferred stock investors, or trade sale high, (3) a trade sale of our company at a lesser premium to the cumulative amounts invested by convertible preferred stock investors, or trade sale low and (4) a trade sale of our company at a value below the cumulative amounts invested by convertible preferred stock investors, or trade sale below liquidation preference.</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After the projected equity value in each scenario was allocated to the various share classes, we calculated the present value of each share class using an appropriate risk-adjusted discount rate based on consideration of the venture capital rates of return detailed in the Practice Aid and an analysis of other quantitative and qualitative factors considered pertinent to estimating the discount rate. Next, we applied a discount for lack of marketability to our common shares because we were valuing a minority interest in our company as a closely held, non-public company with no liquid market for its shares. The discount for lack of marketability was based on quantitative models (protective put option calculation), as well as empirical studies of restricted stock issued by publicly traded companies and private placements by pre-IPO companies. We also considered the rights and privileges of our convertible preferred stock relative to our common stock, including anti-dilution protection, cumulative dividend rights, protective provisions in our certificate of incorporation and rights to participate in future rounds of financing. Finally, we assigned a probability weighting to each scenario based on our estimate of the likelihood of occurrence, as of each valuation date. In each case the future projected enterprise values were based on a review of both guideline IPO and M&amp;A transactions involving life science and biotechnology companies that we considered broadly comparable to our company.</w:t>
      </w:r>
    </w:p>
    <w:p>
      <w:pPr>
        <w:spacing w:after="0" w:line="12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on the date of grant, as reported on the NASDAQ Global Select Market.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options granted from January 1, 2014 through February 26,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gridSpan w:val="2"/>
          </w:tcPr>
          <w:p>
            <w:pPr>
              <w:jc w:val="center"/>
              <w:ind w:right="364"/>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3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3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Price Per</w:t>
            </w:r>
          </w:p>
        </w:tc>
        <w:tc>
          <w:tcPr>
            <w:tcW w:w="30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Per Common</w:t>
            </w:r>
          </w:p>
        </w:tc>
      </w:tr>
      <w:tr>
        <w:trPr>
          <w:trHeight w:val="149"/>
        </w:trPr>
        <w:tc>
          <w:tcPr>
            <w:tcW w:w="35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Per Common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 at</w:t>
            </w:r>
          </w:p>
        </w:tc>
      </w:tr>
      <w:tr>
        <w:trPr>
          <w:trHeight w:val="161"/>
        </w:trPr>
        <w:tc>
          <w:tcPr>
            <w:tcW w:w="3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w w:val="89"/>
              </w:rPr>
              <w:t>Granted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Share</w:t>
            </w:r>
          </w:p>
        </w:tc>
        <w:tc>
          <w:tcPr>
            <w:tcW w:w="30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Grant Date</w:t>
            </w: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23, 2014</w:t>
            </w:r>
          </w:p>
        </w:tc>
        <w:tc>
          <w:tcPr>
            <w:tcW w:w="3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86,277</w:t>
            </w:r>
          </w:p>
        </w:tc>
        <w:tc>
          <w:tcPr>
            <w:tcW w:w="42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1"/>
                <w:szCs w:val="11"/>
                <w:color w:val="auto"/>
                <w:w w:val="88"/>
              </w:rPr>
              <w:t>(1)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February 4, 2014</w:t>
            </w:r>
          </w:p>
        </w:tc>
        <w:tc>
          <w:tcPr>
            <w:tcW w:w="4100" w:type="dxa"/>
            <w:vAlign w:val="bottom"/>
            <w:gridSpan w:val="3"/>
          </w:tcPr>
          <w:p>
            <w:pPr>
              <w:jc w:val="right"/>
              <w:ind w:right="224"/>
              <w:spacing w:after="0"/>
              <w:rPr>
                <w:sz w:val="20"/>
                <w:szCs w:val="20"/>
                <w:color w:val="auto"/>
              </w:rPr>
            </w:pPr>
            <w:r>
              <w:rPr>
                <w:rFonts w:ascii="Arial" w:cs="Arial" w:eastAsia="Arial" w:hAnsi="Arial"/>
                <w:sz w:val="18"/>
                <w:szCs w:val="18"/>
                <w:color w:val="auto"/>
              </w:rPr>
              <w:t>86,608</w:t>
            </w:r>
            <w:r>
              <w:rPr>
                <w:rFonts w:ascii="Arial" w:cs="Arial" w:eastAsia="Arial" w:hAnsi="Arial"/>
                <w:sz w:val="11"/>
                <w:szCs w:val="11"/>
                <w:color w:val="auto"/>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21.07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21.07</w:t>
            </w:r>
          </w:p>
        </w:tc>
        <w:tc>
          <w:tcPr>
            <w:tcW w:w="3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February 25, 2014</w:t>
            </w:r>
          </w:p>
        </w:tc>
        <w:tc>
          <w:tcPr>
            <w:tcW w:w="410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rPr>
              <w:t>11,393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0.00154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September 4, 2014</w:t>
            </w:r>
          </w:p>
        </w:tc>
        <w:tc>
          <w:tcPr>
            <w:tcW w:w="4100" w:type="dxa"/>
            <w:vAlign w:val="bottom"/>
            <w:gridSpan w:val="3"/>
          </w:tcPr>
          <w:p>
            <w:pPr>
              <w:jc w:val="right"/>
              <w:ind w:right="364"/>
              <w:spacing w:after="0"/>
              <w:rPr>
                <w:sz w:val="20"/>
                <w:szCs w:val="20"/>
                <w:color w:val="auto"/>
              </w:rPr>
            </w:pPr>
            <w:r>
              <w:rPr>
                <w:rFonts w:ascii="Arial" w:cs="Arial" w:eastAsia="Arial" w:hAnsi="Arial"/>
                <w:sz w:val="18"/>
                <w:szCs w:val="18"/>
                <w:color w:val="auto"/>
              </w:rPr>
              <w:t>390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6.32</w:t>
            </w:r>
          </w:p>
        </w:tc>
        <w:tc>
          <w:tcPr>
            <w:tcW w:w="3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September 15, 2014</w:t>
            </w:r>
          </w:p>
        </w:tc>
        <w:tc>
          <w:tcPr>
            <w:tcW w:w="4100" w:type="dxa"/>
            <w:vAlign w:val="bottom"/>
            <w:gridSpan w:val="3"/>
            <w:shd w:val="clear" w:color="auto" w:fill="CCEEFF"/>
          </w:tcPr>
          <w:p>
            <w:pPr>
              <w:jc w:val="right"/>
              <w:ind w:right="224"/>
              <w:spacing w:after="0"/>
              <w:rPr>
                <w:sz w:val="20"/>
                <w:szCs w:val="20"/>
                <w:color w:val="auto"/>
              </w:rPr>
            </w:pPr>
            <w:r>
              <w:rPr>
                <w:rFonts w:ascii="Arial" w:cs="Arial" w:eastAsia="Arial" w:hAnsi="Arial"/>
                <w:sz w:val="18"/>
                <w:szCs w:val="18"/>
                <w:color w:val="auto"/>
              </w:rPr>
              <w:t>265,475</w:t>
            </w:r>
            <w:r>
              <w:rPr>
                <w:rFonts w:ascii="Arial" w:cs="Arial" w:eastAsia="Arial" w:hAnsi="Arial"/>
                <w:sz w:val="11"/>
                <w:szCs w:val="11"/>
                <w:color w:val="auto"/>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December 18, 2014</w:t>
            </w:r>
          </w:p>
        </w:tc>
        <w:tc>
          <w:tcPr>
            <w:tcW w:w="4100" w:type="dxa"/>
            <w:vAlign w:val="bottom"/>
            <w:gridSpan w:val="3"/>
          </w:tcPr>
          <w:p>
            <w:pPr>
              <w:jc w:val="right"/>
              <w:ind w:right="364"/>
              <w:spacing w:after="0"/>
              <w:rPr>
                <w:sz w:val="20"/>
                <w:szCs w:val="20"/>
                <w:color w:val="auto"/>
              </w:rPr>
            </w:pPr>
            <w:r>
              <w:rPr>
                <w:rFonts w:ascii="Arial" w:cs="Arial" w:eastAsia="Arial" w:hAnsi="Arial"/>
                <w:sz w:val="18"/>
                <w:szCs w:val="18"/>
                <w:color w:val="auto"/>
              </w:rPr>
              <w:t>103,071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6.35</w:t>
            </w:r>
          </w:p>
        </w:tc>
        <w:tc>
          <w:tcPr>
            <w:tcW w:w="3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June 1, 2015</w:t>
            </w:r>
          </w:p>
        </w:tc>
        <w:tc>
          <w:tcPr>
            <w:tcW w:w="410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rPr>
              <w:t>446,852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June 1, 2015</w:t>
            </w:r>
          </w:p>
        </w:tc>
        <w:tc>
          <w:tcPr>
            <w:tcW w:w="4100" w:type="dxa"/>
            <w:vAlign w:val="bottom"/>
            <w:gridSpan w:val="3"/>
          </w:tcPr>
          <w:p>
            <w:pPr>
              <w:jc w:val="right"/>
              <w:ind w:right="224"/>
              <w:spacing w:after="0"/>
              <w:rPr>
                <w:sz w:val="20"/>
                <w:szCs w:val="20"/>
                <w:color w:val="auto"/>
              </w:rPr>
            </w:pPr>
            <w:r>
              <w:rPr>
                <w:rFonts w:ascii="Arial" w:cs="Arial" w:eastAsia="Arial" w:hAnsi="Arial"/>
                <w:sz w:val="18"/>
                <w:szCs w:val="18"/>
                <w:color w:val="auto"/>
              </w:rPr>
              <w:t>11,393</w:t>
            </w:r>
            <w:r>
              <w:rPr>
                <w:rFonts w:ascii="Arial" w:cs="Arial" w:eastAsia="Arial" w:hAnsi="Arial"/>
                <w:sz w:val="11"/>
                <w:szCs w:val="11"/>
                <w:color w:val="auto"/>
              </w:rPr>
              <w:t>(3)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0.00154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c>
          <w:tcPr>
            <w:tcW w:w="3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410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rPr>
              <w:t>548,223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August 18, 2015</w:t>
            </w:r>
          </w:p>
        </w:tc>
        <w:tc>
          <w:tcPr>
            <w:tcW w:w="4100" w:type="dxa"/>
            <w:vAlign w:val="bottom"/>
            <w:gridSpan w:val="3"/>
          </w:tcPr>
          <w:p>
            <w:pPr>
              <w:jc w:val="right"/>
              <w:ind w:right="364"/>
              <w:spacing w:after="0"/>
              <w:rPr>
                <w:sz w:val="20"/>
                <w:szCs w:val="20"/>
                <w:color w:val="auto"/>
              </w:rPr>
            </w:pPr>
            <w:r>
              <w:rPr>
                <w:rFonts w:ascii="Arial" w:cs="Arial" w:eastAsia="Arial" w:hAnsi="Arial"/>
                <w:sz w:val="18"/>
                <w:szCs w:val="18"/>
                <w:color w:val="auto"/>
              </w:rPr>
              <w:t>246,479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7.20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10.90</w:t>
            </w:r>
          </w:p>
        </w:tc>
        <w:tc>
          <w:tcPr>
            <w:tcW w:w="3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410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rPr>
              <w:t>24,000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September 9, 2015</w:t>
            </w:r>
          </w:p>
        </w:tc>
        <w:tc>
          <w:tcPr>
            <w:tcW w:w="4100" w:type="dxa"/>
            <w:vAlign w:val="bottom"/>
            <w:gridSpan w:val="3"/>
          </w:tcPr>
          <w:p>
            <w:pPr>
              <w:jc w:val="right"/>
              <w:ind w:right="364"/>
              <w:spacing w:after="0"/>
              <w:rPr>
                <w:sz w:val="20"/>
                <w:szCs w:val="20"/>
                <w:color w:val="auto"/>
              </w:rPr>
            </w:pPr>
            <w:r>
              <w:rPr>
                <w:rFonts w:ascii="Arial" w:cs="Arial" w:eastAsia="Arial" w:hAnsi="Arial"/>
                <w:sz w:val="18"/>
                <w:szCs w:val="18"/>
                <w:color w:val="auto"/>
              </w:rPr>
              <w:t>636,947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10.90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10.90</w:t>
            </w:r>
          </w:p>
        </w:tc>
        <w:tc>
          <w:tcPr>
            <w:tcW w:w="3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December 2, 2015</w:t>
            </w:r>
          </w:p>
        </w:tc>
        <w:tc>
          <w:tcPr>
            <w:tcW w:w="410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rPr>
              <w:t>20,240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January 15, 2016</w:t>
            </w:r>
          </w:p>
        </w:tc>
        <w:tc>
          <w:tcPr>
            <w:tcW w:w="4100" w:type="dxa"/>
            <w:vAlign w:val="bottom"/>
            <w:gridSpan w:val="3"/>
          </w:tcPr>
          <w:p>
            <w:pPr>
              <w:jc w:val="right"/>
              <w:ind w:right="364"/>
              <w:spacing w:after="0"/>
              <w:rPr>
                <w:sz w:val="20"/>
                <w:szCs w:val="20"/>
                <w:color w:val="auto"/>
              </w:rPr>
            </w:pPr>
            <w:r>
              <w:rPr>
                <w:rFonts w:ascii="Arial" w:cs="Arial" w:eastAsia="Arial" w:hAnsi="Arial"/>
                <w:sz w:val="18"/>
                <w:szCs w:val="18"/>
                <w:color w:val="auto"/>
              </w:rPr>
              <w:t>137,600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11.13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11.13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February 17, 2016</w:t>
            </w:r>
          </w:p>
        </w:tc>
        <w:tc>
          <w:tcPr>
            <w:tcW w:w="4100" w:type="dxa"/>
            <w:vAlign w:val="bottom"/>
            <w:gridSpan w:val="3"/>
            <w:shd w:val="clear" w:color="auto" w:fill="CCEEFF"/>
          </w:tcPr>
          <w:p>
            <w:pPr>
              <w:jc w:val="right"/>
              <w:ind w:right="364"/>
              <w:spacing w:after="0"/>
              <w:rPr>
                <w:sz w:val="20"/>
                <w:szCs w:val="20"/>
                <w:color w:val="auto"/>
              </w:rPr>
            </w:pPr>
            <w:r>
              <w:rPr>
                <w:rFonts w:ascii="Arial" w:cs="Arial" w:eastAsia="Arial" w:hAnsi="Arial"/>
                <w:sz w:val="18"/>
                <w:szCs w:val="18"/>
                <w:color w:val="auto"/>
              </w:rPr>
              <w:t>12,880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63"/>
        </w:trPr>
        <w:tc>
          <w:tcPr>
            <w:tcW w:w="3520" w:type="dxa"/>
            <w:vAlign w:val="bottom"/>
          </w:tcPr>
          <w:p>
            <w:pPr>
              <w:spacing w:after="0"/>
              <w:rPr>
                <w:sz w:val="24"/>
                <w:szCs w:val="24"/>
                <w:color w:val="auto"/>
              </w:rPr>
            </w:pPr>
          </w:p>
        </w:tc>
        <w:tc>
          <w:tcPr>
            <w:tcW w:w="3020" w:type="dxa"/>
            <w:vAlign w:val="bottom"/>
          </w:tcPr>
          <w:p>
            <w:pPr>
              <w:jc w:val="right"/>
              <w:ind w:right="652"/>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right="220" w:hanging="452"/>
        <w:spacing w:after="0" w:line="253"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September 15, 2014, 265,475 options with exercise prices ranging from $15.38 to $47.67, including all of the options issued on January 23, 2014 and February 4, 2014, were canceled in connection with an option exchange program with existing option holders for an aggregate 265,475 options priced at $6.32.</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These options were granted in connection with an option exchange program with existing option 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option was granted as a replacement option for the option granted on February 25, 2014, which expired on December 31, 2014.</w:t>
      </w:r>
    </w:p>
    <w:p>
      <w:pPr>
        <w:spacing w:after="0" w:line="16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intrinsic value of all outstanding options as of December 31, 2015 was $19.5 million based on the estimated fair value of our common stock of $15.00 per share, the midpoint of the estimated price range set forth on the cover page of this prospectus, of which approximately $6.9 million related to vested options and approximately $12.6 million related to unvested options.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(Decrease)</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20" w:type="dxa"/>
            <w:vAlign w:val="bottom"/>
            <w:gridSpan w:val="2"/>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right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License fees</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  627</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627</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22"/>
        </w:trPr>
        <w:tc>
          <w:tcPr>
            <w:tcW w:w="6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w:t>
            </w: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11,157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11,591</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02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(20,513)</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(819)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151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(1,575)</w:t>
            </w: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1,276</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Change in fair value of common stock warrant liability</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(2,155)</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3,944</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Total other income (expense)</w:t>
            </w:r>
          </w:p>
        </w:tc>
        <w:tc>
          <w:tcPr>
            <w:tcW w:w="1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2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(3,606)</w:t>
            </w:r>
          </w:p>
        </w:tc>
        <w:tc>
          <w:tcPr>
            <w:tcW w:w="1160" w:type="dxa"/>
            <w:vAlign w:val="bottom"/>
            <w:gridSpan w:val="3"/>
          </w:tcPr>
          <w:p>
            <w:pPr>
              <w:jc w:val="right"/>
              <w:ind w:right="460"/>
              <w:spacing w:after="0"/>
              <w:rPr>
                <w:sz w:val="20"/>
                <w:szCs w:val="20"/>
                <w:color w:val="auto"/>
              </w:rPr>
            </w:pPr>
            <w:r>
              <w:rPr>
                <w:rFonts w:ascii="Arial" w:cs="Arial" w:eastAsia="Arial" w:hAnsi="Arial"/>
                <w:sz w:val="18"/>
                <w:szCs w:val="18"/>
                <w:color w:val="auto"/>
              </w:rPr>
              <w:t>5,110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(19,828)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(24,119)</w:t>
            </w: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4,291</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Fees</w:t>
      </w:r>
    </w:p>
    <w:p>
      <w:pPr>
        <w:spacing w:after="0" w:line="17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For the year ended December 31, 2015, we recognized license fees of $0.6 million derived from the KHK license agreement. The arrangement consideration of $17.3 million was allocated to the license unit of accounting and will be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For the year ended December 31, 2015, our total research and development expenses decreased $0.6 million, or 6%, to $9.5 million from $10.2 million for the prior year. Research and development for the year ended December 31, 2014, included the achievement of a $2.0 million development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milestone under the license agreement with Bayer Pharma AG (formerly known as Bayer Schering Pharma AG), or Bayer, and the expenses related to the suspension of the planned 305 clinical trial in the third quarter of 2014. In addition, for the year ended December 31, 2015, spending related to the Phase 3 clinical trial of entinostat increased $0.8 million, expenses related to producing entinostat and placebo for clinical trials increased by $0.5 million, spending related to the ENCORE 601 trial increased $0.8 million and employee compensation costs increased $0.5 million. The increase in employee compensation costs was primarily due to non-cash charges related to stock-based compensation.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7"/>
              </w:rPr>
              <w:t>Years Ended</w:t>
            </w:r>
          </w:p>
        </w:tc>
        <w:tc>
          <w:tcPr>
            <w:tcW w:w="26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(Decrease)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83"/>
              </w:rPr>
              <w:t>2014</w:t>
            </w:r>
          </w:p>
        </w:tc>
        <w:tc>
          <w:tcPr>
            <w:tcW w:w="10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21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vMerge w:val="continue"/>
            <w:shd w:val="clear" w:color="auto" w:fill="CCEEFF"/>
          </w:tcPr>
          <w:p>
            <w:pPr>
              <w:spacing w:after="0"/>
              <w:rPr>
                <w:sz w:val="18"/>
                <w:szCs w:val="18"/>
                <w:color w:val="auto"/>
              </w:rPr>
            </w:pPr>
          </w:p>
        </w:tc>
        <w:tc>
          <w:tcPr>
            <w:tcW w:w="2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5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$ 5,957</w:t>
            </w:r>
          </w:p>
        </w:tc>
        <w:tc>
          <w:tcPr>
            <w:tcW w:w="2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$(1,284)</w:t>
            </w:r>
          </w:p>
        </w:tc>
        <w:tc>
          <w:tcPr>
            <w:tcW w:w="52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2,934</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3,592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658</w:t>
            </w:r>
          </w:p>
        </w:tc>
        <w:tc>
          <w:tcPr>
            <w:tcW w:w="5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10,175</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$ 9,549</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(626)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For the year ended December 31, 2015, our total general and administrative expenses increased $0.4 million, or 4%, to $11.6 million, from $11.2 million for the prior year. The increase in general and administrative expenses was primarily due to the increases in compensation costs of $3.0 million and legal and consulting costs of $1.5 million for the year ended December 31, 2015, which was partially offset by the write-off of previously capitalized costs of $4.3 million incurred in connection with preparing for an IPO in September 2014. The increase in compensation costs was due to costs related to an increase in headcount as well as employee termination costs of $1.3 million, including $0.7 million of non-cash charges related to stock-based compensation. The increase in legal and consulting costs was primarily related to business development activities and intellectual property and trademark filings.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year ended December 31, 2015, interest income increased $0.2 million from the prior year. The increase was due to interest earned on our cash, cash equivalents and short-term investments from the $25.0 million of proceeds from the licensing fees and equity investment under the KHK license and stock purchase agreements, which were received during the first quarter of 2015, the $18.7 million of gross proceeds from the Series C-1 financing, which were received during the second quarter of 2015 and the $61.3 million of gross proceeds from the Series C-1 financing, which were received during the third quarter of 2015.</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year ended December 31, 2015, interest expense increased $1.3 million to $1.6 million from $0.3 million in the prior year. The increase was due to interest expense on the $5.0 million convertible notes that were issued during the third quarter of 2014 as well as interest expense on the $9.0 million in term loans that were funded in September and December of 2014.</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increase in expense of $3.9 million in the change in fair value of common stock warrant liability for the year ended December 31, 2015 compared to the prior year was due to an increase in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fair value of the Bayer common stock warrant liability. At each period end, the fair value of the outstanding common stock warrant liability is re-measured, and the change in the fair value is recorded in other income (expense) in the consolidated statements of comprehensive loss. Upon the completion of our IPO, the warrant will be reclassified to additional paid-in capital.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Since our inception and through December 31, 2015, we have raised an aggregate of $185.8 million to fund our operations from the sale of convertible preferred stock and convertible debt securities. As of December 31, 2015, our cash, cash equivalents and short-term investments were $86.5 million.</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have incurred losses and cumulative negative cash flows from operations since our inception; and as of December 31, 2015, we had an accumulated deficit of $259.7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w:t>
      </w:r>
    </w:p>
    <w:p>
      <w:pPr>
        <w:spacing w:after="0" w:line="113"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In June 2015, we issued 1,712,559 shares of our Series C-1 convertible preferred stock for $18.5 million in cash, net of offering costs of $0.2 million, and the conversion of the outstanding principal on the convertible notes of $5.0 million that were issued during the third quarter of 2014 and related accrued interest of $0.2 million. In August 2015, we issued an additional 4,377,902 shares of our Series C-1 convertible preferred stock for $61.1 million, net of offering costs of $0.2 million.</w:t>
      </w:r>
    </w:p>
    <w:p>
      <w:pPr>
        <w:spacing w:after="0" w:line="14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As further discussed below in the section titled “Indebtedness,” we prepaid the $8.3 million outstanding balance of the loan and security agreement with Solar Capital Ltd., or Solar, plus accrued interest and a final fee and prepayment penalty on during the fourth quarter of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Ltd.</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June 2014, we entered into a loan and security agreement with Solar as collateral agent and lender, consisting of a $15.0 million senior secured term loan facility. The loan was secured by substantially all of our existing and after-acquired assets except our intellectual property, but including right of payment with respect to any such intellectual property and all proceeds from the disposition of any such intellectual property. Our intellectual property is subject to a negative pledge. In September and December 2014, we amended the term loan facility. The term loan facility had a maturity date in June 2018.</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September 2014, the initial term loan was funded in the aggregate principal amount of $5.0 million. In December 2014, an additional term loan in the aggregate principal amount of $4.0 million was funded with the post-closing condition that we enter into a strategic transaction in Japan or Korea and receive $7.5 million in net equity proceeds and $17.5 million in license-related proceeds. We received the $7.5 million in net equity proceeds in full in January 2015, pursuant to the Series B-1 preferred stock purchase agreement with KHK, or the KHK stock purchase agreement, and $17.5 million in license-related proceeds in full in February 2015, pursuant to the KHK license agreement.</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fourth quarter of 2015, we prepaid the outstanding balance of the term loans of $8.3 million plus accrued interest of $0.1 million and a final fee and prepayment penalty of $0.4 million. We recorded 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expense of $0.3 million for the final fee and prepayment penalty we were required to pay and wrote off $0.3 million of unamortized debt discount and deferred issuance costs related to the term loans. As of December 31, 2015, no amount was outstanding under this term loan facility.</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Interest accrued on the term loans at a floating rate per annum equal to LIBOR plus 8.8%, payable monthly in arrears. In connection with the term loan facility, we paid a closing fee of $170,000 and other transactional and legal costs of $140,000. Upon the completion of this offering, we will be required to pay a $150,000 success fee that will be due on the earlier of the maturity date of the term loan facility or upon the occurrence of certain change of control or liquidity events. In connection with the prepayment of the term loans, we were required to pay, and paid, a final fee equal to 4% of the amount of term loans funded that was due on the earlier of the maturity date of the term loan facility or upon the occurrence of certain change of control or liquidity events. We were required to make interest-only payments on the funded term loans until July 1, 2015. Beginning on July 1, 2015, we were required to make consecutive monthly payments of principal plus accrued interest in equal monthly installments until the maturity date. We had the option to prepay the term loans provided we pay a prepayment fee equal to 2% of the outstanding principal if paid prior to the one-year anniversary of the funding and 1% of the outstanding principal if paid after the one-year anniversary of the funding. We paid 1% of the outstanding principal as a prepayment penalty during the fourth quarter of 2015.</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Convertible Notes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September 2014, we entered into a bridge loan financing with various investors, in which we issued for an aggregate principal amount of $5.0 million (the 2014 Notes). We received $4.9 million in the first closing, which occurred in September 2014, and received $0.1 million in the second closing, which occurred in October 2014. The 2014 Notes accrued interest at 6% per annum and had a maturity date of September 30, 2015 and were convertible upon the occurrence of certain events during the period that the 2014 Notes were outstanding. In June 2015, as a result of the first close of our Series C-1 financing, the 2014 Notes and the related interest of $0.2 million were converted into 372,446 shares of our Series C-1 convertible preferred stock at an original issuance price of $14.00 per share, which was the price paid by other investors in the financing.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17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Our primary uses of capital are, and we expect will continue to be, compensation and related expenses, third-party clinical research and development services, clinical costs, legal and other regulatory expenses and general overhead costs. We believe that the net proceeds from this offering, together with our existing cash and cash equivalents, will fund our projected operating expenses and capital expenditure requirements through the end of 2017.</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 or whether, or when, we may achieve profitability. Our future capital requirements will depend on many factors, including:</w:t>
      </w:r>
    </w:p>
    <w:p>
      <w:pPr>
        <w:spacing w:after="0" w:line="184" w:lineRule="exact"/>
        <w:rPr>
          <w:sz w:val="20"/>
          <w:szCs w:val="20"/>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entinostat;</w:t>
      </w:r>
    </w:p>
    <w:p>
      <w:pPr>
        <w:spacing w:after="0" w:line="90" w:lineRule="exact"/>
        <w:rPr>
          <w:rFonts w:ascii="Arial" w:cs="Arial" w:eastAsia="Arial" w:hAnsi="Arial"/>
          <w:sz w:val="18"/>
          <w:szCs w:val="18"/>
          <w:color w:val="auto"/>
        </w:rPr>
      </w:pPr>
    </w:p>
    <w:p>
      <w:pPr>
        <w:ind w:left="1000" w:right="60" w:hanging="317"/>
        <w:spacing w:after="0" w:line="26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40" w:hanging="317"/>
        <w:spacing w:after="0" w:line="259"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market acceptance of entinostat;</w:t>
      </w:r>
    </w:p>
    <w:p>
      <w:pPr>
        <w:spacing w:after="0" w:line="90"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13" w:lineRule="exact"/>
        <w:rPr>
          <w:rFonts w:ascii="Arial" w:cs="Arial" w:eastAsia="Arial" w:hAnsi="Arial"/>
          <w:sz w:val="16"/>
          <w:szCs w:val="16"/>
          <w:color w:val="auto"/>
        </w:rPr>
      </w:pPr>
    </w:p>
    <w:p>
      <w:pPr>
        <w:ind w:left="1000" w:right="260" w:hanging="317"/>
        <w:spacing w:after="0" w:line="268"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entinostat if entinostat receives regulatory approval and we determine to commercialize it ourselves;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(14,393)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(61,669)</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12,410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77,267</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vMerge w:val="continue"/>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13,170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4800" w:type="dxa"/>
            <w:vAlign w:val="bottom"/>
            <w:vMerge w:val="restart"/>
          </w:tcPr>
          <w:p>
            <w:pPr>
              <w:jc w:val="right"/>
              <w:ind w:right="3572"/>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320" w:firstLine="456"/>
        <w:spacing w:after="0" w:line="284" w:lineRule="auto"/>
        <w:rPr>
          <w:sz w:val="20"/>
          <w:szCs w:val="20"/>
          <w:color w:val="auto"/>
        </w:rPr>
      </w:pPr>
      <w:r>
        <w:rPr>
          <w:rFonts w:ascii="Arial" w:cs="Arial" w:eastAsia="Arial" w:hAnsi="Arial"/>
          <w:sz w:val="16"/>
          <w:szCs w:val="16"/>
          <w:color w:val="auto"/>
        </w:rPr>
        <w:t>Net cash used in operating activities for the year ended December 31, 2014 was $14.4 million compared to $2.4 million of net cash used in operating activities for the year ended December 31, 2015. The decrease in cash used in operating activities for the year ended December 31, 2015 of $12.0 million was primarily due to increases in deferred revenue of $16.7 million and in accounts payable of $1.8 million partially offset by an increase in our net loss of</w:t>
      </w:r>
    </w:p>
    <w:p>
      <w:pPr>
        <w:spacing w:after="0" w:line="1" w:lineRule="exact"/>
        <w:rPr>
          <w:sz w:val="20"/>
          <w:szCs w:val="20"/>
          <w:color w:val="auto"/>
        </w:rPr>
      </w:pPr>
    </w:p>
    <w:p>
      <w:pPr>
        <w:ind w:right="160"/>
        <w:spacing w:after="0" w:line="315" w:lineRule="auto"/>
        <w:rPr>
          <w:sz w:val="20"/>
          <w:szCs w:val="20"/>
          <w:color w:val="auto"/>
        </w:rPr>
      </w:pPr>
      <w:r>
        <w:rPr>
          <w:rFonts w:ascii="Arial" w:cs="Arial" w:eastAsia="Arial" w:hAnsi="Arial"/>
          <w:sz w:val="15"/>
          <w:szCs w:val="15"/>
          <w:color w:val="auto"/>
        </w:rPr>
        <w:t>$2.0 million (adjusted for non-cash items) and by increases in deposits of $0.8 million and prepaid and other assets of $0.5 million and a decrease in accrued expenses and other liabilities of $3.2 million. The increase in deferred revenue of $16.7 million was due to the proceeds we received during the first quarter of 2015 from the KHK license agreement related to the upfront license fee of $17.3 million, net of license fee revenue recognized during the year ended December 31, 2015. Our net loss for the year ended December 31, 2014, adjusted for non-cash items such as stock-based compensation, change in fair value of derivative, change in fair value of warrants and amortization and accretion, was $15.0 million, compared to $17.0 million for the year ended December 31,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7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Net cash provided by investing activities for the year ended December 31, 2014 was $1.9 million compared to net cash used in investing activities of $61.7 million for the year ended December 31, 2015. The increase in cash used in investing activities of $63.6 million was primarily due to the purchases of short-term investments, net of sales and maturities, from the $25.0 million of proceeds from the licensing fees and equity investment under the KHK license and stock purchase agreements, which were received during the first quarter of 2015, the $18.7 million of gross proceeds from the Series C-1 financing, which were received during the second quarter of 2015 and the $61.3 million of gross proceeds from the Series C-1 financing, which were received during the third quarter of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Net cash provided by financing activities for the year ended December 31, 2014 was $12.4 million compared to $77.3 million for the year ended December 31, 2015. During the year ended December 31, 2014, we received $9.0 million proceeds from the term loans and $5.0 million from the issuance of convertible debt in the form of convertible notes, which was partially offset by $1.6 million of deferred issuance costs related to preparing for an IPO in 2014 and debt issuances. During the year ended December 31, 2015, we received the proceeds from the KHK license and stock purchase agreements, of which $7.7 million related to the issuance of the Series B-1, and proceeds from the Series C-1 financings of $79.6 million, net of $0.4 million of issuance costs, which was partially offset by the $9.0 million early repayment of the term loans during the fourth quarter of 2015.</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 as of December 31, 2015</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significant contractual obligations as of December 31, 2015: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82"/>
              </w:rPr>
              <w:t>Less than</w:t>
            </w:r>
          </w:p>
        </w:tc>
        <w:tc>
          <w:tcPr>
            <w:tcW w:w="5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1 to 3</w:t>
            </w: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7"/>
              </w:rPr>
              <w:t>3 to 5</w:t>
            </w:r>
          </w:p>
        </w:tc>
        <w:tc>
          <w:tcPr>
            <w:tcW w:w="5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More than</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4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7"/>
              <w:spacing w:after="0"/>
              <w:rPr>
                <w:sz w:val="20"/>
                <w:szCs w:val="20"/>
                <w:color w:val="auto"/>
              </w:rPr>
            </w:pPr>
            <w:r>
              <w:rPr>
                <w:rFonts w:ascii="Arial" w:cs="Arial" w:eastAsia="Arial" w:hAnsi="Arial"/>
                <w:sz w:val="14"/>
                <w:szCs w:val="14"/>
                <w:b w:val="1"/>
                <w:bCs w:val="1"/>
                <w:color w:val="auto"/>
                <w:w w:val="80"/>
              </w:rPr>
              <w:t>1 Year</w:t>
            </w:r>
          </w:p>
        </w:tc>
        <w:tc>
          <w:tcPr>
            <w:tcW w:w="5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3"/>
              </w:rPr>
              <w:t>Years</w:t>
            </w:r>
          </w:p>
        </w:tc>
        <w:tc>
          <w:tcPr>
            <w:tcW w:w="2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5 Years</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Operating leases for office space</w:t>
            </w:r>
            <w:r>
              <w:rPr>
                <w:rFonts w:ascii="Arial" w:cs="Arial" w:eastAsia="Arial" w:hAnsi="Arial"/>
                <w:sz w:val="11"/>
                <w:szCs w:val="11"/>
                <w:color w:val="auto"/>
              </w:rPr>
              <w:t>(1)</w:t>
            </w:r>
          </w:p>
        </w:tc>
        <w:tc>
          <w:tcPr>
            <w:tcW w:w="2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$1,328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$484</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Capital lease for office equipment</w:t>
            </w:r>
            <w:r>
              <w:rPr>
                <w:rFonts w:ascii="Arial" w:cs="Arial" w:eastAsia="Arial" w:hAnsi="Arial"/>
                <w:sz w:val="11"/>
                <w:szCs w:val="11"/>
                <w:color w:val="auto"/>
              </w:rPr>
              <w:t>(2)</w:t>
            </w:r>
          </w:p>
        </w:tc>
        <w:tc>
          <w:tcPr>
            <w:tcW w:w="2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1,338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840" w:type="dxa"/>
            <w:vAlign w:val="bottom"/>
            <w:vMerge w:val="restart"/>
          </w:tcPr>
          <w:p>
            <w:pPr>
              <w:jc w:val="right"/>
              <w:ind w:right="1032"/>
              <w:spacing w:after="0"/>
              <w:rPr>
                <w:sz w:val="20"/>
                <w:szCs w:val="20"/>
                <w:color w:val="auto"/>
              </w:rPr>
            </w:pPr>
            <w:r>
              <w:rPr>
                <w:rFonts w:ascii="Arial" w:cs="Arial" w:eastAsia="Arial" w:hAnsi="Arial"/>
                <w:sz w:val="18"/>
                <w:szCs w:val="18"/>
                <w:color w:val="auto"/>
              </w:rPr>
              <w:t>74</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20" w:hanging="452"/>
        <w:spacing w:after="0" w:line="252"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December 2013, we entered into a 40-month non-cancelable operating lease for office space in Waltham, Massachusetts that expires on April 10, 2017. On December 22, 2015, we entered into a new 62-month building lease for office space in New York, New York, which commenced on January 1, 2016. We have the right to terminate the lease after 38 months as long as proper notice is given and a termination fee equal to three months’ rent is paid on the lease termination date.</w:t>
      </w:r>
    </w:p>
    <w:p>
      <w:pPr>
        <w:spacing w:after="0" w:line="1" w:lineRule="exact"/>
        <w:rPr>
          <w:rFonts w:ascii="Arial" w:cs="Arial" w:eastAsia="Arial" w:hAnsi="Arial"/>
          <w:sz w:val="18"/>
          <w:szCs w:val="18"/>
          <w:color w:val="auto"/>
        </w:rPr>
      </w:pPr>
    </w:p>
    <w:p>
      <w:pPr>
        <w:ind w:left="460" w:right="320" w:hanging="452"/>
        <w:spacing w:after="0" w:line="261"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December 2013, we entered into a 60-month non-cancelable lease for office equipment, which is accounted for as a capital lease. The leased asset is included in property, plant and equipment, at cost.</w:t>
      </w:r>
    </w:p>
    <w:p>
      <w:pPr>
        <w:spacing w:after="0" w:line="13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contractual obligations table does not include any potential contingent payments upon the achievement by us of clinical, regulatory and commercial events, as applicable, or royalty payments we may be required to make under license agreements we have entered into with various entities pursuant to which we have in-licensed certain intellectual property, including the Bayer license agreement. See “Business—Intellectual Property—In-Licensed Intellectual Property” for additional information. The table also excludes potential payments we may be required to make under manufacturing agreements as the timing of when these payments will actually be made is uncertain and the payments are contingent upon the initiation and completion of future activities.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March 2014, we entered into a clinical trial agreement with Eastern Cooperative Oncology Group, a contracting entity for ECOG-ACRIN, that describes the parties’ obligations with respect to the NCI-sponsored pivotal Phase 3 clinical trial of entinostat. We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we are obligated to supply entinostat and placebo to ECOG-ACRIN for use in the clinical trial. As of the effective date of the amendment to the clinical trial agreement, our aggregate payment obligations under this agreement were approximately $20.6 million. As of December 31, 2015, our remaining payment obligations under this agreement are approximately $18.3 million over an estimated period of approximately seven years.</w:t>
      </w:r>
    </w:p>
    <w:p>
      <w:pPr>
        <w:spacing w:after="0" w:line="112"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b w:val="1"/>
          <w:bCs w:val="1"/>
          <w:color w:val="auto"/>
        </w:rPr>
        <w:t>Merck KGaA-Pfizer Collaboration</w:t>
      </w:r>
      <w:r>
        <w:rPr>
          <w:rFonts w:ascii="Arial" w:cs="Arial" w:eastAsia="Arial" w:hAnsi="Arial"/>
          <w:sz w:val="16"/>
          <w:szCs w:val="16"/>
          <w:color w:val="auto"/>
        </w:rPr>
        <w:t>—On December 31, 2015, we entered into a clinical trial collaboration and supply agreement with Merck KGaA and</w:t>
      </w:r>
      <w:r>
        <w:rPr>
          <w:rFonts w:ascii="Arial" w:cs="Arial" w:eastAsia="Arial" w:hAnsi="Arial"/>
          <w:sz w:val="16"/>
          <w:szCs w:val="16"/>
          <w:b w:val="1"/>
          <w:bCs w:val="1"/>
          <w:color w:val="auto"/>
        </w:rPr>
        <w:t xml:space="preserve"> </w:t>
      </w:r>
      <w:r>
        <w:rPr>
          <w:rFonts w:ascii="Arial" w:cs="Arial" w:eastAsia="Arial" w:hAnsi="Arial"/>
          <w:sz w:val="16"/>
          <w:szCs w:val="16"/>
          <w:color w:val="auto"/>
        </w:rPr>
        <w:t>Pfizer, or the Alliance, under which we will conduct a clinical trial evaluating entinostat in combination with an investigational monoclonal antibody, avelumab, in patients with ovarian cancer. We will share the study costs equally with the Alliance. See Note 3 for further discussion.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December 31, 2015, we had federal and state tax net operating loss carryforwards of $38.6 million and $27.0 million, respectively. The federal and state net operating loss carryforwards expire beginning in 2015 and ending in 2035. At December 31, 2015, we had available income tax credits of $1.5 million, which are available to reduce future income taxes, if any. These income tax credits begin to expire in 2020.</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accordance with the provisions of the Sarbanes-Oxley Act, neither we nor our independent registered public accounting firm has performed an evaluation of our internal control over financial reporting during any period included in this prospectus. However, we and our independent registered public accounting firm previously identified and disclosed control deficiencies in the design and operation of our internal control over financial reporting that constituted a material weakness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 identified resulted from the fact that we did not have sufficient financial reporting and accounting staff with appropriate training in GAAP and SEC rules and regulations.</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response to this material weakness, during 2015 we took numerous steps to remediate the underlying causes of the material weakness, including: i) the hiring of additional personnel with the appropriate financial reporting experience to expand our financial management and reporting infrastructure and further develop and document our accounting policies and financial reporting procedures; ii) the retention of an additional accounting firm to provide technical consulting services with respect to complex accounting issues; and iii) the establishment and implementation of policies and procedures to ensure adherence to accounting policies, rules and regulations and to provide enhanced financial analysis and quality control. Accordingly, as of December 31, 2015, we believe we have remediated the previously identified material weakness.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December 31, 2015, we had cash equivalents of $23.2 million, consisting of interest-bearing money market funds, debt securities of U.S. government agencies and commercial paper and highly rated corporate bonds, and short-term investments of $63.3 million, consisting of commercial paper and highly rated corporate bonds. Our primary exposure to market risk is interest rate sensitivity, which is affected by changes in the general level of U.S. interest rates. Due to the short-term maturities of our cash equivalents, an immediate 100 basis point change in interest rates would not have a material effect on the fair market value of our cash equivalents.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believe that inflation and changing prices had a significant impact on our results of operations for any periods presented herein.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are a clinical stage biopharmaceutical company developing entinostat as a combination therapy in multiple cancer indications with our initial focus on tumors that have shown sensitivity to immunotherapy, including lung cancer, melanoma, ovarian cancer and triple negative breast cancer, or TNBC. Entinostat is our oral, small molecule drug candidate that has direct effects on both cancer cells and immune regulatory cells, potentially enhancing the body’s immune response to tumors. The favorable safety profile of entinostat has been demonstrated in clinical trials in more than 900 cancer patients. We are currently evaluating entinostat in combination with </w:t>
      </w:r>
      <w:r>
        <w:rPr>
          <w:rFonts w:ascii="Arial" w:cs="Arial" w:eastAsia="Arial" w:hAnsi="Arial"/>
          <w:sz w:val="16"/>
          <w:szCs w:val="16"/>
          <w:i w:val="1"/>
          <w:iCs w:val="1"/>
          <w:color w:val="auto"/>
        </w:rPr>
        <w:t>Keytruda</w:t>
      </w:r>
      <w:r>
        <w:rPr>
          <w:rFonts w:ascii="Arial" w:cs="Arial" w:eastAsia="Arial" w:hAnsi="Arial"/>
          <w:sz w:val="10"/>
          <w:szCs w:val="10"/>
          <w:color w:val="auto"/>
        </w:rPr>
        <w:t>®</w:t>
      </w:r>
      <w:r>
        <w:rPr>
          <w:rFonts w:ascii="Arial" w:cs="Arial" w:eastAsia="Arial" w:hAnsi="Arial"/>
          <w:sz w:val="16"/>
          <w:szCs w:val="16"/>
          <w:color w:val="auto"/>
        </w:rPr>
        <w:t xml:space="preserve"> (pembrolizumab) in a Phase 1b/2 clinical trial for non-small cell lung cancer, or NSCLC, and melanoma, and we plan to initiate a Phase 1b/2 clinical trial for entinostat in combination with atezolizumab in TNBC in the first half of 2016 and a Phase 1b/2 clinical trial for entinostat in combination with avelumab in ovarian cancer in the second half of 2016. We believe that, based on its mechanism of action, entinostat may have broad applications in additional tumor types, including head and neck, bladder and renal cell, which are immuno-responsive, or sensitive to immunotherapy.</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We are also developing entinostat for use in advanced hormone receptor positive, or HR+, breast cancer. Following positive results from our Phase 2b clinical trial, ENCORE 301, entinostat in combination with </w:t>
      </w:r>
      <w:r>
        <w:rPr>
          <w:rFonts w:ascii="Arial" w:cs="Arial" w:eastAsia="Arial" w:hAnsi="Arial"/>
          <w:sz w:val="16"/>
          <w:szCs w:val="16"/>
          <w:i w:val="1"/>
          <w:iCs w:val="1"/>
          <w:color w:val="auto"/>
        </w:rPr>
        <w:t>Aromasin</w:t>
      </w:r>
      <w:r>
        <w:rPr>
          <w:rFonts w:ascii="Arial" w:cs="Arial" w:eastAsia="Arial" w:hAnsi="Arial"/>
          <w:sz w:val="10"/>
          <w:szCs w:val="10"/>
          <w:color w:val="auto"/>
        </w:rPr>
        <w:t>®</w:t>
      </w:r>
      <w:r>
        <w:rPr>
          <w:rFonts w:ascii="Arial" w:cs="Arial" w:eastAsia="Arial" w:hAnsi="Arial"/>
          <w:sz w:val="16"/>
          <w:szCs w:val="16"/>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0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Immuno-oncology is an emerging field of cancer medicine that has focused on the development of therapeutic approaches designed to activate the immune system to find and destroy cancer cells. Many tumors have the ability to evade the immune system through direct cellular interactions and recruitment of immuno-suppressive cells to the area surrounding the tumor. One such evasion mechanism is through the expression of proteins known as checkpoint proteins, such as programmed cell death protein ligand 1, or PDL-1, on the cancer cell surface. These checkpoint proteins bind to a corresponding receptor known as programmed cell death protein 1, or PD-1, which is expressed on particular immune cells known as cytotoxic T cells. Through this binding process, cytotoxic T cells are blocked from killing cancer cells. Antibodies known as immune checkpoint inhibitors block the interaction between PD-1 and PDL-1 to restore the ability of cytotoxic T cells to kill cancer cells and have shown significant clinical benefit in treating certain cancers. We believe that entinostat acts on a different tumor-evasion mechanism than is targeted by most other immunotherapies in development. Instead of focusing on the interaction between the T cell and the tumor, entinostat has been observed to decrease the population of immuno-suppressive cells known as myeloid-derived suppressor cells, or MDSCs, and regulatory T cells, or Tregs, which localize in the area surrounding the tumor and block T cells from killing cancer cells.</w:t>
      </w:r>
    </w:p>
    <w:p>
      <w:pPr>
        <w:spacing w:after="0" w:line="12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We believe entinostat, a Class 1-specific histone deacetylase, or HDAC, inhibitor, is the therapy most advanced in development that can directly reduce both the number and activity of MDSCs and Tregs while sparing the cytotoxic T cells. Through blocking the immuno-suppressive effects of MDSCs and Tregs, we believe entinostat has the potential to be used synergistically with therapies such as immune checkpoint inhibitors, resulting in the increased ability of the T cells to attack the tumor. Through this important effect on MDSCs and Tregs, entinostat has the potential to be used synergistically with therapies working to stimulate the immune system. The long half-life of entinostat allows for continuous exposure to therapy potentially resulting in positive immuno-modulatory effects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without corresponding cytotoxic effects. Another benefit of entinostat’s long half-life is the potential to minimize the frequency of dosing and reduce the severity and frequency of adverse events. We believe entinostat’s well-characterized safety profile and mechanism of action allows it to be readily combined with, and thereby enhance the activity of, conventional and novel cancer therapies, such as immune checkpoint inhibitors, hormone therapies and chemotherapies.</w:t>
      </w:r>
    </w:p>
    <w:p>
      <w:pPr>
        <w:spacing w:after="0" w:line="10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Entinostat is currently being studied in clinical trials across a broad range of solid tumors, including breast cancer, NSCLC and renal cell carcinoma. We are working in collaboration with Merck &amp; Co. Inc., or Merck, to study the combination of entinostat with Merck’s immune checkpoint inhibitor,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a Phase 1b/2 clinical trial, ENCORE 601, of up to 178 patients with NSCLC or melanoma. The Phase 1b portion of the clinical trial will evaluate the safety and tolerability of the combination of entinostat and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and the Phase 2 portion of the clinical trial will assess the efficacy of entinostat combined with </w:t>
      </w:r>
      <w:r>
        <w:rPr>
          <w:rFonts w:ascii="Arial" w:cs="Arial" w:eastAsia="Arial" w:hAnsi="Arial"/>
          <w:sz w:val="16"/>
          <w:szCs w:val="16"/>
          <w:i w:val="1"/>
          <w:iCs w:val="1"/>
          <w:color w:val="auto"/>
        </w:rPr>
        <w:t xml:space="preserve">Keytruda </w:t>
      </w:r>
      <w:r>
        <w:rPr>
          <w:rFonts w:ascii="Arial" w:cs="Arial" w:eastAsia="Arial" w:hAnsi="Arial"/>
          <w:sz w:val="16"/>
          <w:szCs w:val="16"/>
          <w:color w:val="auto"/>
        </w:rPr>
        <w:t>in patients with either NSCLC or melanoma. Patient enrollment for the Phase 1b portion of the clinical trial was initiated in August 2015. We have also</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collaboration with Genentech, Inc., or Genentech, to evaluate the safety, tolerability and preliminary efficacy of entinostat in combination with Genentech’s investigational immune checkpoint inhibitor, atezolizumab, in a Phase 1b/2 clinical trial, ENCORE 602, of patients with TNBC. We have also entered into a collaboration with Ares Trading, S.A., a subsidiary of Merck KGaA, Darmstadt, Germany, or Merck KGaA, and Pfizer Inc., or Pfizer, to evaluate the safety, tolerability and preliminary efficacy of entinostat in combination with the investigational monoclonal antibody targeting PDL-1, avelumab, in a Phase 1b/2 clinical trial, ENCORE 603, of patients with ovarian cancer. Avelumab is the proposed International Non-proprietary Name for the anti-PDL-1 IgG1 monoclonal antibody (MSB0010718C). Additionally, entinostat is being evaluated in two ongoing and one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3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are also providing financial and operational support for an ongoing Phase 3 clinical trial in advanced HR+ breast cancer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Eastern Cooperative Oncology Group-American College of Radiology Imaging Network Cancer Research Group, or ECOG-ACRIN, is conducting this clinical trial under sponsorship and funding support from the National Cancer Institute, or NCI. The Phase 3 clinical trial is designed to determine whether the addition of entinostat to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improves progression-free survival, or PFS, overall survival, or both in patients who have previously progressed after treatment with standard-of-care hormonal agents. We believe that the submission of the results of the Phase 3 clinical trial, if successful, would be sufficient for regulatory approval of entinostat in the United States.</w:t>
      </w:r>
    </w:p>
    <w:p>
      <w:pPr>
        <w:spacing w:after="0" w:line="144"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were incorporated under the laws of the State of Delaware in October 2005. Since inception, we have focused our efforts on the research and development and raising capital. Based on our research and development plans and our timing expectations related to the progress of our programs, we believe that the net proceeds from this offering, together with our existing cash, cash equivalents and short-term investments, will fund our projected operating expenses and capital expenditure requirements for at least the next 24 months. Our future capital requirements will depend on many factors, including those discussed in the sections titled “Management’s Discussion and Analysis of Financial Condition and Results of Operations” and “Risk Factors,” included elsewhere in this 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 of Entinostat</w:t>
      </w:r>
    </w:p>
    <w:p>
      <w:pPr>
        <w:spacing w:after="0" w:line="1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sets forth information pertaining to the clinical trials for entinostat with our initial focus on advancing ENCORE 601, ENCORE 602 and ENCORE 603 in immuno-oncology and E2112, our collaboration with ECOG-ACRIN and the NCI, in advanced HR+ breast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6234430" cy="2778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3443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Conducted pursuant to an Investigational New Drug, or IND, application, which was filed with the FDA by Syndax Pharmaceuticals, Inc. on April 20, 2015.</w:t>
      </w:r>
    </w:p>
    <w:p>
      <w:pPr>
        <w:spacing w:after="0" w:line="38" w:lineRule="exact"/>
        <w:rPr>
          <w:rFonts w:ascii="Arial" w:cs="Arial" w:eastAsia="Arial" w:hAnsi="Arial"/>
          <w:sz w:val="16"/>
          <w:szCs w:val="16"/>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trial is in the planning phase and as such an IND has not yet been filed.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Johns Hopkins University on April 22,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the NCI on November 6, 2000.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the NCI on November 5,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the NCI on October 24,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the NCI on November 6, 2000.</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Conducted pursuant to an IND application, which was filed with the FDA by the NCI on February 28, 2013.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focused on developing entinostat for use in multiple cancer indications in combination with complementary therapeutic drugs. Key elements of our strategy include:</w:t>
      </w:r>
    </w:p>
    <w:p>
      <w:pPr>
        <w:spacing w:after="0" w:line="172" w:lineRule="exact"/>
        <w:rPr>
          <w:sz w:val="20"/>
          <w:szCs w:val="20"/>
          <w:color w:val="auto"/>
        </w:rPr>
      </w:pPr>
    </w:p>
    <w:p>
      <w:pPr>
        <w:ind w:left="1000" w:hanging="317"/>
        <w:spacing w:after="0" w:line="290"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entinostat as the combination therapy of choice with immune checkpoint inhibitors, initially PD-1 and PDL-1 inhibitors. </w:t>
      </w:r>
      <w:r>
        <w:rPr>
          <w:rFonts w:ascii="Arial" w:cs="Arial" w:eastAsia="Arial" w:hAnsi="Arial"/>
          <w:sz w:val="16"/>
          <w:szCs w:val="16"/>
          <w:color w:val="auto"/>
        </w:rPr>
        <w:t xml:space="preserve">Our near-term focus is to rapidly establish proof of concept that entinostat can provide additional meaningful clinical benefit to patients in one or more tumor types when combined with a PD-1 inhibitor or a PDL-1 inhibitor. Our approach is to conduct clinical trials in patients with tumor types that are known to be responsive to PD-1 or PDL-1 inhibitors, such as NSCLC, melanoma, TNBC, ovarian cancer, head and neck cancer, bladder cancer and renal cell cancer. To that end, we have entered into non-exclusive collaborations with Merck, Genentech, Merck KGaA and Pfizer. In our collaboration with Merck, we intend to evaluate the safety, tolerability and efficacy of combining entinostat with </w:t>
      </w:r>
      <w:r>
        <w:rPr>
          <w:rFonts w:ascii="Arial" w:cs="Arial" w:eastAsia="Arial" w:hAnsi="Arial"/>
          <w:sz w:val="16"/>
          <w:szCs w:val="16"/>
          <w:i w:val="1"/>
          <w:iCs w:val="1"/>
          <w:color w:val="auto"/>
        </w:rPr>
        <w:t>Keytruda</w:t>
      </w:r>
      <w:r>
        <w:rPr>
          <w:rFonts w:ascii="Arial" w:cs="Arial" w:eastAsia="Arial" w:hAnsi="Arial"/>
          <w:sz w:val="16"/>
          <w:szCs w:val="16"/>
          <w:color w:val="auto"/>
        </w:rPr>
        <w:t>, an approved anti-PD-1 therapy, in NSCLC and melanoma. In our collaboration with Genentech, we plan to evaluate the safety, tolerability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260"/>
        <w:spacing w:after="0" w:line="294" w:lineRule="auto"/>
        <w:rPr>
          <w:sz w:val="20"/>
          <w:szCs w:val="20"/>
          <w:color w:val="auto"/>
        </w:rPr>
      </w:pPr>
      <w:r>
        <w:rPr>
          <w:rFonts w:ascii="Arial" w:cs="Arial" w:eastAsia="Arial" w:hAnsi="Arial"/>
          <w:sz w:val="16"/>
          <w:szCs w:val="16"/>
          <w:color w:val="auto"/>
        </w:rPr>
        <w:t>and efficacy of entinostat in combination with atezolizumab, Genentech’s investigational monoclonal antibody targeting PDL-1, in patients with TNBC. In our collaboration with Merck KGaA and Pfizer, we plan to evaluate the safety, tolerability and preliminary efficacy of entinostat in combination with avelumab, an investigational monoclonal antibody targeting PDL-1, in patients with ovarian cancer. We intend to expand the existing collaborations or enter into additional collaborations through non-exclusive, clinical development agreements in order to assess entinostat’s impact across multiple tumor types while maintaining our ownership rights.</w:t>
      </w:r>
    </w:p>
    <w:p>
      <w:pPr>
        <w:spacing w:after="0" w:line="35" w:lineRule="exact"/>
        <w:rPr>
          <w:sz w:val="20"/>
          <w:szCs w:val="20"/>
          <w:color w:val="auto"/>
        </w:rPr>
      </w:pPr>
    </w:p>
    <w:p>
      <w:pPr>
        <w:ind w:left="1000" w:right="80" w:hanging="317"/>
        <w:spacing w:after="0" w:line="290"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regulatory approval of entinostat in indications with significant unmet need and commercial potential. </w:t>
      </w:r>
      <w:r>
        <w:rPr>
          <w:rFonts w:ascii="Arial" w:cs="Arial" w:eastAsia="Arial" w:hAnsi="Arial"/>
          <w:sz w:val="16"/>
          <w:szCs w:val="16"/>
          <w:color w:val="auto"/>
        </w:rPr>
        <w:t>We expect to conduct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trials that may lead to accelerated approval and/or conduct pivotal Phase 3 clinical trials, which would serve as the basis of approval from the FDA and the European Commission assuming that one or more of our Phase 1b/2 clinical trials are successful. We may also seek breakthrough therapy designation from the FDA depending on the magnitude of the clinical benefit observed. We plan to take a strategic approach with respect to the order in which we choose to pursue FDA approvals that will depend on the results of the entinostat proof-of-concept clinical trials, the relative speed to FDA approval for any given indication, the unmet need that exists within any given patient population and the competitive landscape of other therapies approved or in development for a given indication.</w:t>
      </w:r>
    </w:p>
    <w:p>
      <w:pPr>
        <w:spacing w:after="0" w:line="37" w:lineRule="exact"/>
        <w:rPr>
          <w:rFonts w:ascii="Arial" w:cs="Arial" w:eastAsia="Arial" w:hAnsi="Arial"/>
          <w:sz w:val="16"/>
          <w:szCs w:val="16"/>
          <w:color w:val="auto"/>
        </w:rPr>
      </w:pPr>
    </w:p>
    <w:p>
      <w:pPr>
        <w:ind w:left="1000" w:hanging="317"/>
        <w:spacing w:after="0" w:line="289"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develop and obtain regulatory approval for entinostat in combination with hormone therapy in advanced HR+ breast cancer. </w:t>
      </w:r>
      <w:r>
        <w:rPr>
          <w:rFonts w:ascii="Arial" w:cs="Arial" w:eastAsia="Arial" w:hAnsi="Arial"/>
          <w:sz w:val="16"/>
          <w:szCs w:val="16"/>
          <w:color w:val="auto"/>
        </w:rPr>
        <w:t>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the positive results from our Phase 2b clinical trial, we received breakthrough therapy designation from the FDA for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A 600 patient Phase 3 clinical trial testing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combination with entinostat versus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combination with a placebo in patients with advanced HR+ breast cancer is currently being conducted by the ECOG-ACRIN under sponsorship and funding support from the NCI. We are providing financial and operational support for this Phase 3 clinical trial under separate agreements with the NCI and ECOG-ACRIN. The protocol for the Phase 3 clinical trial was reviewed and agreed upon by the FDA under a Special Protocol Assessment, or SPA, agreement with the NCI. We believe that the submission of the results of the Phase 3 clinical trial, if successful, would be sufficient for regulatory approval of entinostat in the United States.</w:t>
      </w:r>
    </w:p>
    <w:p>
      <w:pPr>
        <w:spacing w:after="0" w:line="37" w:lineRule="exact"/>
        <w:rPr>
          <w:rFonts w:ascii="Arial" w:cs="Arial" w:eastAsia="Arial" w:hAnsi="Arial"/>
          <w:sz w:val="16"/>
          <w:szCs w:val="16"/>
          <w:color w:val="auto"/>
        </w:rPr>
      </w:pPr>
    </w:p>
    <w:p>
      <w:pPr>
        <w:ind w:left="1000" w:right="80" w:hanging="317"/>
        <w:spacing w:after="0" w:line="294" w:lineRule="auto"/>
        <w:tabs>
          <w:tab w:leader="none" w:pos="100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the technical and business expertise of our management team and scientific collaborators to license, acquire and develop additional cancer therapies to expand our pipeline. </w:t>
      </w:r>
      <w:r>
        <w:rPr>
          <w:rFonts w:ascii="Arial" w:cs="Arial" w:eastAsia="Arial" w:hAnsi="Arial"/>
          <w:sz w:val="16"/>
          <w:szCs w:val="16"/>
          <w:color w:val="auto"/>
        </w:rPr>
        <w:t>Our management team, advisors and scientific collaborators are or have been affiliated with some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world’s leading research and development organizations and have a distinguished track record in product licensing, acquisitions and oncology drug development. As such, we intend to continue leveraging the collective talent within our organization and network of advisors to guide our pipeline expansion and development plans and to enable the execution of our business strategy.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Entinostat Program</w:t>
      </w:r>
    </w:p>
    <w:p>
      <w:pPr>
        <w:spacing w:after="0" w:line="177"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Cancer is a complex, often fatal, disease arising from uncontrolled cell growth and the ability of cancer cells to avoid the immune system, the body’s primary defense mechanism for finding and destroying such cells. We are developing entinostat, which has direct effects on both cancer cells and immune regulatory cells. We have demonstrated that the delivery of entinostat in combination with hormone therapy can result in improvements in overall survival in advanced HR+ breast cancer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patients. Entinostat has also demonstrated synergistic anti-tumor activity in combination with immune checkpoint inhibitors in preclinical studies. Entinostat is an oral, small molecule HDAC inhibitor. HDACs are enzymes that are subdivided into four classes and are known to play a role in controlling cell survival, proliferation, angiogenesis and immunity. While most HDAC inhibitors broadly inhibit multiple classes of HDACs, preclinical studies have shown that entinostat’s inhibitory activity is selective to Class 1 HDACs, which have been shown to impact the number and activity of MDSCs and Tregs. We believe that entinostat’s Class 1 specificity enhances immune responses against cancer and is likely to lead to a better tolerability and combinability profile.</w:t>
      </w:r>
    </w:p>
    <w:p>
      <w:pPr>
        <w:spacing w:after="0" w:line="116" w:lineRule="exact"/>
        <w:rPr>
          <w:sz w:val="20"/>
          <w:szCs w:val="20"/>
          <w:color w:val="auto"/>
        </w:rPr>
      </w:pPr>
    </w:p>
    <w:p>
      <w:pPr>
        <w:jc w:val="right"/>
        <w:ind w:right="10000"/>
        <w:spacing w:after="0"/>
        <w:rPr>
          <w:sz w:val="20"/>
          <w:szCs w:val="20"/>
          <w:color w:val="auto"/>
        </w:rPr>
      </w:pPr>
      <w:r>
        <w:rPr>
          <w:rFonts w:ascii="Arial" w:cs="Arial" w:eastAsia="Arial" w:hAnsi="Arial"/>
          <w:sz w:val="15"/>
          <w:szCs w:val="15"/>
          <w:b w:val="1"/>
          <w:bCs w:val="1"/>
          <w:i w:val="1"/>
          <w:iCs w:val="1"/>
          <w:color w:val="auto"/>
        </w:rPr>
        <w:t>Immuno-Oncology</w:t>
      </w:r>
    </w:p>
    <w:p>
      <w:pPr>
        <w:spacing w:after="0" w:line="206" w:lineRule="exact"/>
        <w:rPr>
          <w:sz w:val="20"/>
          <w:szCs w:val="20"/>
          <w:color w:val="auto"/>
        </w:rPr>
      </w:pPr>
    </w:p>
    <w:p>
      <w:pPr>
        <w:jc w:val="right"/>
        <w:ind w:right="10020"/>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Immuno-oncology is an emerging field of cancer medicine that has focused on the development of therapeutic approaches designed to activate the immune system to find and destroy cancer cells. The immune system consists of two parts, the innate immune system and the adaptive immune system and both play a role in an effective anti-tumor immune response. The innate immune system, composed of key cells such as natural killer cells and neutrophils, is non-specific and is designed to rapidly identify and eliminate immediate threats to the body, such as infections and other pathogens. The adaptive immune system, composed of B cells, T cells and other immune regulatory cells, targets specific antigens and provides a long-term immune response, known as immunologic memory, to antigens it recognizes as foreign.</w:t>
      </w:r>
    </w:p>
    <w:p>
      <w:pPr>
        <w:spacing w:after="0" w:line="144"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Many tumors have the ability to evade both the innate and adaptive immune system through direct cellular interactions and recruitment of immuno-suppressive cells to the area surrounding the tumor. Cancer cells can express proteins on their cell surface known as checkpoint proteins, such as PDL-1 and programmed cell death protein ligand 2, or PDL-2, that block the ability of immune cells known as cytotoxic T cells to kill cancer cells. Antibodies that block PDL-1 or PDL-2 restore the ability of cytotoxic T cells to kill cancer cells and have shown significant clinical benefit. Positive results notwithstanding, durable responses following treatment with immune checkpoint inhibitors have only been observed in a relatively small population of treated patients, with overall response rates falling below 30% depending on tumor type, and suggest that additional strategies enhancing the anti-tumor immune response are needed to improve the survival of cancer patients.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Research to identify the basis for the limited efficacy of recently developed immune therapies has provided investigators with an appreciation for the role that specific immune regulatory cells, such as MDSCs and Tregs, have in blocking the cytotoxic T cell response. MDSCs and Tregs localize in the area surrounding the tumor and, together with the immune checkpoints, play a significant role in helping a tumor evade detection and elimination by the immune system.</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MDSCs are a group of immature myeloid cells that are activated by disease or injury and are generally increased in cancer patients. The primary function of MDSCs is to suppress an activated T cell immune response through the production and secretion of enzymes, which deplete key amino acids required for the growth and function of cytotoxic T cells. High levels of circulating MDSCs in various cancers, including breast, lung and head and neck, and others correspond with a poor prognosis and limited response to cancer therapy. Recent data further indicates that high levels of circulating MDSCs in melanoma patients are inversely correlated with clinical response to immune checkpoint inhibitors suggesting that targeting MDSCs may offer new therapeutic opportunities that enhance the anti-tumor response to immune checkpoint inhibitors.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Tregs are immune suppressor cells that are recruited to sites of active immune response in order to shut down the cytotoxic T cell response. A defining feature of immunosuppressive Tregs is the expression of a protein called FoxP3, or forkhead box p3. We refer to FoxP3+ Tregs as Tregs. Unlike MDSCs, which are found in activated states in circulating blood, Tregs may be recruited to the area surrounding the tumor and activated by local signals from the cancer cell. As with MDSCs, an increase in the level of activated Tregs correlates with poor prognosis in a number of tumor types including breast, colorectal, ovarian and other cancers. Tregs suppress cytotoxic T cell responses through the secretion of cytokines that inhibit the growth of cytotoxic T cells. In addition, Tregs can cause other immune regulatory cells in the area surrounding the tumor to secrete immune suppressive enzymes. Inhibiting Tregs may therefore relieve immune suppression in a way similar and potentially complementary to that of other immune-targeted approaches.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as Immunotherapy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Preclinical and clinical data combined with the safety data observed in treating more than 900 cancer patients to date support our belief that entinostat has the potential to enhance the efficacy of immune checkpoint inhibitors across multiple tumor types. Entinostat is a Class 1-specific HDAC inhibitor targeting those HDACs shown to impact the number and activity of MDSCs and Tregs. We believe that entinostat acts on a different tumor-evasion mechanism than that being targeted by most other immunotherapies in development and is the most advanced agent that can directly reduce both the number and activity of MDSCs and Tregs while sparing the cytotoxic T cells. This impact of entinostat’s effect is presented in Figure 1 below, which illustrates how this mechanism can be highly complementary to immune checkpoint inhibitors.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13985" cy="32245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398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Syndax</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Data Supporting Entinostat as a Dual Inhibitor of Immune Suppressor Cells</w:t>
      </w:r>
      <w:r>
        <w:rPr>
          <w:rFonts w:ascii="Arial" w:cs="Arial" w:eastAsia="Arial" w:hAnsi="Arial"/>
          <w:sz w:val="16"/>
          <w:szCs w:val="16"/>
          <w:color w:val="auto"/>
        </w:rPr>
        <w:t>. Separate preclinical studies from investigators at Johns Hopkins</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or JHU, and Roswell Park Cancer Center have demonstrated that entinostat is a dual inhibitor of immune suppressor cells through its targeting of both MDSCs and Tregs. Figure 2 below shows that entinostat reduces the growth of MDSCs at concentrations that spare the growth of cytotoxic T cells. Approximately half of the MDSCs are stopped from growing at 200 nM of entinostat, which is 35 times less than the concentration of entinostat that stops half of the cytotoxic T cells from growing. Figure 3 shows that entinostat can also inhibit MDSC function. In this experiment the investigators mixed MDSCs with cytotoxic T cells and determined the level of T cell activity by measuring secreted amounts of interferon-gamma, a cytokine that is important for the anti-tumor immune response. Adding increasing amounts of entinostat results in higher levels of interferon-gamma secretion indicating that entinostat is enhancing cytotoxic T cell activation by blocking MDSC suppression.</w:t>
      </w:r>
    </w:p>
    <w:p>
      <w:pPr>
        <w:spacing w:after="0" w:line="153" w:lineRule="exact"/>
        <w:rPr>
          <w:sz w:val="20"/>
          <w:szCs w:val="20"/>
          <w:color w:val="auto"/>
        </w:rPr>
      </w:pPr>
    </w:p>
    <w:p>
      <w:pPr>
        <w:ind w:left="440"/>
        <w:spacing w:after="0"/>
        <w:tabs>
          <w:tab w:leader="none" w:pos="6040" w:val="left"/>
        </w:tabs>
        <w:rPr>
          <w:sz w:val="20"/>
          <w:szCs w:val="20"/>
          <w:color w:val="auto"/>
        </w:rPr>
      </w:pPr>
      <w:r>
        <w:rPr>
          <w:rFonts w:ascii="Arial" w:cs="Arial" w:eastAsia="Arial" w:hAnsi="Arial"/>
          <w:sz w:val="18"/>
          <w:szCs w:val="18"/>
          <w:b w:val="1"/>
          <w:bCs w:val="1"/>
          <w:color w:val="auto"/>
        </w:rPr>
        <w:t>Figure 2.</w:t>
      </w:r>
      <w:r>
        <w:rPr>
          <w:sz w:val="20"/>
          <w:szCs w:val="20"/>
          <w:color w:val="auto"/>
        </w:rPr>
        <w:tab/>
      </w:r>
      <w:r>
        <w:rPr>
          <w:rFonts w:ascii="Arial" w:cs="Arial" w:eastAsia="Arial" w:hAnsi="Arial"/>
          <w:sz w:val="15"/>
          <w:szCs w:val="15"/>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363335" cy="19723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6333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80"/>
        <w:spacing w:after="0"/>
        <w:tabs>
          <w:tab w:leader="none" w:pos="6400" w:val="left"/>
        </w:tabs>
        <w:rPr>
          <w:sz w:val="20"/>
          <w:szCs w:val="20"/>
          <w:color w:val="auto"/>
        </w:rPr>
      </w:pPr>
      <w:r>
        <w:rPr>
          <w:rFonts w:ascii="Arial" w:cs="Arial" w:eastAsia="Arial" w:hAnsi="Arial"/>
          <w:sz w:val="14"/>
          <w:szCs w:val="14"/>
          <w:i w:val="1"/>
          <w:iCs w:val="1"/>
          <w:color w:val="auto"/>
        </w:rPr>
        <w:t>Source: Adapted from Kim et al 2014 Proceedings of the National Academy of Sciences</w:t>
      </w:r>
      <w:r>
        <w:rPr>
          <w:sz w:val="20"/>
          <w:szCs w:val="20"/>
          <w:color w:val="auto"/>
        </w:rPr>
        <w:tab/>
      </w:r>
      <w:r>
        <w:rPr>
          <w:rFonts w:ascii="Arial" w:cs="Arial" w:eastAsia="Arial" w:hAnsi="Arial"/>
          <w:sz w:val="12"/>
          <w:szCs w:val="12"/>
          <w:i w:val="1"/>
          <w:iCs w:val="1"/>
          <w:color w:val="auto"/>
        </w:rPr>
        <w:t>Source: Adapted from Shen et al 2012 Public Library of Science</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47" w:lineRule="auto"/>
        <w:rPr>
          <w:sz w:val="20"/>
          <w:szCs w:val="20"/>
          <w:color w:val="auto"/>
        </w:rPr>
      </w:pPr>
      <w:r>
        <w:rPr>
          <w:rFonts w:ascii="Arial" w:cs="Arial" w:eastAsia="Arial" w:hAnsi="Arial"/>
          <w:sz w:val="17"/>
          <w:szCs w:val="17"/>
          <w:color w:val="auto"/>
        </w:rPr>
        <w:t xml:space="preserve">Entinostat has also been shown to inhibit Treg activity in preclinical experiments. As shown in Figures 4 and 5 below, investigators have used an animal model of renal cell carcinoma called RENCA in order to demonstrate that entinostat could block Treg-mediated immune suppression in order to enhance the activity of </w:t>
      </w:r>
      <w:r>
        <w:rPr>
          <w:rFonts w:ascii="Arial" w:cs="Arial" w:eastAsia="Arial" w:hAnsi="Arial"/>
          <w:sz w:val="17"/>
          <w:szCs w:val="17"/>
          <w:i w:val="1"/>
          <w:iCs w:val="1"/>
          <w:color w:val="auto"/>
        </w:rPr>
        <w:t>Proleukin</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(aldesleukin) an approved immune therapy for renal cell carcinoma. In Figure 4, the shaded areas on the mice indicate tumor growth, and the size of individual tumors at the end of the study can be seen below each mouse. In this experiment, entinostat alone has some anti-tumor activity and when combined with </w:t>
      </w:r>
      <w:r>
        <w:rPr>
          <w:rFonts w:ascii="Arial" w:cs="Arial" w:eastAsia="Arial" w:hAnsi="Arial"/>
          <w:sz w:val="17"/>
          <w:szCs w:val="17"/>
          <w:i w:val="1"/>
          <w:iCs w:val="1"/>
          <w:color w:val="auto"/>
        </w:rPr>
        <w:t>Proleukin</w:t>
      </w:r>
      <w:r>
        <w:rPr>
          <w:rFonts w:ascii="Arial" w:cs="Arial" w:eastAsia="Arial" w:hAnsi="Arial"/>
          <w:sz w:val="17"/>
          <w:szCs w:val="17"/>
          <w:color w:val="auto"/>
        </w:rPr>
        <w:t xml:space="preserve"> results in a significant reduction in the growth and size of the tumors. The graph in Figure 5 shows that </w:t>
      </w:r>
      <w:r>
        <w:rPr>
          <w:rFonts w:ascii="Arial" w:cs="Arial" w:eastAsia="Arial" w:hAnsi="Arial"/>
          <w:sz w:val="17"/>
          <w:szCs w:val="17"/>
          <w:i w:val="1"/>
          <w:iCs w:val="1"/>
          <w:color w:val="auto"/>
        </w:rPr>
        <w:t>Proleukin</w:t>
      </w:r>
      <w:r>
        <w:rPr>
          <w:rFonts w:ascii="Arial" w:cs="Arial" w:eastAsia="Arial" w:hAnsi="Arial"/>
          <w:sz w:val="17"/>
          <w:szCs w:val="17"/>
          <w:color w:val="auto"/>
        </w:rPr>
        <w:t xml:space="preserve"> alone increases the levels of Tregs as a consequence of its immune activity and that entinostat alone, and in combination with </w:t>
      </w:r>
      <w:r>
        <w:rPr>
          <w:rFonts w:ascii="Arial" w:cs="Arial" w:eastAsia="Arial" w:hAnsi="Arial"/>
          <w:sz w:val="17"/>
          <w:szCs w:val="17"/>
          <w:i w:val="1"/>
          <w:iCs w:val="1"/>
          <w:color w:val="auto"/>
        </w:rPr>
        <w:t>Proleukin</w:t>
      </w:r>
      <w:r>
        <w:rPr>
          <w:rFonts w:ascii="Arial" w:cs="Arial" w:eastAsia="Arial" w:hAnsi="Arial"/>
          <w:sz w:val="17"/>
          <w:szCs w:val="17"/>
          <w:color w:val="auto"/>
        </w:rPr>
        <w:t>, blocks the increase in Tregs and reduces the number of immune-suppressive Tregs that are present in the tumor. In addition to reducing the number of immune-suppressive Tregs in this study, entinostat also increases the number of activated cytotoxic T cells.</w:t>
      </w:r>
    </w:p>
    <w:p>
      <w:pPr>
        <w:spacing w:after="0" w:line="186" w:lineRule="exact"/>
        <w:rPr>
          <w:sz w:val="20"/>
          <w:szCs w:val="20"/>
          <w:color w:val="auto"/>
        </w:rPr>
      </w:pPr>
    </w:p>
    <w:p>
      <w:pPr>
        <w:ind w:left="80"/>
        <w:spacing w:after="0"/>
        <w:tabs>
          <w:tab w:leader="none" w:pos="5800" w:val="left"/>
        </w:tabs>
        <w:rPr>
          <w:sz w:val="20"/>
          <w:szCs w:val="20"/>
          <w:color w:val="auto"/>
        </w:rPr>
      </w:pPr>
      <w:r>
        <w:rPr>
          <w:rFonts w:ascii="Arial" w:cs="Arial" w:eastAsia="Arial" w:hAnsi="Arial"/>
          <w:sz w:val="18"/>
          <w:szCs w:val="18"/>
          <w:b w:val="1"/>
          <w:bCs w:val="1"/>
          <w:color w:val="auto"/>
        </w:rPr>
        <w:t>Figure 4.</w:t>
      </w:r>
      <w:r>
        <w:rPr>
          <w:sz w:val="20"/>
          <w:szCs w:val="20"/>
          <w:color w:val="auto"/>
        </w:rPr>
        <w:tab/>
      </w:r>
      <w:r>
        <w:rPr>
          <w:rFonts w:ascii="Arial" w:cs="Arial" w:eastAsia="Arial" w:hAnsi="Arial"/>
          <w:sz w:val="15"/>
          <w:szCs w:val="15"/>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55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order to determine whether the effect of entinostat observed in preclinical research studies can also be observed in cancer patients treated with entinostat, we conducted an analysis on immune cells found in blood samples collected from a subset of patients treated in ENCORE 301, our Phase 2b clinical trial in advanced HR+ breast cancer patients. As shown in Figure 6 below, in these peripheral blood samples, we observed a statistically significant reduction in the level of circulating MDSCs in patients treated with the combination of entinostat and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 hormone therapy, but not in patients treated with the combination of placebo and </w:t>
      </w:r>
      <w:r>
        <w:rPr>
          <w:rFonts w:ascii="Arial" w:cs="Arial" w:eastAsia="Arial" w:hAnsi="Arial"/>
          <w:sz w:val="16"/>
          <w:szCs w:val="16"/>
          <w:i w:val="1"/>
          <w:iCs w:val="1"/>
          <w:color w:val="auto"/>
        </w:rPr>
        <w:t>Aromasin</w:t>
      </w:r>
      <w:r>
        <w:rPr>
          <w:rFonts w:ascii="Arial" w:cs="Arial" w:eastAsia="Arial" w:hAnsi="Arial"/>
          <w:sz w:val="16"/>
          <w:szCs w:val="16"/>
          <w:color w:val="auto"/>
        </w:rPr>
        <w:t>. We believe this data collected from a subset of the ENCORE 301 patient population provided the first clinical evidence of entinostat-mediated reduction of immunosuppressive MDSCs in patients and is consistent with the impact on MDSCs observed in the preclinical animal studies.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14605</wp:posOffset>
            </wp:positionV>
            <wp:extent cx="2512695" cy="2341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1269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20"/>
        <w:spacing w:after="0"/>
        <w:rPr>
          <w:sz w:val="20"/>
          <w:szCs w:val="20"/>
          <w:color w:val="auto"/>
        </w:rPr>
      </w:pPr>
      <w:r>
        <w:rPr>
          <w:rFonts w:ascii="Arial" w:cs="Arial" w:eastAsia="Arial" w:hAnsi="Arial"/>
          <w:sz w:val="14"/>
          <w:szCs w:val="14"/>
          <w:i w:val="1"/>
          <w:iCs w:val="1"/>
          <w:color w:val="auto"/>
        </w:rPr>
        <w:t>Source: Syndax</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Supporting Entinostat in Combination with Immune Checkpoint Inhibitors</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Preclinical</w:t>
      </w:r>
      <w:r>
        <w:rPr>
          <w:rFonts w:ascii="Arial" w:cs="Arial" w:eastAsia="Arial" w:hAnsi="Arial"/>
          <w:sz w:val="16"/>
          <w:szCs w:val="16"/>
          <w:color w:val="auto"/>
        </w:rPr>
        <w:t>. In order to determine whether entinostat could combine effectively with immune checkpoint inhibitors, investigators from JHU recently tested entinostat in combination with anti-PD-1 and anti-cytotoxic T-lymphocyte-associated protein 4, or CTLA4, directed antibodies in immune-resistant animal models. As shown in Figure 7 below, the elimination of both primary and metastatic tumors was observed in a 4T1 mouse breast cancer model that was treated with entinostat together with dual PD-1/CTLA4 checkpoint inhibition. The researchers observed that entinostat, rather than attacking and destroying replicating cells as standard chemotherapy drugs do, reduced the number and activity of MDSCs.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143510</wp:posOffset>
            </wp:positionV>
            <wp:extent cx="5171440" cy="24180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7144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Source: Adapted from Kim et al 2014 Proceedings of the National Academy of Sciences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u w:val="single" w:color="auto"/>
          <w:color w:val="auto"/>
        </w:rPr>
        <w:t>Clinical</w:t>
      </w:r>
      <w:r>
        <w:rPr>
          <w:rFonts w:ascii="Arial" w:cs="Arial" w:eastAsia="Arial" w:hAnsi="Arial"/>
          <w:sz w:val="16"/>
          <w:szCs w:val="16"/>
          <w:color w:val="auto"/>
        </w:rPr>
        <w:t xml:space="preserve">. Based on the clinical outcome of patients who were treated in two unrelated clinical trials, physicians at JHU observed preliminary evidence for the potential beneficial effects of combining entinostat with a PD-1 or PDL-1 inhibitor. In a heavily pre-treated metastatic NSCLC population, patients given the combination of entinostat and </w:t>
      </w:r>
      <w:r>
        <w:rPr>
          <w:rFonts w:ascii="Arial" w:cs="Arial" w:eastAsia="Arial" w:hAnsi="Arial"/>
          <w:sz w:val="16"/>
          <w:szCs w:val="16"/>
          <w:i w:val="1"/>
          <w:iCs w:val="1"/>
          <w:color w:val="auto"/>
        </w:rPr>
        <w:t>Vidaza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(azacitidine), an approved chemotherapeutic drug, achieved few objective responses and only a modest 4% overall response rate. However, investigators observed that these same patients who received the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 xml:space="preserve"> and who subsequently received immune checkpoint therapy demonstrated a higher response rate than that expected for this patient population. Figure 8 below illustrates that all five patients who received either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an approved anti-PD-1, or an investigational PDL-1 inhibitor as their next therapy derived durable clinical benefit. Three of the patients had durable responses and two had durable stable disease. This enhanced response rate was better than an expected 15% response to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alone observed in a similar advanced NSCLC population and led investigators to hypothesize that the prior effect of the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 xml:space="preserve"> therapy was “priming” the tumors to the subsequent immune therapy. To confirm these findings and further explore the ability of the combination of </w:t>
      </w:r>
      <w:r>
        <w:rPr>
          <w:rFonts w:ascii="Arial" w:cs="Arial" w:eastAsia="Arial" w:hAnsi="Arial"/>
          <w:sz w:val="16"/>
          <w:szCs w:val="16"/>
          <w:i w:val="1"/>
          <w:iCs w:val="1"/>
          <w:color w:val="auto"/>
        </w:rPr>
        <w:t>Vidaza</w:t>
      </w:r>
      <w:r>
        <w:rPr>
          <w:rFonts w:ascii="Arial" w:cs="Arial" w:eastAsia="Arial" w:hAnsi="Arial"/>
          <w:sz w:val="16"/>
          <w:szCs w:val="16"/>
          <w:color w:val="auto"/>
        </w:rPr>
        <w:t xml:space="preserve"> and entinostat to enhance the response of NSCLC patients to </w:t>
      </w:r>
      <w:r>
        <w:rPr>
          <w:rFonts w:ascii="Arial" w:cs="Arial" w:eastAsia="Arial" w:hAnsi="Arial"/>
          <w:sz w:val="16"/>
          <w:szCs w:val="16"/>
          <w:i w:val="1"/>
          <w:iCs w:val="1"/>
          <w:color w:val="auto"/>
        </w:rPr>
        <w:t>Opdivo</w:t>
      </w:r>
      <w:r>
        <w:rPr>
          <w:rFonts w:ascii="Arial" w:cs="Arial" w:eastAsia="Arial" w:hAnsi="Arial"/>
          <w:sz w:val="16"/>
          <w:szCs w:val="16"/>
          <w:color w:val="auto"/>
        </w:rPr>
        <w:t>, the investigators at JHU have initiated a follow-on randomized Phase 2 clinical trial, J1353.</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118110</wp:posOffset>
            </wp:positionV>
            <wp:extent cx="3515995" cy="29502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1599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60"/>
        <w:spacing w:after="0"/>
        <w:rPr>
          <w:sz w:val="20"/>
          <w:szCs w:val="20"/>
          <w:color w:val="auto"/>
        </w:rPr>
      </w:pPr>
      <w:r>
        <w:rPr>
          <w:rFonts w:ascii="Arial" w:cs="Arial" w:eastAsia="Arial" w:hAnsi="Arial"/>
          <w:sz w:val="14"/>
          <w:szCs w:val="14"/>
          <w:i w:val="1"/>
          <w:iCs w:val="1"/>
          <w:color w:val="auto"/>
        </w:rPr>
        <w:t>Source: Adapted from Wrangle et al 2013 Oncotarget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NSCLC and Melanoma</w:t>
      </w:r>
    </w:p>
    <w:p>
      <w:pPr>
        <w:spacing w:after="0" w:line="165"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Market Overview and Current Treatment—NSCLC</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Lung cancer is the leading cause of cancer death among men and women, with more people dying</w:t>
      </w:r>
      <w:r>
        <w:rPr>
          <w:rFonts w:ascii="Arial" w:cs="Arial" w:eastAsia="Arial" w:hAnsi="Arial"/>
          <w:sz w:val="18"/>
          <w:szCs w:val="18"/>
          <w:b w:val="1"/>
          <w:bCs w:val="1"/>
          <w:color w:val="auto"/>
        </w:rPr>
        <w:t xml:space="preserve"> </w:t>
      </w:r>
      <w:r>
        <w:rPr>
          <w:rFonts w:ascii="Arial" w:cs="Arial" w:eastAsia="Arial" w:hAnsi="Arial"/>
          <w:sz w:val="18"/>
          <w:szCs w:val="18"/>
          <w:color w:val="auto"/>
        </w:rPr>
        <w:t>of lung cancer each year than of colon, breast, and prostate cancers combined. According to the American Cancer Society, approximately 85% to 90% of lung cancers are NSCLC, and in 2015, an estimated 221,200 new cases of lung cancer will be diagnosed and an estimated 158,040 people will die from lung cancer in the United States. The five-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year survival rate for patients with NSCLC generally is 18% and for patients with Stage III/IV NSCLC is approximately 6%, indicating a significant need for new therapies that can prolong overall survival.</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Metastatic NSCLC is a severe disease with a poor prognosis in the majority of patients with limited treatment options to date. Treatment typically includes a first-line combination chemotherapy followed by a choice of a second-line therapeutic approach. Most patients receiving first-line chemotherapy will relapse within one year of treatment with a median PFS of approximately five to six months and median overall survival of approximately 10 to 12 months. In the second-line setting, the median PFS is approximately three to four months and median overall survival is approximately six to seven months.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treatment paradigm of NSCLC changed significantly in March 2015 when the FDA approved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an anti-PD-1 monoclonal antibody as the first immune-targeted drug to treat people with squamous NSCLC in patients who have relapsed after platinum-based chemotherapy. This approval was based on a trial that was stopped early after showing that </w:t>
      </w:r>
      <w:r>
        <w:rPr>
          <w:rFonts w:ascii="Arial" w:cs="Arial" w:eastAsia="Arial" w:hAnsi="Arial"/>
          <w:sz w:val="16"/>
          <w:szCs w:val="16"/>
          <w:i w:val="1"/>
          <w:iCs w:val="1"/>
          <w:color w:val="auto"/>
        </w:rPr>
        <w:t>Opdivo</w:t>
      </w:r>
      <w:r>
        <w:rPr>
          <w:rFonts w:ascii="Arial" w:cs="Arial" w:eastAsia="Arial" w:hAnsi="Arial"/>
          <w:sz w:val="16"/>
          <w:szCs w:val="16"/>
          <w:color w:val="auto"/>
        </w:rPr>
        <w:t xml:space="preserve"> improved overall survival by 3.2 months compared to docetaxol, a comparator drug approved for this population. This data represents a significant increase in efficacy from what has traditionally been expected of drugs approved to treat advanced lung cancer, and we believe that immune checkpoint inhibitors will become the standard of care for this patient population. There are other immune checkpoint inhibitors being developed to treat NSCLC, the most advanced of which include Merck’s </w:t>
      </w:r>
      <w:r>
        <w:rPr>
          <w:rFonts w:ascii="Arial" w:cs="Arial" w:eastAsia="Arial" w:hAnsi="Arial"/>
          <w:sz w:val="16"/>
          <w:szCs w:val="16"/>
          <w:i w:val="1"/>
          <w:iCs w:val="1"/>
          <w:color w:val="auto"/>
        </w:rPr>
        <w:t>Keytruda</w:t>
      </w:r>
      <w:r>
        <w:rPr>
          <w:rFonts w:ascii="Arial" w:cs="Arial" w:eastAsia="Arial" w:hAnsi="Arial"/>
          <w:sz w:val="16"/>
          <w:szCs w:val="16"/>
          <w:color w:val="auto"/>
        </w:rPr>
        <w:t>, Genentech’s atezolizumab, AstraZeneca plc’s MEDI4736, and Merck KGaA, Darmstadt, Germany/Pfizer Inc.’s avelumab. The clinical development programs for all of these therapies have been designed to understand the broad impact they could have across NSCLC, including non-squamous, chemotherapy-naive and previously treated patients. We anticipate the immune checkpoint inhibitors will be available for use across the spectrum of advanced NSCLC patients.</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However, even as the development of these immune checkpoint inhibitors represent a significant advance for NSCLC patients, the proportion of treated patients who respond is still quite low (15 to 20%). This low response rate leaves significant room to improve upon the benefit of immune checkpoint inhibitors through combinations with drugs, like entinostat, that target immune modulation through complementary mechanisms.</w:t>
      </w:r>
    </w:p>
    <w:p>
      <w:pPr>
        <w:spacing w:after="0" w:line="10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Market Overview and Current Treatment—Melanoma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incidence of malignant melanoma in most developed countries has risen faster than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cancer type since the mid-1950s. In 2011, the average survival duration for patients with Stage IV melanoma, in which the melanoma has metastasized, was only 6 to 10 months and the five-year survival rate for such patients is 16%. Although this rate has not changed in some time, a recent major advance for melanoma came with the development and approval of drugs such as </w:t>
      </w:r>
      <w:r>
        <w:rPr>
          <w:rFonts w:ascii="Arial" w:cs="Arial" w:eastAsia="Arial" w:hAnsi="Arial"/>
          <w:sz w:val="16"/>
          <w:szCs w:val="16"/>
          <w:i w:val="1"/>
          <w:iCs w:val="1"/>
          <w:color w:val="auto"/>
        </w:rPr>
        <w:t>Zelboraf</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(vemurafenib), </w:t>
      </w:r>
      <w:r>
        <w:rPr>
          <w:rFonts w:ascii="Arial" w:cs="Arial" w:eastAsia="Arial" w:hAnsi="Arial"/>
          <w:sz w:val="16"/>
          <w:szCs w:val="16"/>
          <w:i w:val="1"/>
          <w:iCs w:val="1"/>
          <w:color w:val="auto"/>
        </w:rPr>
        <w:t>Tafinlar</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(dabrafenib) and </w:t>
      </w:r>
      <w:r>
        <w:rPr>
          <w:rFonts w:ascii="Arial" w:cs="Arial" w:eastAsia="Arial" w:hAnsi="Arial"/>
          <w:sz w:val="16"/>
          <w:szCs w:val="16"/>
          <w:i w:val="1"/>
          <w:iCs w:val="1"/>
          <w:color w:val="auto"/>
        </w:rPr>
        <w:t>Mekinist</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(trametinib).</w:t>
      </w:r>
    </w:p>
    <w:p>
      <w:pPr>
        <w:spacing w:after="0" w:line="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Melanoma is a particularly immuno-responsive tumor, and thus, immunotherapy of melanoma has developed as a dynamic field for clinical research. To date, immunotherapies such as </w:t>
      </w:r>
      <w:r>
        <w:rPr>
          <w:rFonts w:ascii="Arial" w:cs="Arial" w:eastAsia="Arial" w:hAnsi="Arial"/>
          <w:sz w:val="18"/>
          <w:szCs w:val="18"/>
          <w:i w:val="1"/>
          <w:iCs w:val="1"/>
          <w:color w:val="auto"/>
        </w:rPr>
        <w:t>Yervoy</w:t>
      </w:r>
      <w:r>
        <w:rPr>
          <w:rFonts w:ascii="Arial" w:cs="Arial" w:eastAsia="Arial" w:hAnsi="Arial"/>
          <w:sz w:val="11"/>
          <w:szCs w:val="11"/>
          <w:color w:val="auto"/>
        </w:rPr>
        <w:t>®</w:t>
      </w:r>
      <w:r>
        <w:rPr>
          <w:rFonts w:ascii="Arial" w:cs="Arial" w:eastAsia="Arial" w:hAnsi="Arial"/>
          <w:sz w:val="18"/>
          <w:szCs w:val="18"/>
          <w:color w:val="auto"/>
        </w:rPr>
        <w:t xml:space="preserve"> (ipilmumab),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w:t>
      </w:r>
      <w:r>
        <w:rPr>
          <w:rFonts w:ascii="Arial" w:cs="Arial" w:eastAsia="Arial" w:hAnsi="Arial"/>
          <w:sz w:val="18"/>
          <w:szCs w:val="18"/>
          <w:i w:val="1"/>
          <w:iCs w:val="1"/>
          <w:color w:val="auto"/>
        </w:rPr>
        <w:t>Opdivo</w:t>
      </w:r>
      <w:r>
        <w:rPr>
          <w:rFonts w:ascii="Arial" w:cs="Arial" w:eastAsia="Arial" w:hAnsi="Arial"/>
          <w:sz w:val="18"/>
          <w:szCs w:val="18"/>
          <w:color w:val="auto"/>
        </w:rPr>
        <w:t>, have been approved for the treatment of malignant melanoma patients with unresectable or metastatic disease. But, in this tumor type as well, the immunotherapies represent a significant advance for only a small proportion of patients, leaving significant room to improve upon the benefit of immune checkpoint inhibitors through combinations with drugs, like entinostat, that target immune modulation through complementary mechanisms.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Our Development of Entinostat in NSCLC and Melanoma</w:t>
      </w:r>
      <w:r>
        <w:rPr>
          <w:rFonts w:ascii="Arial" w:cs="Arial" w:eastAsia="Arial" w:hAnsi="Arial"/>
          <w:sz w:val="16"/>
          <w:szCs w:val="16"/>
          <w:color w:val="auto"/>
        </w:rPr>
        <w:t>. We have established a clinical collaboration with Merck to study the safety and efficacy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malignant melanoma. The ENCORE 601 clinical trial is designed as a Phase 1b/2 clinical trial. The Phase 1b portion will evaluate the safety, tolerability and biomarker correlates of the combination of entinostat and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The Phase 2 portion will assess both the safety and efficacy of entinostat combined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melanoma. The trial is an open label, dose escalation study with cohort expansions at the recommended Phase 2 dose, or RP2D, in NSCLC and melanoma patients. The trial will be conducted in the United States and will enroll up to 178 patients with approximately 42 of those in the Phase 1b portion and 136 of those in the Phase 2 portion. Patient enrollment for the Phase 1b portion of the clinical trial was initiated in August 2015. We expect safety data and RP2D data from the Phase 1b portion in the first half of 2016 and in the second half of 2016, respectively, and preliminary efficacy data from the Phase 2 portion in the first half of 2017. We anticipate that full enrollment for the Phase 1b and 2 portions will require approximately 30 months with final efficacy data expected in 2018.</w:t>
      </w:r>
    </w:p>
    <w:p>
      <w:pPr>
        <w:spacing w:after="0" w:line="11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The primary objective of the Phase 1b portion of the trial is to determine the dose-limiting toxicities, or DLT, maximum tolerated dose, or MTD, or the RP2D of entinostat given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The initial three patients in Cohort 1 received weekly oral entinostat at a starting dose of 3 mg along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200 mg via intravenous infusion. Enrollment in Cohort 1 was increased to six patients after one of the initial three patients developed a serious immune-mediated adverse event. The patient in question developed Grade 3 elevations in alkaline phosphatase and serum bilirubin, which were considered to be manifestations of immune-mediated hepatitis. Immune-mediated hepatitis is included in the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U.S. Prescribing Information as a potential adverse drug reaction. The adverse event was successfully managed by withholding study drugs and administering systemic corticosteroids, leading to a rapid normalization of the abnormal laboratory values and resolution of symptoms. Based on a thorough safety review of all six patients, which demonstrated no similar events or any other dose-limiting toxicities, the 3 mg dosing was deemed tolerable and, in December 2015, dosing was escalated to entinostat weekly oral doses of 5 mg. Cohort 2 is currently enrolling. The prospective RP2D will be confirmed in 9 to 12 additional patients. The Phase 1b portion of the clinical trial is expected to also characterize the effect of the combination therapy on numerous biomarkers, including expression of PD-1 and PDL-1, the number and function of different types of T cells and the number of MDSCs. These biomarkers will be assessed both in peripheral blood and in serial tumor biopsies.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In the Phase 2 portion of the clinical trial, we will evaluate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using the RP2D identified in the Phase 1b portion with the primary objective of evaluating the efficacy of the combination in three expansion cohorts. In each cohort a two-stage design will be used in which a defined minimum number of responders must be seen in the first stage in order for the cohort to advance to full enrollment in the second stage. The decision to terminate or continue enrollment for each cohort will be made independently of the other cohorts. Cohort 1 will enroll up to 46 NSCLC patients with any histology who have not previously been treated with a PD-1/PDL-1 inhibitor. We anticipate all 46 patients will be enrolled by the second half of 2017. Cohort 2 will enroll up to 56 patients with NSCLC of any histology who have previously been treated and progressed on a PD-1 or PDL-1 blocking antibody. We anticipate all 56 patients will be enrolled by the second half of 2017. Cohort 3 will enroll up to 34 patients with melanoma who have previously been treated and progressed on a PD-1 or PDL-1 blocking antibody. We anticipate all 34 patients will be enrolled by the first half of 2017.</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Secondary objectives of the trial include assessments of safety, efficacy as measured by clinical benefit rate at six months, PFS at six months, overall PFS, overall survival, duration of response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time to response. Additional exploratory objectives include evaluation of changes in biomarkers in blood and tissue samples collected from patients that may reflect entinostat activity on immune cells.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11430</wp:posOffset>
            </wp:positionV>
            <wp:extent cx="3481705" cy="27101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8170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TNBC</w:t>
      </w:r>
    </w:p>
    <w:p>
      <w:pPr>
        <w:spacing w:after="0" w:line="165"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b w:val="1"/>
          <w:bCs w:val="1"/>
          <w:color w:val="auto"/>
        </w:rPr>
        <w:t>Market Overview and Current Treatment</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Breast cancer is the leading cause of cancer death in women worldwide and the second leading cause of</w:t>
      </w:r>
      <w:r>
        <w:rPr>
          <w:rFonts w:ascii="Arial" w:cs="Arial" w:eastAsia="Arial" w:hAnsi="Arial"/>
          <w:sz w:val="15"/>
          <w:szCs w:val="15"/>
          <w:b w:val="1"/>
          <w:bCs w:val="1"/>
          <w:color w:val="auto"/>
        </w:rPr>
        <w:t xml:space="preserve"> </w:t>
      </w:r>
      <w:r>
        <w:rPr>
          <w:rFonts w:ascii="Arial" w:cs="Arial" w:eastAsia="Arial" w:hAnsi="Arial"/>
          <w:sz w:val="15"/>
          <w:szCs w:val="15"/>
          <w:color w:val="auto"/>
        </w:rPr>
        <w:t>cancer death in women in the United States after lung cancer. According to the American Cancer Society, in 2015 approximately 231,000 new cases of invasive breast cancer will be diagnosed in the United States. Although the five-year survival rate for women diagnosed with non-metastatic breast cancer is over 85%, the five-year survival rate for women diagnosed with metastatic breast cancer is only 24%, indicating the need for new therapies that can prolong overall survival.</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Breast cancers can be divided into three subsets based on the presence or absence in the tumor of the following protein receptors:</w:t>
      </w:r>
    </w:p>
    <w:p>
      <w:pPr>
        <w:spacing w:after="0" w:line="212" w:lineRule="exact"/>
        <w:rPr>
          <w:sz w:val="20"/>
          <w:szCs w:val="20"/>
          <w:color w:val="auto"/>
        </w:rPr>
      </w:pPr>
    </w:p>
    <w:p>
      <w:pPr>
        <w:ind w:left="1000" w:hanging="317"/>
        <w:spacing w:after="0"/>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HR+, which means expressing the estrogen receptor, or ER, or progesterone receptor, or PR, alone or in combination with each other;</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HER2+, which means expressing the human epidermal growth factor receptor 2, or HER2 receptor;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Triple negative, which means not expressing ER, PR or HER2.</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TNBC represents 15-20% of newly diagnosed breast cancer cases, and is associated with a younger age at diagnosis, advanced stage at diagnosis, increased risk of visceral metastasis and poorer outcome. The five-year survival rate for women diagnosed with Stage IV TNBC is only 22% with limited treatment options. Preliminary data has indicated that treatment with Genentech’s atezolizumab results in approximately a 20% response rate in women with TNBC, and atezolizumab is currently being studied in a Phase 3 clinical trial.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Our Development Plan of Entinostat in TNBC</w:t>
      </w:r>
      <w:r>
        <w:rPr>
          <w:rFonts w:ascii="Arial" w:cs="Arial" w:eastAsia="Arial" w:hAnsi="Arial"/>
          <w:sz w:val="16"/>
          <w:szCs w:val="16"/>
          <w:color w:val="auto"/>
        </w:rPr>
        <w:t>. We have established a clinical collaboration with Genentech to study the safety and efficacy of entinostat</w:t>
      </w:r>
      <w:r>
        <w:rPr>
          <w:rFonts w:ascii="Arial" w:cs="Arial" w:eastAsia="Arial" w:hAnsi="Arial"/>
          <w:sz w:val="16"/>
          <w:szCs w:val="16"/>
          <w:b w:val="1"/>
          <w:bCs w:val="1"/>
          <w:color w:val="auto"/>
        </w:rPr>
        <w:t xml:space="preserve"> </w:t>
      </w:r>
      <w:r>
        <w:rPr>
          <w:rFonts w:ascii="Arial" w:cs="Arial" w:eastAsia="Arial" w:hAnsi="Arial"/>
          <w:sz w:val="16"/>
          <w:szCs w:val="16"/>
          <w:color w:val="auto"/>
        </w:rPr>
        <w:t>in combination with atezolizumab, an anti-PDL-1 antibody, in patients with TNBC. The ENCORE 602 clinical trial is designed as a Phase 1b/2 clinical trial, where the Phase 1b portion will initially evaluate the safety of weekly oral entinostat at a dose of 5 mg administered in combination with 1200 mg of atezolizumab given intravenously every three weeks. Assuming this combination is well tolerated, the Phase 2 portion of the clinical trial will be a randomized, double-blind, placebo-controlled trial. The primary endpoint of the Phase 2 clinical trial will be PFS, with response rate, duration of response, time to response and overall survival as secondary end points. Additional exploratory objectives include evaluation of changes in biomarkers in blood and tissue samples collected from patients that may reflect entinostat activity on immune cells. We expect that the enrollment of patients in the ENCORE 602 clinical trial will begin during the first half of 2016 with data expected from the Phase 1b portion in the second half of 2016.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Ovarian Cancer</w:t>
      </w:r>
    </w:p>
    <w:p>
      <w:pPr>
        <w:spacing w:after="0" w:line="165" w:lineRule="exact"/>
        <w:rPr>
          <w:sz w:val="20"/>
          <w:szCs w:val="20"/>
          <w:color w:val="auto"/>
        </w:rPr>
      </w:pPr>
    </w:p>
    <w:p>
      <w:pPr>
        <w:ind w:right="80" w:firstLine="456"/>
        <w:spacing w:after="0" w:line="310" w:lineRule="auto"/>
        <w:rPr>
          <w:sz w:val="20"/>
          <w:szCs w:val="20"/>
          <w:color w:val="auto"/>
        </w:rPr>
      </w:pPr>
      <w:r>
        <w:rPr>
          <w:rFonts w:ascii="Arial" w:cs="Arial" w:eastAsia="Arial" w:hAnsi="Arial"/>
          <w:sz w:val="16"/>
          <w:szCs w:val="16"/>
          <w:b w:val="1"/>
          <w:bCs w:val="1"/>
          <w:color w:val="auto"/>
        </w:rPr>
        <w:t>Market Overview and Current Treatment – Ovarian Cancer</w:t>
      </w:r>
      <w:r>
        <w:rPr>
          <w:rFonts w:ascii="Arial" w:cs="Arial" w:eastAsia="Arial" w:hAnsi="Arial"/>
          <w:sz w:val="16"/>
          <w:szCs w:val="16"/>
          <w:color w:val="auto"/>
        </w:rPr>
        <w:t>. A 2014 report by the American Cancer Society indicates that approximately 22,000</w:t>
      </w:r>
      <w:r>
        <w:rPr>
          <w:rFonts w:ascii="Arial" w:cs="Arial" w:eastAsia="Arial" w:hAnsi="Arial"/>
          <w:sz w:val="16"/>
          <w:szCs w:val="16"/>
          <w:b w:val="1"/>
          <w:bCs w:val="1"/>
          <w:color w:val="auto"/>
        </w:rPr>
        <w:t xml:space="preserve"> </w:t>
      </w:r>
      <w:r>
        <w:rPr>
          <w:rFonts w:ascii="Arial" w:cs="Arial" w:eastAsia="Arial" w:hAnsi="Arial"/>
          <w:sz w:val="16"/>
          <w:szCs w:val="16"/>
          <w:color w:val="auto"/>
        </w:rPr>
        <w:t>women are diagnosed and just over 14,000 die from ovarian cancer in the United States each year. The past few decades have seen some improvement in median five-year survival for women diagnosed with ovarian cancer, but the trend has been modest, increasing from 36% in 1977 to 44% by 2009.</w:t>
      </w:r>
    </w:p>
    <w:p>
      <w:pPr>
        <w:spacing w:after="0" w:line="10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 xml:space="preserve">Currently, more than 60% of women are diagnosed with advanced disease and therapeutic options for these patients are still dominated by traditional chemotherapeutics, such as platinums, taxanes and anthracyclines. In 2014, two targeted agents were approved for later line treatment of refractory patients: </w:t>
      </w:r>
      <w:r>
        <w:rPr>
          <w:rFonts w:ascii="Arial" w:cs="Arial" w:eastAsia="Arial" w:hAnsi="Arial"/>
          <w:sz w:val="18"/>
          <w:szCs w:val="18"/>
          <w:i w:val="1"/>
          <w:iCs w:val="1"/>
          <w:color w:val="auto"/>
        </w:rPr>
        <w:t>Avastin</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(bevacizumab), a vascular endothelial growth factor specific angiogenesis inhibitor, and</w:t>
      </w:r>
      <w:r>
        <w:rPr>
          <w:rFonts w:ascii="Arial" w:cs="Arial" w:eastAsia="Arial" w:hAnsi="Arial"/>
          <w:sz w:val="18"/>
          <w:szCs w:val="18"/>
          <w:i w:val="1"/>
          <w:iCs w:val="1"/>
          <w:color w:val="auto"/>
        </w:rPr>
        <w:t xml:space="preserve"> Lynparza</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(olaparib), a poly ADP-ribose polymerase inhibitor</w:t>
      </w:r>
      <w:r>
        <w:rPr>
          <w:rFonts w:ascii="Arial" w:cs="Arial" w:eastAsia="Arial" w:hAnsi="Arial"/>
          <w:sz w:val="18"/>
          <w:szCs w:val="18"/>
          <w:i w:val="1"/>
          <w:iCs w:val="1"/>
          <w:color w:val="auto"/>
        </w:rPr>
        <w:t xml:space="preserve"> </w:t>
      </w:r>
      <w:r>
        <w:rPr>
          <w:rFonts w:ascii="Arial" w:cs="Arial" w:eastAsia="Arial" w:hAnsi="Arial"/>
          <w:sz w:val="18"/>
          <w:szCs w:val="18"/>
          <w:color w:val="auto"/>
        </w:rPr>
        <w:t>for patients with deleterious breast cancer susceptibility gene mutations. However, the duration of response to either drug was still less than 10 months, highlighting the need to further improve upon patient care. The safety and the efficacy of immune-targeted therapy in ovarian cancer has not yet been demonstrated.</w:t>
      </w:r>
    </w:p>
    <w:p>
      <w:pPr>
        <w:spacing w:after="0" w:line="13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color w:val="auto"/>
        </w:rPr>
        <w:t>Our Development Plan of Entinostat in Ovarian Cancer</w:t>
      </w:r>
      <w:r>
        <w:rPr>
          <w:rFonts w:ascii="Arial" w:cs="Arial" w:eastAsia="Arial" w:hAnsi="Arial"/>
          <w:sz w:val="16"/>
          <w:szCs w:val="16"/>
          <w:color w:val="auto"/>
        </w:rPr>
        <w:t>. We have established a clinical trial collaboration with Merck KGaA and Pfizer to study the</w:t>
      </w:r>
      <w:r>
        <w:rPr>
          <w:rFonts w:ascii="Arial" w:cs="Arial" w:eastAsia="Arial" w:hAnsi="Arial"/>
          <w:sz w:val="16"/>
          <w:szCs w:val="16"/>
          <w:b w:val="1"/>
          <w:bCs w:val="1"/>
          <w:color w:val="auto"/>
        </w:rPr>
        <w:t xml:space="preserve"> </w:t>
      </w:r>
      <w:r>
        <w:rPr>
          <w:rFonts w:ascii="Arial" w:cs="Arial" w:eastAsia="Arial" w:hAnsi="Arial"/>
          <w:sz w:val="16"/>
          <w:szCs w:val="16"/>
          <w:color w:val="auto"/>
        </w:rPr>
        <w:t>safety and efficacy of entinostat in combination with avelumab, an investigational anti-PDL-1 antibody, in patients with ovarian cancer. The ENCORE 603 clinical trial is designed as a Phase 1b/2 clinical trial, where the Phase 1b portion will initially evaluate the safety of weekly, oral entinostat with avelumab. If this combination is well tolerated, the Phase 2 portion of the clinical trial will be designed as a randomized, double-blind, placebo-controlled trial. The primary endpoint of the Phase 2 clinical trial will be PFS, with response rate, duration of response, time to response and overall survival as secondary end points. Additional exploratory objectives include evaluation of changes in biomarkers in blood and tissue samples collected from patients that may reflect the effect of entinostat on immune cells. We anticipate that enrollment of patients in the ENCORE 603 clinical trial will begin during the second half of 2016 with safety data expected from the Phase 1b portion in the first half of 2017 and RP2D data in the second half of 2017.</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Clinical Trials of Entinostat in Immuno-Oncology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plan to evaluate the efficacy of entinostat in combination with other immune checkpoint inhibitors and/or other immunotherapies in at least one to two additional immuno-responsive tumor types. We expect to initiate these additional entinostat combination clinical trials in 2016.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Investigator-Sponsored Clinical Trials of Entinostat in Immuno-Oncology</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believe that there are additional opportunities for expanding the indications in which entinostat may target immunologic mechanisms of resistance to cancer therapies. In addition to our collaborations with Merck, Genentech, Merck KGaA and Pfizer, we have partnered with independent investigators to support three clinical trials that are designed to validate both clinical and preclinical observations that entinostat can enhance the clinical activity of immune therapy in patients. These clinical trials do not require additional financial support from us and are being conducted through our NCI collaboration with additional support from the </w:t>
      </w:r>
      <w:r>
        <w:rPr>
          <w:rFonts w:ascii="Arial" w:cs="Arial" w:eastAsia="Arial" w:hAnsi="Arial"/>
          <w:sz w:val="16"/>
          <w:szCs w:val="16"/>
          <w:i w:val="1"/>
          <w:iCs w:val="1"/>
          <w:color w:val="auto"/>
        </w:rPr>
        <w:t>Stand Up To Cancer</w:t>
      </w:r>
      <w:r>
        <w:rPr>
          <w:rFonts w:ascii="Arial" w:cs="Arial" w:eastAsia="Arial" w:hAnsi="Arial"/>
          <w:sz w:val="16"/>
          <w:szCs w:val="16"/>
          <w:color w:val="auto"/>
        </w:rPr>
        <w:t xml:space="preserve"> funding initiative. Data from these trials are expected to be reported beginning in the second half of 2016. We do not control the timing of these clinical trials and cannot provide any assurance with respect thereto.</w:t>
      </w:r>
    </w:p>
    <w:p>
      <w:pPr>
        <w:spacing w:after="0" w:line="114" w:lineRule="exact"/>
        <w:rPr>
          <w:sz w:val="20"/>
          <w:szCs w:val="20"/>
          <w:color w:val="auto"/>
        </w:rPr>
      </w:pPr>
    </w:p>
    <w:p>
      <w:pPr>
        <w:jc w:val="both"/>
        <w:ind w:right="20" w:firstLine="456"/>
        <w:spacing w:after="0" w:line="310" w:lineRule="auto"/>
        <w:rPr>
          <w:sz w:val="20"/>
          <w:szCs w:val="20"/>
          <w:color w:val="auto"/>
        </w:rPr>
      </w:pPr>
      <w:r>
        <w:rPr>
          <w:rFonts w:ascii="Arial" w:cs="Arial" w:eastAsia="Arial" w:hAnsi="Arial"/>
          <w:sz w:val="16"/>
          <w:szCs w:val="16"/>
          <w:b w:val="1"/>
          <w:bCs w:val="1"/>
          <w:color w:val="auto"/>
        </w:rPr>
        <w:t>J1353: Epigenetic Priming to Immunotherapy Trial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JHU investigator-sponsored Phase 2 clinical trial, funded by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Stand Up To Cancer</w:t>
      </w:r>
      <w:r>
        <w:rPr>
          <w:rFonts w:ascii="Arial" w:cs="Arial" w:eastAsia="Arial" w:hAnsi="Arial"/>
          <w:sz w:val="16"/>
          <w:szCs w:val="16"/>
          <w:color w:val="auto"/>
        </w:rPr>
        <w:t>, is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enrolling up to 90 patients with metastatic NSCLC and is designed to test the ability of epigenetic therapy—a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 xml:space="preserve">—to enhance the response of NSCLC patients to </w:t>
      </w:r>
      <w:r>
        <w:rPr>
          <w:rFonts w:ascii="Arial" w:cs="Arial" w:eastAsia="Arial" w:hAnsi="Arial"/>
          <w:sz w:val="16"/>
          <w:szCs w:val="16"/>
          <w:i w:val="1"/>
          <w:iCs w:val="1"/>
          <w:color w:val="auto"/>
        </w:rPr>
        <w:t>Opdivo</w:t>
      </w:r>
      <w:r>
        <w:rPr>
          <w:rFonts w:ascii="Arial" w:cs="Arial" w:eastAsia="Arial" w:hAnsi="Arial"/>
          <w:sz w:val="16"/>
          <w:szCs w:val="16"/>
          <w:color w:val="auto"/>
        </w:rPr>
        <w:t>. We expect efficacy data for this trial will be available from JHU in the second half of 2016.</w:t>
      </w:r>
    </w:p>
    <w:p>
      <w:pPr>
        <w:spacing w:after="0" w:line="9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NCI-7870: Entinostat + High Dose Interleukin in Metastatic Renal Cell Carcinoma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investigator-sponsored Phase 1/2 clinical trial funded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NCI was designed to determine the safety and efficacy of entinostat combined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an approved immune therapy for patients with metastatic renal cell carcinoma.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as a single agent in metastatic renal cell carcinoma has demonstrated a 15% to 25% objective response rate and approximately four months median PFS. The clinical trial was designed to test whether entinostat combined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could increase the primary endpoint of response rate from 20% to 40%; the secondary endpoint was PFS. Entinostat was dosed orally starting at 3 mg once every other week, and once that dose was shown to be well-tolerated, additional patients were enrolled at a dose of 5 mg of entinostat once every other week.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was provided at the standard dose of 600,000 units/kg every eight hours for five days followed by a second course. Preliminary results from the completed Phase 1 portion indicated that entinostat may be given safely in combination with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and indicated that entinostat potentially enhances the response to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with evidence of causing beneficial changes in certain immune cell functions such as reduction of immune-suppressive Tregs. As of December 2015, the Phase 2 portion of the trial has completed enrollment with 47 patients evaluable for safety and 39 evaluable for efficacy. Preliminary results of the entinostat—</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combination in these patients were presented at the American Society of Clinical Oncology—Genitourinary meeting in January 2016 with data shown in Figures 9 and 10 below demonstrating a response rate of 35% (95% CI 20, 53%) in 37 patients with measurable disease and a median PFS of 16.1 months (95% CI 6.2, 27.8 months). The investigators concluded that the results suggest that entinostat may increase the anti-tumor activity of </w:t>
      </w:r>
      <w:r>
        <w:rPr>
          <w:rFonts w:ascii="Arial" w:cs="Arial" w:eastAsia="Arial" w:hAnsi="Arial"/>
          <w:sz w:val="16"/>
          <w:szCs w:val="16"/>
          <w:i w:val="1"/>
          <w:iCs w:val="1"/>
          <w:color w:val="auto"/>
        </w:rPr>
        <w:t>Proleukin</w:t>
      </w:r>
      <w:r>
        <w:rPr>
          <w:rFonts w:ascii="Arial" w:cs="Arial" w:eastAsia="Arial" w:hAnsi="Arial"/>
          <w:sz w:val="16"/>
          <w:szCs w:val="16"/>
          <w:color w:val="auto"/>
        </w:rPr>
        <w:t xml:space="preserve"> by modulating immunosuppressive cells. It is expected that data pertaining to the overall response rate will be available in the first half of 2016.</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143510</wp:posOffset>
            </wp:positionV>
            <wp:extent cx="2787015" cy="1663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8701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10.</w:t>
      </w:r>
    </w:p>
    <w:p>
      <w:pPr>
        <w:spacing w:after="0" w:line="212" w:lineRule="exact"/>
        <w:rPr>
          <w:sz w:val="20"/>
          <w:szCs w:val="20"/>
          <w:color w:val="auto"/>
        </w:rPr>
      </w:pPr>
    </w:p>
    <w:p>
      <w:pPr>
        <w:jc w:val="right"/>
        <w:ind w:right="8680"/>
        <w:spacing w:after="0"/>
        <w:rPr>
          <w:sz w:val="20"/>
          <w:szCs w:val="20"/>
          <w:color w:val="auto"/>
        </w:rPr>
      </w:pPr>
      <w:r>
        <w:rPr>
          <w:rFonts w:ascii="Arial" w:cs="Arial" w:eastAsia="Arial" w:hAnsi="Arial"/>
          <w:sz w:val="18"/>
          <w:szCs w:val="18"/>
          <w:b w:val="1"/>
          <w:bCs w:val="1"/>
          <w:color w:val="auto"/>
        </w:rPr>
        <w:t>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-121920</wp:posOffset>
            </wp:positionV>
            <wp:extent cx="2195195" cy="13804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95195" cy="1380490"/>
                    </a:xfrm>
                    <a:prstGeom prst="rect">
                      <a:avLst/>
                    </a:prstGeom>
                    <a:noFill/>
                  </pic:spPr>
                </pic:pic>
              </a:graphicData>
            </a:graphic>
          </wp:anchor>
        </w:drawing>
      </w:r>
    </w:p>
    <w:p>
      <w:pPr>
        <w:spacing w:after="0" w:line="1" w:lineRule="exact"/>
        <w:rPr>
          <w:sz w:val="20"/>
          <w:szCs w:val="20"/>
          <w:color w:val="auto"/>
        </w:rPr>
      </w:pPr>
    </w:p>
    <w:p>
      <w:pPr>
        <w:jc w:val="right"/>
        <w:ind w:right="8680"/>
        <w:spacing w:after="0"/>
        <w:rPr>
          <w:sz w:val="20"/>
          <w:szCs w:val="20"/>
          <w:color w:val="auto"/>
        </w:rPr>
      </w:pPr>
      <w:r>
        <w:rPr>
          <w:rFonts w:ascii="Arial" w:cs="Arial" w:eastAsia="Arial" w:hAnsi="Arial"/>
          <w:sz w:val="18"/>
          <w:szCs w:val="18"/>
          <w:b w:val="1"/>
          <w:bCs w:val="1"/>
          <w:color w:val="auto"/>
        </w:rPr>
        <w:t>Free</w:t>
      </w:r>
    </w:p>
    <w:p>
      <w:pPr>
        <w:spacing w:after="0" w:line="9" w:lineRule="exact"/>
        <w:rPr>
          <w:sz w:val="20"/>
          <w:szCs w:val="20"/>
          <w:color w:val="auto"/>
        </w:rPr>
      </w:pPr>
    </w:p>
    <w:p>
      <w:pPr>
        <w:jc w:val="right"/>
        <w:ind w:right="8680"/>
        <w:spacing w:after="0"/>
        <w:rPr>
          <w:sz w:val="20"/>
          <w:szCs w:val="20"/>
          <w:color w:val="auto"/>
        </w:rPr>
      </w:pPr>
      <w:r>
        <w:rPr>
          <w:rFonts w:ascii="Arial" w:cs="Arial" w:eastAsia="Arial" w:hAnsi="Arial"/>
          <w:sz w:val="18"/>
          <w:szCs w:val="18"/>
          <w:b w:val="1"/>
          <w:bCs w:val="1"/>
          <w:color w:val="auto"/>
        </w:rPr>
        <w:t>Survival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Time at Risk (Months)</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Unadjusted Kaplan Meier Estimate</w:t>
      </w:r>
    </w:p>
    <w:p>
      <w:pPr>
        <w:spacing w:after="0" w:line="137"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NCI-9844: Efficacy of Entinostat in Combination with </w:t>
      </w:r>
      <w:r>
        <w:rPr>
          <w:rFonts w:ascii="Arial" w:cs="Arial" w:eastAsia="Arial" w:hAnsi="Arial"/>
          <w:sz w:val="16"/>
          <w:szCs w:val="16"/>
          <w:b w:val="1"/>
          <w:bCs w:val="1"/>
          <w:i w:val="1"/>
          <w:iCs w:val="1"/>
          <w:color w:val="auto"/>
        </w:rPr>
        <w:t>Opdivo</w:t>
      </w:r>
      <w:r>
        <w:rPr>
          <w:rFonts w:ascii="Arial" w:cs="Arial" w:eastAsia="Arial" w:hAnsi="Arial"/>
          <w:sz w:val="16"/>
          <w:szCs w:val="16"/>
          <w:b w:val="1"/>
          <w:bCs w:val="1"/>
          <w:color w:val="auto"/>
        </w:rPr>
        <w:t xml:space="preserve"> and </w:t>
      </w:r>
      <w:r>
        <w:rPr>
          <w:rFonts w:ascii="Arial" w:cs="Arial" w:eastAsia="Arial" w:hAnsi="Arial"/>
          <w:sz w:val="16"/>
          <w:szCs w:val="16"/>
          <w:b w:val="1"/>
          <w:bCs w:val="1"/>
          <w:i w:val="1"/>
          <w:iCs w:val="1"/>
          <w:color w:val="auto"/>
        </w:rPr>
        <w:t>Yervoy</w:t>
      </w:r>
      <w:r>
        <w:rPr>
          <w:rFonts w:ascii="Arial" w:cs="Arial" w:eastAsia="Arial" w:hAnsi="Arial"/>
          <w:sz w:val="16"/>
          <w:szCs w:val="16"/>
          <w:b w:val="1"/>
          <w:bCs w:val="1"/>
          <w:color w:val="auto"/>
        </w:rPr>
        <w:t xml:space="preserve"> in Patients with Metastatic or Unresectable Solid Tumors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investigator-sponsored Phase 1 clinical trial, which is being sponsored by the NCI, is designed to enroll up to 39 patients to study the safety profile and best dose of entinostat and </w:t>
      </w:r>
      <w:r>
        <w:rPr>
          <w:rFonts w:ascii="Arial" w:cs="Arial" w:eastAsia="Arial" w:hAnsi="Arial"/>
          <w:sz w:val="16"/>
          <w:szCs w:val="16"/>
          <w:i w:val="1"/>
          <w:iCs w:val="1"/>
          <w:color w:val="auto"/>
        </w:rPr>
        <w:t>Opdivo</w:t>
      </w:r>
      <w:r>
        <w:rPr>
          <w:rFonts w:ascii="Arial" w:cs="Arial" w:eastAsia="Arial" w:hAnsi="Arial"/>
          <w:sz w:val="16"/>
          <w:szCs w:val="16"/>
          <w:color w:val="auto"/>
        </w:rPr>
        <w:t xml:space="preserve"> when given together with </w:t>
      </w:r>
      <w:r>
        <w:rPr>
          <w:rFonts w:ascii="Arial" w:cs="Arial" w:eastAsia="Arial" w:hAnsi="Arial"/>
          <w:sz w:val="16"/>
          <w:szCs w:val="16"/>
          <w:i w:val="1"/>
          <w:iCs w:val="1"/>
          <w:color w:val="auto"/>
        </w:rPr>
        <w:t>Yervoy</w:t>
      </w:r>
      <w:r>
        <w:rPr>
          <w:rFonts w:ascii="Arial" w:cs="Arial" w:eastAsia="Arial" w:hAnsi="Arial"/>
          <w:sz w:val="16"/>
          <w:szCs w:val="16"/>
          <w:color w:val="auto"/>
        </w:rPr>
        <w:t xml:space="preserve"> in treating patients with metastatic or unresectable solid tumors or metastatic HER2- breast cancer. The trial is expected to begin enrolling patients in the first quarter of 2016 with data expected in the second half of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Overview and Current Treatment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2012, approximately 42,000 patients in the United States with advanced HR+ breast cancer were treated with hormone therapies with the goal to prolong overall survival and to delay treatment with more toxic chemotherapies. Hormone therapies are designed to inhibit estrogen stimulation of advanced HR+ breast cancers. Due to limited efficacy of hormone therapies in the advanced HR+ breast cancer setting, multiple lines of treatment are typically used, with each additional line of hormone therapy resulting in a shorter PFS and lower overall survival. Resistance to hormone therapies develops as a result of activation of growth-factor signaling pathways. The median overall survival for advanced HR+ breast cancer in the first- and second-line setting is approximately three to four years and two years,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2013, approximately 34,000 patients with HR+ breast cancer were treated with a hormone therapy as second-line treatment in the United States. Researchers have demonstrated that the diminished clinical benefit of each hormone therapy is due to primary and acquired resistance to hormone therapy. The cause of resistance is multi-factorial and results in tumor progression independent of estrogen stimulation.</w:t>
      </w:r>
    </w:p>
    <w:p>
      <w:pPr>
        <w:spacing w:after="0" w:line="107" w:lineRule="exact"/>
        <w:rPr>
          <w:sz w:val="20"/>
          <w:szCs w:val="20"/>
          <w:color w:val="auto"/>
        </w:rPr>
      </w:pPr>
    </w:p>
    <w:p>
      <w:pPr>
        <w:ind w:right="200" w:firstLine="456"/>
        <w:spacing w:after="0" w:line="202" w:lineRule="auto"/>
        <w:rPr>
          <w:sz w:val="20"/>
          <w:szCs w:val="20"/>
          <w:color w:val="auto"/>
        </w:rPr>
      </w:pPr>
      <w:r>
        <w:rPr>
          <w:rFonts w:ascii="Arial" w:cs="Arial" w:eastAsia="Arial" w:hAnsi="Arial"/>
          <w:sz w:val="18"/>
          <w:szCs w:val="18"/>
          <w:color w:val="auto"/>
        </w:rPr>
        <w:t xml:space="preserve">Current treatment of advanced HR+ breast cancer usually includes multiple courses of hormone therapy followed ultimately by chemotherapy. There are three types of commonly used hormone therapies. These are </w:t>
      </w:r>
      <w:r>
        <w:rPr>
          <w:rFonts w:ascii="Arial" w:cs="Arial" w:eastAsia="Arial" w:hAnsi="Arial"/>
          <w:sz w:val="18"/>
          <w:szCs w:val="18"/>
          <w:i w:val="1"/>
          <w:iCs w:val="1"/>
          <w:color w:val="auto"/>
        </w:rPr>
        <w:t>Soltamox</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(tamoxifen), a selective ER modulator, </w:t>
      </w:r>
      <w:r>
        <w:rPr>
          <w:rFonts w:ascii="Arial" w:cs="Arial" w:eastAsia="Arial" w:hAnsi="Arial"/>
          <w:sz w:val="18"/>
          <w:szCs w:val="18"/>
          <w:i w:val="1"/>
          <w:iCs w:val="1"/>
          <w:color w:val="auto"/>
        </w:rPr>
        <w:t>Faslodex</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(fulvestrant), a selective ER downregulator, and aromatase inhibitors, such as </w:t>
      </w:r>
      <w:r>
        <w:rPr>
          <w:rFonts w:ascii="Arial" w:cs="Arial" w:eastAsia="Arial" w:hAnsi="Arial"/>
          <w:sz w:val="18"/>
          <w:szCs w:val="18"/>
          <w:i w:val="1"/>
          <w:iCs w:val="1"/>
          <w:color w:val="auto"/>
        </w:rPr>
        <w:t>Arimidex</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(anastrozole), </w:t>
      </w:r>
      <w:r>
        <w:rPr>
          <w:rFonts w:ascii="Arial" w:cs="Arial" w:eastAsia="Arial" w:hAnsi="Arial"/>
          <w:sz w:val="18"/>
          <w:szCs w:val="18"/>
          <w:i w:val="1"/>
          <w:iCs w:val="1"/>
          <w:color w:val="auto"/>
        </w:rPr>
        <w:t>Femara</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(letrozole) and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which interfere with estrogen production. </w:t>
      </w:r>
      <w:r>
        <w:rPr>
          <w:rFonts w:ascii="Arial" w:cs="Arial" w:eastAsia="Arial" w:hAnsi="Arial"/>
          <w:sz w:val="18"/>
          <w:szCs w:val="18"/>
          <w:i w:val="1"/>
          <w:iCs w:val="1"/>
          <w:color w:val="auto"/>
        </w:rPr>
        <w:t>Aromasin</w:t>
      </w:r>
      <w:r>
        <w:rPr>
          <w:rFonts w:ascii="Arial" w:cs="Arial" w:eastAsia="Arial" w:hAnsi="Arial"/>
          <w:sz w:val="18"/>
          <w:szCs w:val="18"/>
          <w:color w:val="auto"/>
        </w:rPr>
        <w:t>, a steroidal aromatase inhibitor, is typically used as a second- or third-line treatment upon progression from first-line treatment with the non-steroidal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aromatase inhibitors </w:t>
      </w:r>
      <w:r>
        <w:rPr>
          <w:rFonts w:ascii="Arial" w:cs="Arial" w:eastAsia="Arial" w:hAnsi="Arial"/>
          <w:sz w:val="18"/>
          <w:szCs w:val="18"/>
          <w:i w:val="1"/>
          <w:iCs w:val="1"/>
          <w:color w:val="auto"/>
        </w:rPr>
        <w:t>Arimidex</w:t>
      </w:r>
      <w:r>
        <w:rPr>
          <w:rFonts w:ascii="Arial" w:cs="Arial" w:eastAsia="Arial" w:hAnsi="Arial"/>
          <w:sz w:val="18"/>
          <w:szCs w:val="18"/>
          <w:color w:val="auto"/>
        </w:rPr>
        <w:t xml:space="preserve"> and </w:t>
      </w:r>
      <w:r>
        <w:rPr>
          <w:rFonts w:ascii="Arial" w:cs="Arial" w:eastAsia="Arial" w:hAnsi="Arial"/>
          <w:sz w:val="18"/>
          <w:szCs w:val="18"/>
          <w:i w:val="1"/>
          <w:iCs w:val="1"/>
          <w:color w:val="auto"/>
        </w:rPr>
        <w:t>Femara</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Recently the FDA approved </w:t>
      </w:r>
      <w:r>
        <w:rPr>
          <w:rFonts w:ascii="Arial" w:cs="Arial" w:eastAsia="Arial" w:hAnsi="Arial"/>
          <w:sz w:val="16"/>
          <w:szCs w:val="16"/>
          <w:i w:val="1"/>
          <w:iCs w:val="1"/>
          <w:color w:val="auto"/>
        </w:rPr>
        <w:t>Afinitor</w:t>
      </w:r>
      <w:r>
        <w:rPr>
          <w:rFonts w:ascii="Arial" w:cs="Arial" w:eastAsia="Arial" w:hAnsi="Arial"/>
          <w:sz w:val="10"/>
          <w:szCs w:val="10"/>
          <w:color w:val="auto"/>
        </w:rPr>
        <w:t>®</w:t>
      </w:r>
      <w:r>
        <w:rPr>
          <w:rFonts w:ascii="Arial" w:cs="Arial" w:eastAsia="Arial" w:hAnsi="Arial"/>
          <w:sz w:val="16"/>
          <w:szCs w:val="16"/>
          <w:color w:val="auto"/>
        </w:rPr>
        <w:t xml:space="preserve"> (everolimus), an inhibitor of mammalian target of rapamycin for the treatment of postmenopausal women with advanced HR+ and HER2-, breast cancer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after failure of treatment with </w:t>
      </w:r>
      <w:r>
        <w:rPr>
          <w:rFonts w:ascii="Arial" w:cs="Arial" w:eastAsia="Arial" w:hAnsi="Arial"/>
          <w:sz w:val="16"/>
          <w:szCs w:val="16"/>
          <w:i w:val="1"/>
          <w:iCs w:val="1"/>
          <w:color w:val="auto"/>
        </w:rPr>
        <w:t>Femara</w:t>
      </w:r>
      <w:r>
        <w:rPr>
          <w:rFonts w:ascii="Arial" w:cs="Arial" w:eastAsia="Arial" w:hAnsi="Arial"/>
          <w:sz w:val="16"/>
          <w:szCs w:val="16"/>
          <w:color w:val="auto"/>
        </w:rPr>
        <w:t xml:space="preserve"> or </w:t>
      </w:r>
      <w:r>
        <w:rPr>
          <w:rFonts w:ascii="Arial" w:cs="Arial" w:eastAsia="Arial" w:hAnsi="Arial"/>
          <w:sz w:val="16"/>
          <w:szCs w:val="16"/>
          <w:i w:val="1"/>
          <w:iCs w:val="1"/>
          <w:color w:val="auto"/>
        </w:rPr>
        <w:t>Arimidex</w:t>
      </w:r>
      <w:r>
        <w:rPr>
          <w:rFonts w:ascii="Arial" w:cs="Arial" w:eastAsia="Arial" w:hAnsi="Arial"/>
          <w:sz w:val="16"/>
          <w:szCs w:val="16"/>
          <w:color w:val="auto"/>
        </w:rPr>
        <w:t xml:space="preserve">. The approval was based on results from a randomized Phase 3 clinical trial of postmenopausal women with advanced estrogen receptor-positive, HER2-, breast cancer with recurrence or progression following prior therapy with </w:t>
      </w:r>
      <w:r>
        <w:rPr>
          <w:rFonts w:ascii="Arial" w:cs="Arial" w:eastAsia="Arial" w:hAnsi="Arial"/>
          <w:sz w:val="16"/>
          <w:szCs w:val="16"/>
          <w:i w:val="1"/>
          <w:iCs w:val="1"/>
          <w:color w:val="auto"/>
        </w:rPr>
        <w:t>Femara</w:t>
      </w:r>
      <w:r>
        <w:rPr>
          <w:rFonts w:ascii="Arial" w:cs="Arial" w:eastAsia="Arial" w:hAnsi="Arial"/>
          <w:sz w:val="16"/>
          <w:szCs w:val="16"/>
          <w:color w:val="auto"/>
        </w:rPr>
        <w:t xml:space="preserve"> or anastrozole. The median PFS was 7.8 months for patients receiving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and 3.2 months for patients receiving placebo. Based on these results,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has become a treatment option for patients refractory to aromatase inhibitor therapy. However,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did not confer an improvement in overall survival.</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Earlier this year the FDA granted accelerated approval to </w:t>
      </w:r>
      <w:r>
        <w:rPr>
          <w:rFonts w:ascii="Arial" w:cs="Arial" w:eastAsia="Arial" w:hAnsi="Arial"/>
          <w:sz w:val="16"/>
          <w:szCs w:val="16"/>
          <w:i w:val="1"/>
          <w:iCs w:val="1"/>
          <w:color w:val="auto"/>
        </w:rPr>
        <w:t>Ibrance</w:t>
      </w:r>
      <w:r>
        <w:rPr>
          <w:rFonts w:ascii="Arial" w:cs="Arial" w:eastAsia="Arial" w:hAnsi="Arial"/>
          <w:sz w:val="10"/>
          <w:szCs w:val="10"/>
          <w:color w:val="auto"/>
        </w:rPr>
        <w:t>®</w:t>
      </w:r>
      <w:r>
        <w:rPr>
          <w:rFonts w:ascii="Arial" w:cs="Arial" w:eastAsia="Arial" w:hAnsi="Arial"/>
          <w:sz w:val="16"/>
          <w:szCs w:val="16"/>
          <w:color w:val="auto"/>
        </w:rPr>
        <w:t xml:space="preserve"> (palbociclib), a cyclin-dependent kinase 4 and 6 inhibitor for the treatment of breast cancer in the first-line setting in postmenopausal women with metastatic disease, in combination with </w:t>
      </w:r>
      <w:r>
        <w:rPr>
          <w:rFonts w:ascii="Arial" w:cs="Arial" w:eastAsia="Arial" w:hAnsi="Arial"/>
          <w:sz w:val="16"/>
          <w:szCs w:val="16"/>
          <w:i w:val="1"/>
          <w:iCs w:val="1"/>
          <w:color w:val="auto"/>
        </w:rPr>
        <w:t>Femara</w:t>
      </w:r>
      <w:r>
        <w:rPr>
          <w:rFonts w:ascii="Arial" w:cs="Arial" w:eastAsia="Arial" w:hAnsi="Arial"/>
          <w:sz w:val="16"/>
          <w:szCs w:val="16"/>
          <w:color w:val="auto"/>
        </w:rPr>
        <w:t xml:space="preserve">, an aromatase inhibitor. The approval of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was based on the results of a randomized Phase 2 clinical trial of postmenopausal women with ER+, HER2- breast cancer, which demonstrated a 10 month increase in median PFS for the combination of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and </w:t>
      </w:r>
      <w:r>
        <w:rPr>
          <w:rFonts w:ascii="Arial" w:cs="Arial" w:eastAsia="Arial" w:hAnsi="Arial"/>
          <w:sz w:val="16"/>
          <w:szCs w:val="16"/>
          <w:i w:val="1"/>
          <w:iCs w:val="1"/>
          <w:color w:val="auto"/>
        </w:rPr>
        <w:t>Femara</w:t>
      </w:r>
      <w:r>
        <w:rPr>
          <w:rFonts w:ascii="Arial" w:cs="Arial" w:eastAsia="Arial" w:hAnsi="Arial"/>
          <w:sz w:val="16"/>
          <w:szCs w:val="16"/>
          <w:color w:val="auto"/>
        </w:rPr>
        <w:t xml:space="preserve"> versus </w:t>
      </w:r>
      <w:r>
        <w:rPr>
          <w:rFonts w:ascii="Arial" w:cs="Arial" w:eastAsia="Arial" w:hAnsi="Arial"/>
          <w:sz w:val="16"/>
          <w:szCs w:val="16"/>
          <w:i w:val="1"/>
          <w:iCs w:val="1"/>
          <w:color w:val="auto"/>
        </w:rPr>
        <w:t>Femara</w:t>
      </w:r>
      <w:r>
        <w:rPr>
          <w:rFonts w:ascii="Arial" w:cs="Arial" w:eastAsia="Arial" w:hAnsi="Arial"/>
          <w:sz w:val="16"/>
          <w:szCs w:val="16"/>
          <w:color w:val="auto"/>
        </w:rPr>
        <w:t xml:space="preserve"> alone. A recently reported Phase 3 clinical trial showed that the combination of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and </w:t>
      </w:r>
      <w:r>
        <w:rPr>
          <w:rFonts w:ascii="Arial" w:cs="Arial" w:eastAsia="Arial" w:hAnsi="Arial"/>
          <w:sz w:val="16"/>
          <w:szCs w:val="16"/>
          <w:i w:val="1"/>
          <w:iCs w:val="1"/>
          <w:color w:val="auto"/>
        </w:rPr>
        <w:t>Faslodex</w:t>
      </w:r>
      <w:r>
        <w:rPr>
          <w:rFonts w:ascii="Arial" w:cs="Arial" w:eastAsia="Arial" w:hAnsi="Arial"/>
          <w:sz w:val="16"/>
          <w:szCs w:val="16"/>
          <w:color w:val="auto"/>
        </w:rPr>
        <w:t xml:space="preserve"> improved median PFS by approximately five months compared with </w:t>
      </w:r>
      <w:r>
        <w:rPr>
          <w:rFonts w:ascii="Arial" w:cs="Arial" w:eastAsia="Arial" w:hAnsi="Arial"/>
          <w:sz w:val="16"/>
          <w:szCs w:val="16"/>
          <w:i w:val="1"/>
          <w:iCs w:val="1"/>
          <w:color w:val="auto"/>
        </w:rPr>
        <w:t>Faslodex</w:t>
      </w:r>
      <w:r>
        <w:rPr>
          <w:rFonts w:ascii="Arial" w:cs="Arial" w:eastAsia="Arial" w:hAnsi="Arial"/>
          <w:sz w:val="16"/>
          <w:szCs w:val="16"/>
          <w:color w:val="auto"/>
        </w:rPr>
        <w:t xml:space="preserve"> alone in women with HR+, HER2- breast cancer. Overall survival has not been reported for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clinical trials to date. However, based on the significant PFS benefit observed with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we believe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will likely become the standard first-line therapy in this patient population either in combination with </w:t>
      </w:r>
      <w:r>
        <w:rPr>
          <w:rFonts w:ascii="Arial" w:cs="Arial" w:eastAsia="Arial" w:hAnsi="Arial"/>
          <w:sz w:val="16"/>
          <w:szCs w:val="16"/>
          <w:i w:val="1"/>
          <w:iCs w:val="1"/>
          <w:color w:val="auto"/>
        </w:rPr>
        <w:t>Femara</w:t>
      </w:r>
      <w:r>
        <w:rPr>
          <w:rFonts w:ascii="Arial" w:cs="Arial" w:eastAsia="Arial" w:hAnsi="Arial"/>
          <w:sz w:val="16"/>
          <w:szCs w:val="16"/>
          <w:color w:val="auto"/>
        </w:rPr>
        <w:t xml:space="preserve"> or </w:t>
      </w:r>
      <w:r>
        <w:rPr>
          <w:rFonts w:ascii="Arial" w:cs="Arial" w:eastAsia="Arial" w:hAnsi="Arial"/>
          <w:sz w:val="16"/>
          <w:szCs w:val="16"/>
          <w:i w:val="1"/>
          <w:iCs w:val="1"/>
          <w:color w:val="auto"/>
        </w:rPr>
        <w:t>Faslodex</w:t>
      </w:r>
      <w:r>
        <w:rPr>
          <w:rFonts w:ascii="Arial" w:cs="Arial" w:eastAsia="Arial" w:hAnsi="Arial"/>
          <w:sz w:val="16"/>
          <w:szCs w:val="16"/>
          <w:color w:val="auto"/>
        </w:rPr>
        <w: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While the treatment of advanced HR+ breast cancer is evolving given the introduction of both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we believe physicians will welcome the introduction of a well-tolerated therapy that improves overall survival, which has not been demonstrated to date for either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or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in combination with hormone therapy. Current data suggest that entinostat could demonstrate a favorable benefit-risk profile and an improvement in overall survival, and thus may become a preferred treatment option for patients with advanced HR+ breast cancer.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Development of Entinostat in Advanced HR+ Breast Cancer</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We have completed a Phase 2b clinical trial, ENCORE 301, of entinostat in advanced HR+ breast cancer in 130 postmenopausal patients. The trial was a randomized, placebo-controlled clinical trial in which treatment with entinostat was observed to result in a significant advantage to patients when given in addition to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therapy. Postmenopausal patients with advanced HR+ breast cancer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 xml:space="preserve">progressing on a non-steroidal aromatase inhibitor were randomly assigned to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(25 mg daily) and entinostat (5 mg once per week) or to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(25 mg daily) and a placebo. The primary endpoint was PFS, with overall survival as an exploratory endpoint.</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 Kaplan-Meier plot is a graphical statistical method commonly used to describe survival characteristics. The following are explanations of the meanings of the various efficacy endpoints that we have used in describing the results of our Phase 2b clinical trial. Each is determined in accordance with Response Criteria in Solid Tumors measurement guidelines.</w:t>
      </w:r>
    </w:p>
    <w:p>
      <w:pPr>
        <w:spacing w:after="0" w:line="53" w:lineRule="exact"/>
        <w:rPr>
          <w:sz w:val="20"/>
          <w:szCs w:val="20"/>
          <w:color w:val="auto"/>
        </w:rPr>
      </w:pPr>
    </w:p>
    <w:p>
      <w:pPr>
        <w:ind w:left="1000" w:right="60" w:hanging="317"/>
        <w:spacing w:after="0" w:line="262"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P-value</w:t>
      </w:r>
      <w:r>
        <w:rPr>
          <w:rFonts w:ascii="Arial" w:cs="Arial" w:eastAsia="Arial" w:hAnsi="Arial"/>
          <w:sz w:val="18"/>
          <w:szCs w:val="18"/>
          <w:color w:val="auto"/>
        </w:rPr>
        <w:t>: a statistical measure that represents the probability that the difference that is observed between two treatment arms is due to random</w:t>
      </w:r>
      <w:r>
        <w:rPr>
          <w:rFonts w:ascii="Arial" w:cs="Arial" w:eastAsia="Arial" w:hAnsi="Arial"/>
          <w:sz w:val="18"/>
          <w:szCs w:val="18"/>
          <w:b w:val="1"/>
          <w:bCs w:val="1"/>
          <w:color w:val="auto"/>
        </w:rPr>
        <w:t xml:space="preserve"> </w:t>
      </w:r>
      <w:r>
        <w:rPr>
          <w:rFonts w:ascii="Arial" w:cs="Arial" w:eastAsia="Arial" w:hAnsi="Arial"/>
          <w:sz w:val="18"/>
          <w:szCs w:val="18"/>
          <w:color w:val="auto"/>
        </w:rPr>
        <w:t>chance and is not actually related to the treatments being compared. For example, p-value of 0.1 indicates there is a 10% chance the difference that is observed between the treatment arms is due to random chance.</w:t>
      </w:r>
    </w:p>
    <w:p>
      <w:pPr>
        <w:spacing w:after="0" w:line="51" w:lineRule="exact"/>
        <w:rPr>
          <w:rFonts w:ascii="Arial" w:cs="Arial" w:eastAsia="Arial" w:hAnsi="Arial"/>
          <w:sz w:val="18"/>
          <w:szCs w:val="18"/>
          <w:color w:val="auto"/>
        </w:rPr>
      </w:pPr>
    </w:p>
    <w:p>
      <w:pPr>
        <w:ind w:left="1000" w:right="100" w:hanging="317"/>
        <w:spacing w:after="0" w:line="262"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Confidence interval</w:t>
      </w:r>
      <w:r>
        <w:rPr>
          <w:rFonts w:ascii="Arial" w:cs="Arial" w:eastAsia="Arial" w:hAnsi="Arial"/>
          <w:sz w:val="18"/>
          <w:szCs w:val="18"/>
          <w:color w:val="auto"/>
        </w:rPr>
        <w:t>: a statistical measure that indicates a range, which is believed to include the true effect parameter with some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For example, a 95% CI is the range at which one is 95% sure, with a 5% chance of being wrong, that the range given includes the true effect parameter.</w:t>
      </w:r>
    </w:p>
    <w:p>
      <w:pPr>
        <w:spacing w:after="0" w:line="51" w:lineRule="exact"/>
        <w:rPr>
          <w:rFonts w:ascii="Arial" w:cs="Arial" w:eastAsia="Arial" w:hAnsi="Arial"/>
          <w:sz w:val="18"/>
          <w:szCs w:val="18"/>
          <w:color w:val="auto"/>
        </w:rPr>
      </w:pPr>
    </w:p>
    <w:p>
      <w:pPr>
        <w:ind w:left="1000" w:hanging="317"/>
        <w:spacing w:after="0" w:line="262"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Hazard ratio</w:t>
      </w:r>
      <w:r>
        <w:rPr>
          <w:rFonts w:ascii="Arial" w:cs="Arial" w:eastAsia="Arial" w:hAnsi="Arial"/>
          <w:sz w:val="18"/>
          <w:szCs w:val="18"/>
          <w:color w:val="auto"/>
        </w:rPr>
        <w:t>: represents the chance of events occurring in the treatment arm relative to the chance of events occurring in the control arm. A hazard</w:t>
      </w:r>
      <w:r>
        <w:rPr>
          <w:rFonts w:ascii="Arial" w:cs="Arial" w:eastAsia="Arial" w:hAnsi="Arial"/>
          <w:sz w:val="18"/>
          <w:szCs w:val="18"/>
          <w:b w:val="1"/>
          <w:bCs w:val="1"/>
          <w:color w:val="auto"/>
        </w:rPr>
        <w:t xml:space="preserve"> </w:t>
      </w:r>
      <w:r>
        <w:rPr>
          <w:rFonts w:ascii="Arial" w:cs="Arial" w:eastAsia="Arial" w:hAnsi="Arial"/>
          <w:sz w:val="18"/>
          <w:szCs w:val="18"/>
          <w:color w:val="auto"/>
        </w:rPr>
        <w:t>ratio of one means that there is no difference in survival between the two groups. A hazard ratio of greater than one or less than one means that survival was better in one of the groups.</w:t>
      </w:r>
    </w:p>
    <w:p>
      <w:pPr>
        <w:spacing w:after="0" w:line="13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trial met the statistical criteria for a positive PFS endpoint using a pre-specified p-value of 0.10 from a one-sided test for statistical significance. The overall survival benefit observed in the entinostat/</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(exemestane tablets) (EE) group was also statistically significant versus the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(exemestane tablets)/placebo (EP) group. The results are summarized below along with the Kaplan-Meier plot for PFS and overall survival.</w:t>
      </w:r>
    </w:p>
    <w:p>
      <w:pPr>
        <w:spacing w:after="0" w:line="147" w:lineRule="exact"/>
        <w:rPr>
          <w:sz w:val="20"/>
          <w:szCs w:val="20"/>
          <w:color w:val="auto"/>
        </w:rPr>
      </w:pPr>
    </w:p>
    <w:p>
      <w:pPr>
        <w:ind w:left="1000" w:right="200" w:hanging="317"/>
        <w:spacing w:after="0" w:line="268"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Median PFS approximately doubled to 4.3 months in the EE group versus 2.3 months in the EP group, corresponding to a statistically significant hazard ratio of 0.73; 95% CI, 0.50 to 1.07; P2-sided=0.11; P1-sided=0.055.</w:t>
      </w:r>
    </w:p>
    <w:p>
      <w:pPr>
        <w:spacing w:after="0" w:line="50" w:lineRule="exact"/>
        <w:rPr>
          <w:rFonts w:ascii="Arial" w:cs="Arial" w:eastAsia="Arial" w:hAnsi="Arial"/>
          <w:sz w:val="18"/>
          <w:szCs w:val="18"/>
          <w:color w:val="auto"/>
        </w:rPr>
      </w:pPr>
    </w:p>
    <w:p>
      <w:pPr>
        <w:ind w:left="1000" w:right="160" w:hanging="317"/>
        <w:spacing w:after="0" w:line="268"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Median overall survival improved to 28.1 months in the EE group versus 19.8 months in the EP group, corresponding to a statistically significant hazard ratio of 0.59; 95% CI, 0.36 to 0.97; P2-sided=0.036; P1-sided=0.018.</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Fatigue and neutropenia were the most frequent Grade 3 and Grade 4 toxicities.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205740</wp:posOffset>
            </wp:positionV>
            <wp:extent cx="5874385" cy="21526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743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utilized forest plots, which are a form of graphical display designed to illustrate the relative strength of treatment effects across multiple subgroups, to highlight the consistency of the clinical benefit of EE treatment across multiple subgroups for both the PFS and overall survival endpoints. In addition, we analyzed the post-study treatments that patients received to determine whether there were imbalances in the subsequent treatment that could account for the difference in overall survival observed between the EE and EP groups. The two groups were well-balanced for the first and all subsequent cancer therapies, which suggest that a favorable result for overall survival is unlikely due to differences in the therapies patients received after discontinuing study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122555</wp:posOffset>
            </wp:positionV>
            <wp:extent cx="5068570" cy="20497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068570"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205740</wp:posOffset>
            </wp:positionV>
            <wp:extent cx="5068570" cy="20669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06857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Plot Legend</w:t>
      </w:r>
    </w:p>
    <w:p>
      <w:pPr>
        <w:spacing w:after="0" w:line="4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NSAI</w:t>
      </w:r>
      <w:r>
        <w:rPr>
          <w:rFonts w:ascii="Arial" w:cs="Arial" w:eastAsia="Arial" w:hAnsi="Arial"/>
          <w:sz w:val="14"/>
          <w:szCs w:val="14"/>
          <w:color w:val="auto"/>
        </w:rPr>
        <w:t>: non-steroidal aromatase inhibitor.</w:t>
      </w:r>
    </w:p>
    <w:p>
      <w:pPr>
        <w:ind w:left="34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Visceral involvement</w:t>
      </w:r>
      <w:r>
        <w:rPr>
          <w:rFonts w:ascii="Arial" w:cs="Arial" w:eastAsia="Arial" w:hAnsi="Arial"/>
          <w:sz w:val="14"/>
          <w:szCs w:val="14"/>
          <w:color w:val="auto"/>
        </w:rPr>
        <w:t>: refers to advanced HR+ breast cancer that has spread to any of the internal organs in the body.</w:t>
      </w:r>
    </w:p>
    <w:p>
      <w:pPr>
        <w:ind w:left="340" w:hanging="332"/>
        <w:spacing w:after="0"/>
        <w:tabs>
          <w:tab w:leader="none" w:pos="340"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NSAI sensitive</w:t>
      </w:r>
      <w:r>
        <w:rPr>
          <w:rFonts w:ascii="Arial" w:cs="Arial" w:eastAsia="Arial" w:hAnsi="Arial"/>
          <w:sz w:val="12"/>
          <w:szCs w:val="12"/>
          <w:color w:val="auto"/>
        </w:rPr>
        <w:t>: indicates a complete response, partial response or stable disease greater than six months on prior non-steroidal aromatase inhibitor therapy; all other patients considered NSAI resistant.</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Safety was assessed by utilizing the NCI’s Common Terminology Criteria for Adverse Events—Version 3. When entinostat was added to </w:t>
      </w:r>
      <w:r>
        <w:rPr>
          <w:rFonts w:ascii="Arial" w:cs="Arial" w:eastAsia="Arial" w:hAnsi="Arial"/>
          <w:sz w:val="16"/>
          <w:szCs w:val="16"/>
          <w:i w:val="1"/>
          <w:iCs w:val="1"/>
          <w:color w:val="auto"/>
        </w:rPr>
        <w:t>Aromasin</w:t>
      </w:r>
      <w:r>
        <w:rPr>
          <w:rFonts w:ascii="Arial" w:cs="Arial" w:eastAsia="Arial" w:hAnsi="Arial"/>
          <w:sz w:val="16"/>
          <w:szCs w:val="16"/>
          <w:color w:val="auto"/>
        </w:rPr>
        <w:t>, the adverse event, or AE, profile was consistent with previous clinical experience with entinostat treatment. Overall, the EE group had a higher rate of AEs versus the EP group at 95% and 85%, respectively, with the most common AEs in the EE group being fatigue, gastrointestinal disturbances, such as nausea, vomiting and diarrhea, and hematologic toxicities, such as uncomplicated neutropenia, thrombocytopenia and anemia. The EE group had more AEs leading to dose modification (35% versus 6%), and more AEs leading to study discontinuation (11% versus 2%), irrespective of study drug relationship.</w:t>
      </w:r>
    </w:p>
    <w:p>
      <w:pPr>
        <w:spacing w:after="0" w:line="1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For hematological toxicities, thrombocytopenia was managed by dose modification during entinostat treatment, with all cases being non-severe and none requiring drug discontinuation. In approximately half of the patients who experienced Grade 3 neutropenia, it was managed by dose modification, with only one case leading to entinostat discontinuation. Additional reasons leading to EE discontinuation included two patients owing to nausea and vomiting and one patient each owing to weakness in extremities, hypoxia/radiation pneumonitis, fatigue and mucositis.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incidence of serious AEs was similar between the EE and EP groups at 16% and 12%, respectively, with four EE patients each experiencing a Grade 4 AE, including fatigue, leucopenia, neutropenia and hypercalcemia. One fatal AE occurred in each treatment arm with the EE event considered related to disease progression. We did not observe significant cardiovascular effects in this trial, which have been reported with other HDAC inhibitors.</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Following positive results from our Phase 2b clinical trial,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was granted breakthrough therapy designation by the FDA in advanced HR+ breast cancer and is currently being evaluated in a Phase 3 clinical trial for advanced HR+ breast cancer.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E2112: Ongoing Pivotal Phase 3 Clinical Trial</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order to confirm the PFS and overall survival benefits observed in the Phase 2b clinical trial, we have partnered with ECOG-ACRIN to develop and conduct the Phase 3 clinical trial. ECOG-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ACRIN is conducting the trial under sponsorship and funding support from the NCI. We are providing financial and operational support for the Phase 3 clinical trial under a Cooperative Research and Development Agreement, or CRADA, with the NCI and a separate agreement with ECOG-ACRIN. The trial is a randomized, double-blind, placebo-controlled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compared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a placebo. The protocol for the Phase 3 clinical trial was reviewed and agreed upon by the FDA under a SPA agreement with the NCI in January 2014. The trial initiated enrollment of 600 patients in the second quarter of 2014. Based on information received from ECOG-ACRIN to date, we expect that the trial will require at least 40 months to fully enroll patients with primary PFS endpoint data expected to be no sooner than the second half of 2017. Since we are not responsible for the conduct of the E2112 clinical trial, we cannot provide assurance that this trial will be completed or that data will be received on the timeline indicated.</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primary objective of the trial is to evaluate whether the addition of entinostat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improves PFS, overall survival or both PFS and overall survival in patients with advanced HR+, HER2- breast cancer who have previously progressed after treatment with standard of care hormonal agents such as NSAIs or </w:t>
      </w:r>
      <w:r>
        <w:rPr>
          <w:rFonts w:ascii="Arial" w:cs="Arial" w:eastAsia="Arial" w:hAnsi="Arial"/>
          <w:sz w:val="16"/>
          <w:szCs w:val="16"/>
          <w:i w:val="1"/>
          <w:iCs w:val="1"/>
          <w:color w:val="auto"/>
        </w:rPr>
        <w:t>Faslodex</w:t>
      </w:r>
      <w:r>
        <w:rPr>
          <w:rFonts w:ascii="Arial" w:cs="Arial" w:eastAsia="Arial" w:hAnsi="Arial"/>
          <w:sz w:val="16"/>
          <w:szCs w:val="16"/>
          <w:color w:val="auto"/>
        </w:rPr>
        <w:t>. The NCI and ECOG-ACRIN, in collaboration with us, have designed the trial to have two primary endpoints of PFS and overall survival. If data are positive, we expect that either endpoint may serve as the basis for submitting an NDA. The Phase 3 clinical trial also contains secondary patient-reported outcomes, or PRO, endpoints to evaluate differences between arms in treatment toxicities, reduced symptom burden as an indicator of treatment response, and overall health-related quality of life. PRO measures are common in ECOG-ACRIN therapeutic trials due to the scientific aims of its Cancer Control &amp; Outcomes Program, which seeks to increase understanding, from the patient perspective, about how novel therapies impact quality of life. Secondary objectives of the trial include assessments of safety, response rate and biomarker analysis.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139700</wp:posOffset>
            </wp:positionV>
            <wp:extent cx="4853940" cy="20840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539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enrollment size of 600 patients in the trial is adequate for achieving a statistically significant difference in median PFS with a p-value less than 0.002 and in median overall survival with a p-value less than 0.048 based on the trial supporting a hypothesized hazard ratio of 0.58 for PFS and 0.75 for overall survival. If the hypothesized hazard ratio for PFS is true, the PFS endpoint has an 88.5% chance of success. Similarly, if the hypothesized hazard ratio of overall survival is true, the overall survival endpoint has an 80% chance of success.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primary analysis of PFS will be conducted when 247 PFS events occur out of the initial 360 patients enrolled. At the time of the primary PFS analysis, the first interim analysis of overall survival will also be conducted. Stopping rules based upon the interim analyses of overall survival have been outlined such that enrollment may terminate early if the statistical boundary for overall survival is met. Because of the smaller numbers of patients and limited length of follow-up at the time of the first interim analysis of overall survival, we do not expect to meet the criteria for early stopping at that time.</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absence of early stopping, the results of the primary analysis of PFS will be made available to us when all 600 patients have entered the trial, which is anticipated to be no sooner than the second half of 2017. If the PFS endpoint is met, interim overall survival results will be released to us at that time as well. If the overall survival data demonstrate a positive trend, we expect they will be used to supplement an NDA submission based on meeting the primary PFS endpoint.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analysis of overall survival data represents another opportunity for submission of an NDA to the FDA for potential approval. The primary analysis of overall survival will occur when 410 deaths from among the 600 patients enrolled have occurred. Based on information received from ECOG-ACRIN to date, we expect this analysis to occur no sooner than 2019.</w:t>
      </w:r>
    </w:p>
    <w:p>
      <w:pPr>
        <w:spacing w:after="0" w:line="14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In addition to these analyses, if the primary analysis of PFS fails to achieve statistical significance, a positive overall survival outcome at any interim analysis during the conduct of the trial will also be a potential approval pathway. ECOG-ACRIN will perform up to seven interim analyses of overall survival approximately every six months to assess the potential superiority of the combination of entinostat and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relative to the combination of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and a placebo. The 410 deaths required for the primary analysis of overall survival takes into consideration any statistical impact of the various interim analyses on the analysis of the overall survival endpoint. If the interim analyses do not demonstrate a statistically significant overall survival benefit, ECOG-ACRIN will not release the results of such interim analyses to 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Activities of Entinostat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collaborating with the NCI and investigators on combination trials of entinostat with other therapies across additional multiple tumor types such as HER2+ breast cancer, NSCLC and acute myeloid leukemia. Each of these trials is being funded either by the NCI or as investigator-initiated studies funded through grants and sponsoring institutions. Since we are not responsible for the conduct of these clinical trials, we cannot provide assurance that they will be completed or that data will be received on the timeline indicated.</w:t>
      </w:r>
    </w:p>
    <w:p>
      <w:pPr>
        <w:spacing w:after="0" w:line="178" w:lineRule="exact"/>
        <w:rPr>
          <w:sz w:val="20"/>
          <w:szCs w:val="20"/>
          <w:color w:val="auto"/>
        </w:rPr>
      </w:pPr>
    </w:p>
    <w:p>
      <w:pPr>
        <w:ind w:left="1000" w:right="80" w:hanging="317"/>
        <w:spacing w:after="0" w:line="290" w:lineRule="auto"/>
        <w:tabs>
          <w:tab w:leader="none" w:pos="100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NCI-8871: HER2+ Breast Cancer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are collaborating with investigators at MD Anderson Cancer Center to determine whether the addition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entinostat to a second HER2 targeted therapy can overcome the resistance that had developed in response to prior HER2 targeted therapy. A Phase 1 dose escalation trial of entinostat with </w:t>
      </w:r>
      <w:r>
        <w:rPr>
          <w:rFonts w:ascii="Arial" w:cs="Arial" w:eastAsia="Arial" w:hAnsi="Arial"/>
          <w:sz w:val="16"/>
          <w:szCs w:val="16"/>
          <w:i w:val="1"/>
          <w:iCs w:val="1"/>
          <w:color w:val="auto"/>
        </w:rPr>
        <w:t>Tykerb</w:t>
      </w:r>
      <w:r>
        <w:rPr>
          <w:rFonts w:ascii="Arial" w:cs="Arial" w:eastAsia="Arial" w:hAnsi="Arial"/>
          <w:sz w:val="10"/>
          <w:szCs w:val="10"/>
          <w:color w:val="auto"/>
        </w:rPr>
        <w:t>®</w:t>
      </w:r>
      <w:r>
        <w:rPr>
          <w:rFonts w:ascii="Arial" w:cs="Arial" w:eastAsia="Arial" w:hAnsi="Arial"/>
          <w:sz w:val="16"/>
          <w:szCs w:val="16"/>
          <w:color w:val="auto"/>
        </w:rPr>
        <w:t xml:space="preserve"> (lapatinib), a small molecule dual inhibitor of HER2 and EGFR signaling, has established the feasibility and safety of that combination. A second Phase 1 clinical trial studying entinostat in combination with </w:t>
      </w:r>
      <w:r>
        <w:rPr>
          <w:rFonts w:ascii="Arial" w:cs="Arial" w:eastAsia="Arial" w:hAnsi="Arial"/>
          <w:sz w:val="16"/>
          <w:szCs w:val="16"/>
          <w:i w:val="1"/>
          <w:iCs w:val="1"/>
          <w:color w:val="auto"/>
        </w:rPr>
        <w:t>Tykerb</w:t>
      </w:r>
      <w:r>
        <w:rPr>
          <w:rFonts w:ascii="Arial" w:cs="Arial" w:eastAsia="Arial" w:hAnsi="Arial"/>
          <w:sz w:val="16"/>
          <w:szCs w:val="16"/>
          <w:color w:val="auto"/>
        </w:rPr>
        <w:t xml:space="preserve"> and </w:t>
      </w:r>
      <w:r>
        <w:rPr>
          <w:rFonts w:ascii="Arial" w:cs="Arial" w:eastAsia="Arial" w:hAnsi="Arial"/>
          <w:sz w:val="16"/>
          <w:szCs w:val="16"/>
          <w:i w:val="1"/>
          <w:iCs w:val="1"/>
          <w:color w:val="auto"/>
        </w:rPr>
        <w:t>Herceptin</w:t>
      </w:r>
      <w:r>
        <w:rPr>
          <w:rFonts w:ascii="Arial" w:cs="Arial" w:eastAsia="Arial" w:hAnsi="Arial"/>
          <w:sz w:val="10"/>
          <w:szCs w:val="10"/>
          <w:color w:val="auto"/>
        </w:rPr>
        <w:t>®</w:t>
      </w:r>
      <w:r>
        <w:rPr>
          <w:rFonts w:ascii="Arial" w:cs="Arial" w:eastAsia="Arial" w:hAnsi="Arial"/>
          <w:sz w:val="16"/>
          <w:szCs w:val="16"/>
          <w:color w:val="auto"/>
        </w:rPr>
        <w:t xml:space="preserve"> (trastuzumab), a monoclonal antibody inhibitor of HER2 signaling, has recently completed patient enrollment and has established the feasibility and safety of the triple combination. A total of 37 patients have been enrolled in the Phase 1 trial. Preliminary data from this trial was presented at the 2015 San Antonio Breast Cancer Symposium with the authors concluding that entinostat combined with </w:t>
      </w:r>
      <w:r>
        <w:rPr>
          <w:rFonts w:ascii="Arial" w:cs="Arial" w:eastAsia="Arial" w:hAnsi="Arial"/>
          <w:sz w:val="16"/>
          <w:szCs w:val="16"/>
          <w:i w:val="1"/>
          <w:iCs w:val="1"/>
          <w:color w:val="auto"/>
        </w:rPr>
        <w:t>Tykerb</w:t>
      </w:r>
      <w:r>
        <w:rPr>
          <w:rFonts w:ascii="Arial" w:cs="Arial" w:eastAsia="Arial" w:hAnsi="Arial"/>
          <w:sz w:val="16"/>
          <w:szCs w:val="16"/>
          <w:color w:val="auto"/>
        </w:rPr>
        <w:t xml:space="preserve"> and </w:t>
      </w:r>
      <w:r>
        <w:rPr>
          <w:rFonts w:ascii="Arial" w:cs="Arial" w:eastAsia="Arial" w:hAnsi="Arial"/>
          <w:sz w:val="16"/>
          <w:szCs w:val="16"/>
          <w:i w:val="1"/>
          <w:iCs w:val="1"/>
          <w:color w:val="auto"/>
        </w:rPr>
        <w:t>Herceptin</w:t>
      </w:r>
      <w:r>
        <w:rPr>
          <w:rFonts w:ascii="Arial" w:cs="Arial" w:eastAsia="Arial" w:hAnsi="Arial"/>
          <w:sz w:val="16"/>
          <w:szCs w:val="16"/>
          <w:color w:val="auto"/>
        </w:rPr>
        <w:t xml:space="preserve"> was generally well tolerated with preliminary evidence of efficacy in metastatic HER2+ patients whose disease progressed on </w:t>
      </w:r>
      <w:r>
        <w:rPr>
          <w:rFonts w:ascii="Arial" w:cs="Arial" w:eastAsia="Arial" w:hAnsi="Arial"/>
          <w:sz w:val="16"/>
          <w:szCs w:val="16"/>
          <w:i w:val="1"/>
          <w:iCs w:val="1"/>
          <w:color w:val="auto"/>
        </w:rPr>
        <w:t>Herceptin</w:t>
      </w:r>
      <w:r>
        <w:rPr>
          <w:rFonts w:ascii="Arial" w:cs="Arial" w:eastAsia="Arial" w:hAnsi="Arial"/>
          <w:sz w:val="16"/>
          <w:szCs w:val="16"/>
          <w:color w:val="auto"/>
        </w:rPr>
        <w: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300" w:hanging="317"/>
        <w:spacing w:after="0" w:line="310" w:lineRule="auto"/>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NCI-9253: Epigenetic Priming to Chemotherapy</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NCI-sponsored Phase 2 clinical trial is currently enrolling up to 165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advanced NSCLC and is designed to test the ability of epigenetic therapy—a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—to enhance the response of NSCLC patients to chemotherapy. Data from this trial are expected in the second half of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Clinical Trials in Support of the NDA</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parallel with the pivotal Phase 3 clinical trial, we intend to conduct a number of required clinical pharmacology trials required for the submission of an NDA for entinostat. In 2015, we conducted a Phase 1 clinical trial to determine how much entinostat is absorbed by patients, how it is distributed in the body and how it is metabolized and excreted. Results of this clinical trial are pending. We will also conduct a Phase 1 clinical trial to determine whether entinostat interferes with the pharmacological properties of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(drug-drug interaction trial) and a Phase 1 clinical trial to confirm previous findings that there are no cardiac safety signals associated with entinostat treatment.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Collaborations in Immuno-Oncology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MSD International GmbH</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In March 2015, we entered into a clinical trial collaboration and supply agreement with MSD International GmbH, an affiliate of Merck, under which we will conduct a clinical trial evaluating entinostat in combination with Merck’s drug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melanoma. We are the sponsor of the clinical trial. Merck will supply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for use in the clinical trial. Neither party will have any obligation to reimburse any costs incurred by the other party, except that a party may be required to reimburse the manufacturing costs of the other party upon certain early termination events.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 the extent any inventions arise from the clinical trial, each party will solely own inventions relating to its drug alone, and the parties will jointly own any inventions relating to the combination of the two drugs. In most cases, clinical data from the trial will be jointly owned. However, each party will separately analyze clinical samples obtained from trial participants, and each party will solely own the sample analysis data that it generates.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Either party may terminate the agreement for the other party’s uncured material breach. In addition, either party may terminate the agreement if it believes that there is imminent danger to patients in the clinical trial, or if a regulatory authority takes an action that prevent such party from supplying its drug, or if such party decides to discontinue development of its drug. Merck may terminate the agreement if we fail to make any changes to the clinical trial protocol that are reasonably requested by Merck to address a perceived safety issue or if we undergo a change of control with a company that is clinically developing or marketing a drug having the same mechanism of action as </w:t>
      </w:r>
      <w:r>
        <w:rPr>
          <w:rFonts w:ascii="Arial" w:cs="Arial" w:eastAsia="Arial" w:hAnsi="Arial"/>
          <w:sz w:val="16"/>
          <w:szCs w:val="16"/>
          <w:i w:val="1"/>
          <w:iCs w:val="1"/>
          <w:color w:val="auto"/>
        </w:rPr>
        <w:t>Keytruda</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Genentech, Inc.</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August 2015, we entered into a combination study collaboration agreement with Genentech under which we will conduct a clinical trial evaluating entinostat in combination with Genentech’s drug atezolizumab in patients with TNBC. We will be the sponsor of the clinical trial. Genentech will supply atezolizumab for use in the clinical trial. Each party will perform its obligations under the agreement at its own expense, including its internal costs.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Either party may terminate the agreement for the other party’s uncured material breach. In addition, either party may terminate the agreement if it determines that the trial may unreasonably affect patient safety, or if a regulatory authority withdraws the approval to conduct the trial or takes an action that prevent such party from supplying its drug, or if the other party or its employees are sanctioned under certain healthcare-related laws, or if such party decides to discontinue development of its drug.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Merck KGaA and Pfizer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December 2015, we entered into a clinical trial collaboration and supply agreement with Merck KGaA and Pfizer under which we will conduct a clinical trial evaluating entinostat in combination with an investigational monoclonal antibody, avelumab, in patients with ovarian cancer. Avelumab is being developed collaboratively by Merck KGaA and Pfizer, which are together treated as a single party for purposes of this agreement. We will be the sponsor of the clinical trial. Merck KGaA and Pfizer will supply avelumab for use in the clinical trial. We will share the study costs with Merck KGaA and Pfizer. During the term of the trial or the term of the agreement, whichever is shorter, each party has agreed not to initiate any clinical trial in combination with such party’s drug and a third party drug for the treatment of ovarian cancer if the third party drug has the same target and mechanism of action as the other party’s drug, subject to certain exceptions.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w:t>
      </w:r>
    </w:p>
    <w:p>
      <w:pPr>
        <w:spacing w:after="0" w:line="14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Either party may terminate the agreement for the other party’s uncured material breach. In addition, either party may terminate the agreement if it determines that the trial may unreasonably affect patient safety, or if a regulatory authority takes an action that prevent such party from supplying its drug, or if such party decides to discontinue development of its drug. Merck KGaA and Pfizer may also terminate the agreement if we fail to make any changes to the clinical trial protocol that are reasonably requested by them to address a perceived safety issue.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collaborated with a limited number of third parties on the clinical development of entinostat. For example, we have supplied entinostat for use in investigator-sponsored clinical trials conducted at JHU and we may enter into similar arrangements with other hospitals and medical centers in the future. Investigator-sponsored clinical trials are generally performed under an IND application filed by the investigator or his or her institution. The investigator or institution generally also fully funds these clinical trials. To date, our sole obligation with respect to these investigator-sponsored clinical trials has been to supply entinostat for use in the trials. Additionally, we have an ongoing collaboration with the NCI for the clinical development of entinostat. As part of this collaboration, the NCI sponsors and funds clinical studies on entinostat that are conducted by other groups or institutions,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such as JHU and ECOG-ACRIN. Under a separate agreement with ECOG-ACRIN, we have agreed to make additional payments directly to ECOG-ACRIN to support its performance of an NCI-sponsored pivotal Phase 3 clinical trial of entinostat.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w:t>
      </w:r>
    </w:p>
    <w:p>
      <w:pPr>
        <w:spacing w:after="0" w:line="17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collaboration with the NCI is governed by a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1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43"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Either party may terminate the CRADA either by mutual consent or unilaterally upon advance written notice to the other party. Absent such early termination, the CRADA will expire on May 21, 2017. As we have in the past, we expect to renew the CRADA at that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Agreement with Eastern Cooperative Oncology Group</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2014, we entered into a clinical trial agreement with Eastern Cooperative Oncology Group, a contracting entity for ECOG-ACRIN, which describes the parties’ obligations with respect to the NCI-sponsored pivotal Phase 3 clinical trial of entinostat. Under the terms of the clinical trial agreement, ECOG-ACRIN will perform this clinical trial in accordance with the clinical trial protocol and a mutually agreed scope of work. In January 2015, we amended the agreement to provide for additional patient site reimbursement funds, which will be paid based on milestone-based payments. We will provide a fixed level of financial support for the clinical trial through an upfront payment of $695,000 and a series of time- and milestone-based payments of up to $970,000, and we are obligated to supply entinostat and placebo to ECOG-ACRIN for use in the clinical trial. Our aggregate payment obligations under this agreement are approximately $20.6 million. We have agreed to provide this additional financial support to fund the additional activities required to ensure that the E2112 clinical trial will satisfy FDA registration requirements.</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Data and inventions from the Phase 3 clinical trial are owned by ECOG-ACRIN.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2014, we entered into a license, development and commercialization agreement with Kyowa Hakko Kirin Co., Ltd., or KHK, under which KHK received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1 HDAC, such drug will be included in this license as well. We will manufacture and supply entinostat to KHK during the term of the agreement, and such obligation may continue for a longer period if KHK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1 HDACs for the same indication as entinostat, with all forms of cancer being treated as the same indication.</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received an upfront license fee of $17.5 million, and KHK purchased 536,049 shares of our Series B-1 Preferred Stock for an aggregate price of approximately $7.5 million. We are eligible to receive up to $50 million in development and regulatory milestone payments and up to $25 million in sales milestone payments. KHK will pay us a transfer price for the supply of entinostat as well as royalties on net sales of entinostat above a specified threshold each calendar year by KHK, its affiliates and sublicensees in the low single digits. Royalty payment obligations will be payable in each country in the KHK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KHK’s development and commercialization of entinostat in the KHK territory will be made by us out of the payments we receive from KHK.</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agreement with KHK will expire with respect to each country in the KHK territory upon the expiration of all royalty payment obligations in such country. In addition, we may terminate the agreement in its entirety upon written notice to KHK if KHK or any affiliate commences any action or proceeding that challenges the validity, enforceability or scope of any licensed patent in the KHK territory. KHK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KHK may, instead of terminating the agreement, elect to continue the agreement in full force and effect except certain payments to us will be reduced.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intend to build a commercial infrastructure to support sales of entinostat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do not own or operate manufacturing facilities for the production of entinostat,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long-term agreements with any of these third parties. We also do not have any current contractual relationship for the manufacture of commercial supplies. If entinostat is approved by any regulatory agency, we intend to enter into agreements with a third-party contract manufacturer and one or more backup manufacturers for the commercial production of entinostat.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pharmacologic treatment of NSCLC, melanoma, ovarian cancer and TNBC patients includes chemotherapies and therapies targeting specific gene mutations. More recently, immune checkpoint inhibitors have been approved for NSCLC and melanoma and are under investigation for ovarian cancer and TNBC. In October 2015, the FDA approved for the first time the combination of two immuno-oncology drugs,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and </w:t>
      </w:r>
      <w:r>
        <w:rPr>
          <w:rFonts w:ascii="Arial" w:cs="Arial" w:eastAsia="Arial" w:hAnsi="Arial"/>
          <w:sz w:val="16"/>
          <w:szCs w:val="16"/>
          <w:i w:val="1"/>
          <w:iCs w:val="1"/>
          <w:color w:val="auto"/>
        </w:rPr>
        <w:t>Yervoy</w:t>
      </w:r>
      <w:r>
        <w:rPr>
          <w:rFonts w:ascii="Arial" w:cs="Arial" w:eastAsia="Arial" w:hAnsi="Arial"/>
          <w:sz w:val="16"/>
          <w:szCs w:val="16"/>
          <w:color w:val="auto"/>
        </w:rPr>
        <w:t xml:space="preserve">, for the treatment of melanoma. There are currently numerous drugs undergoing active clinical investigation. We believe that if 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atezolizumab or avelumab were approved for the treatment of NSCLC, melanoma, TNBC or ovarian cancer, it would face competition from these standard-of-care approaches and other investigational drugs being tested in combination with any of these approaches.</w:t>
      </w:r>
    </w:p>
    <w:p>
      <w:pPr>
        <w:spacing w:after="0" w:line="12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developed by Novartis, and other therapies currently in Phase 3 clinical development such as abemaciclib being developed by Eli Lilly and Company, and ribociclib and buparlisib both of which are being developed by Novartis.</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color w:val="auto"/>
        </w:rPr>
        <w:t>We expect any treatments that we develop and commercialize to compete on the basis of, among other things, efficacy, safety, convenience of administration and delivery, price and the availability of reimbursement from government and other third-party payors.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entinostat, its methods of use and processes for its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5"/>
          <w:szCs w:val="15"/>
          <w:color w:val="auto"/>
        </w:rPr>
        <w:t xml:space="preserve">We also strive to protect entinostat with multiple layers of patents. As of February 26, 2016, our portfolio included six owned U.S. provisional patent applications, three owned pending U.S. non-provisional patent applications one granted non-U.S. patent and 13 non-U.S. pending patent applications. Also, we have filed national phase applications in the Eurasia Regional Patent Office, Ukraine and Georgia based on our owned PCT application directed to treatment of selected breast cancer patients with a combination of entinostat and </w:t>
      </w:r>
      <w:r>
        <w:rPr>
          <w:rFonts w:ascii="Arial" w:cs="Arial" w:eastAsia="Arial" w:hAnsi="Arial"/>
          <w:sz w:val="15"/>
          <w:szCs w:val="15"/>
          <w:i w:val="1"/>
          <w:iCs w:val="1"/>
          <w:color w:val="auto"/>
        </w:rPr>
        <w:t>Aromasin</w:t>
      </w:r>
      <w:r>
        <w:rPr>
          <w:rFonts w:ascii="Arial" w:cs="Arial" w:eastAsia="Arial" w:hAnsi="Arial"/>
          <w:sz w:val="15"/>
          <w:szCs w:val="15"/>
          <w:color w:val="auto"/>
        </w:rPr>
        <w:t xml:space="preserve">. We have assigned our rights to the application we filed in the Eurasia Regional Patent Office to Domain Russia Investments Limited, or DRI. We have also assigned our rights to the applications we filed in Ukraine and Georgia to NovaMedica LLC, or NovaMedica. We have also filed national phase applications based on our owned PCT application directed to treatment of selected breast cancer patients with the combination of entinostat and </w:t>
      </w:r>
      <w:r>
        <w:rPr>
          <w:rFonts w:ascii="Arial" w:cs="Arial" w:eastAsia="Arial" w:hAnsi="Arial"/>
          <w:sz w:val="15"/>
          <w:szCs w:val="15"/>
          <w:i w:val="1"/>
          <w:iCs w:val="1"/>
          <w:color w:val="auto"/>
        </w:rPr>
        <w:t>Aromasin</w:t>
      </w:r>
      <w:r>
        <w:rPr>
          <w:rFonts w:ascii="Arial" w:cs="Arial" w:eastAsia="Arial" w:hAnsi="Arial"/>
          <w:sz w:val="15"/>
          <w:szCs w:val="15"/>
          <w:color w:val="auto"/>
        </w:rPr>
        <w:t xml:space="preserve"> in the USPTO, the European Patent Office, or EPO, China, India, Australia, Canada, Japan, South Korea, South Africa, Brazil and Mexico. Our owned entinostat patent portfolio includes pending U.S. patent applications directed to methods of treating cancer patients by administration of entinostat according to selected dosing regimens, methods of treating cancer patients by administration of entinostat in combination with an HER2 inhibitor and methods of treating lung cancer patients by administration of entinostat in combination with an EGFR inhibitor. Our owned pending U.S. provisional applications relate to treatments with entinostat combined with anti PD-1 or anti PDL-1 antibodies. If issued, patents based on our owned pending U.S. applications and non-U.S. filings based on our owned PCT application would expire between November 2028 and June 2036.</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patent portfolio we licensed from Bayer contains a number of issued U.S. and foreign patents as well as patent applications pending outside the United States. A number of the patents and patent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applications we licensed from Bayer are directed to entinostat while other patents and patent applications are directed to compounds other than entinostat. As of August 24, 2015, the portfolio we licensed from Bayer included seven issued U.S. patents, 59 granted non-U.S. patents and 21 patent applications pending in non-U.S. patent offices. For example, the portfolio we licensed from Bayer includes reissue U.S. Patent RE39,754, which covers a genus of benzamide compounds including entinostat or SNDX-275. RE39,754 is a composition of matter patent having an initial term expiring in 2017.</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expires in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2029 expiration date.</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Of the 59 foreign 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16 of the 21 pending foreign applications are counterparts of the ‘166 crystalline polymorph B patent. Other patents and patent applications in the licensed Bayer portfolio cover methods of treatment by administration of entinostat. For example, U.S. Patent 7,317,028, which expires in 2017, covers methods of treating selected cancers by administration of entinostat; U.S. Patent 7,687,525, which also expires in 2017, covers methods of treating autoimmune disease by administration of entinostat; U.S. Patent 6,320,078, which expires in 2019, covers methods of manufacturing entinostat; U.S. Patent No. 8,026,239, which expires in 2017, covers methods of treating certain malignant tumors by administration of a compound within a subgenus of benzamide compounds including entinostat; U.S. Patent RE40,703, which expires in 2017, covers a subgenus of benzamide compounds that does not include entinostat; and U.S. Patent 6,794,392, which expires in 2017, covers a subgenus of benzamide compounds that does not include entinostat.</w:t>
      </w:r>
    </w:p>
    <w:p>
      <w:pPr>
        <w:spacing w:after="0" w:line="12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or PCT application.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In-Licensed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Development and Commercialization Agreement with Bayer</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1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connection with the execution of the Bayer license agreement, we were obligated to pay Bayer an upfront license fee of $2.0 million. We are also obligated to pay up to approximately $50.0 million in the aggregate upon obtaining certain milestones in the development and marketing approval of entinostat, assuming that we pursue at least two different indications for entinostat or any other licensed product. In June 2014, we achieved a research and development milestone, and in accordance with the terms of the Bayer license agreement, we paid $2.0 million to Bayer.</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are also obligated to pay Bayer $100.0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40"/>
          </w:cols>
          <w:pgMar w:left="240" w:top="459"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or delay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Failure to comply with the applicable United States regulatory requirements at any time during the product development process, approval process or after approval may subject an applicant to administrative or judicial enforcement actions. These actions could include the suspension or termination of clinical trials by the FDA, the FDA’s refusal to approve pending applications or supplemental applications, withdrawal of an approval, warning or untitled letters, product recalls, product seizures, total or partial suspension of production or distribution, import detention, injunctions, fines, civil penalties or criminal prosecution. Any such administrative or judicial action could have a material adverse effect on us.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Although this discussion focuses on regulation in the United States, we anticipate seeking approval for and marketing of our product candidates in other countries. Generally, our product candidates will be subject to regulation in other countries that is similar in nature and scope as those imposed in the United States, although there can be important differences. In Europe, for example, some significant aspects of regulation are addressed in a centralized way through the European Medicines Agency, but country-specific regulation remains essential in many respects.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12" w:lineRule="exact"/>
        <w:rPr>
          <w:sz w:val="20"/>
          <w:szCs w:val="20"/>
          <w:color w:val="auto"/>
        </w:rPr>
      </w:pPr>
    </w:p>
    <w:p>
      <w:pPr>
        <w:ind w:left="1000" w:right="540" w:hanging="317"/>
        <w:spacing w:after="0" w:line="268"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90" w:lineRule="exact"/>
        <w:rPr>
          <w:rFonts w:ascii="Arial" w:cs="Arial" w:eastAsia="Arial" w:hAnsi="Arial"/>
          <w:sz w:val="18"/>
          <w:szCs w:val="18"/>
          <w:color w:val="auto"/>
        </w:rPr>
      </w:pPr>
    </w:p>
    <w:p>
      <w:pPr>
        <w:ind w:left="1000" w:right="300" w:hanging="317"/>
        <w:spacing w:after="0" w:line="33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NDA for filing and review;</w:t>
      </w:r>
    </w:p>
    <w:p>
      <w:pPr>
        <w:spacing w:after="0" w:line="90" w:lineRule="exact"/>
        <w:rPr>
          <w:rFonts w:ascii="Arial" w:cs="Arial" w:eastAsia="Arial" w:hAnsi="Arial"/>
          <w:sz w:val="18"/>
          <w:szCs w:val="18"/>
          <w:color w:val="auto"/>
        </w:rPr>
      </w:pPr>
    </w:p>
    <w:p>
      <w:pPr>
        <w:ind w:left="1000" w:hanging="317"/>
        <w:spacing w:after="0" w:line="357" w:lineRule="auto"/>
        <w:tabs>
          <w:tab w:leader="none" w:pos="10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drug is produced to assess compliance with the FDA’s cGMP regulations to assure that the facilities, methods and controls are adequate to preserve the drug’s identity, strength, quality and purity;</w:t>
      </w:r>
    </w:p>
    <w:p>
      <w:pPr>
        <w:ind w:left="1000" w:hanging="31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Testing</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Before testing any compounds with potential therapeutic value in humans, the drug candidate enters the preclinical testing stage. Preclinical tests include laboratory evaluations of product chemistry and formulation, as well as animal studies to assess the potential safety, toxicity profile and activity of the drug candidate. The conduct of the preclinical tests must comply with federal regulations and requirements including GLPs.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 Application</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212" w:lineRule="exact"/>
        <w:rPr>
          <w:sz w:val="20"/>
          <w:szCs w:val="20"/>
          <w:color w:val="auto"/>
        </w:rPr>
      </w:pPr>
    </w:p>
    <w:p>
      <w:pPr>
        <w:ind w:left="1000" w:right="720" w:hanging="317"/>
        <w:spacing w:after="0" w:line="357" w:lineRule="auto"/>
        <w:tabs>
          <w:tab w:leader="none" w:pos="10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ind w:left="1000" w:right="340" w:hanging="317"/>
        <w:spacing w:after="0" w:line="357" w:lineRule="auto"/>
        <w:tabs>
          <w:tab w:leader="none" w:pos="1000" w:val="left"/>
        </w:tabs>
        <w:numPr>
          <w:ilvl w:val="0"/>
          <w:numId w:val="66"/>
        </w:numPr>
        <w:rPr>
          <w:rFonts w:ascii="Arial" w:cs="Arial" w:eastAsia="Arial" w:hAnsi="Arial"/>
          <w:sz w:val="15"/>
          <w:szCs w:val="15"/>
          <w:color w:val="auto"/>
        </w:rPr>
      </w:pPr>
      <w:r>
        <w:rPr>
          <w:rFonts w:ascii="Arial" w:cs="Arial" w:eastAsia="Arial" w:hAnsi="Arial"/>
          <w:sz w:val="15"/>
          <w:szCs w:val="15"/>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ind w:left="1000" w:right="120" w:hanging="317"/>
        <w:spacing w:after="0" w:line="259"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FDCA permits the FDA and an IND sponsor to agree in writing on the design and size of clinical studies intended to form the primary basis of a claim of effectiveness in an NDA. This process is known as a Special Protocol Assessment, or SPA.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fail to be completed successfully within any specified period, if at all. The FDA, the IRB or the sponsor may suspend or terminate a clinical trial at any time on various grounds, including a finding that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drug product. Additionally, appropriate packaging must be selected and tested and stability studies must be conducted to demonstrate that the drug candidate does not undergo unacceptable deterioration over its shelf life.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If it is not, the FDA may refuse to file the NDA and request additional information, in which case the application must be resubmitted with the supplemental information, and review of the application is delayed.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Upon the filing of an NDA, the FDA may grant a priority review designation to a product, which sets the target date for FDA action on the application at 6 months, rather than the standard 10 months. Priority review is given for drug that treats a serious condition and, if approved, would provide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significant improvement in safety or effectiveness. Priority review designation does not change the scientific or medical standard for approval or the quality of evidence necessary to support approval. Whether priority or standard review applies, an additional 60 days is added to the target date for FDA action for new molecular entities.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and the FDA will not approve the NDA without an approved REMS, if required. Depending on the FDA’s evaluation of a drug’s risks, a REMS may include medication guides, physician communication plans, or elements to assure safe use, such as restricted distribution requirements, patient registries and other risk minimization tools. Following approval of an NDA with a REMS, the sponsor is responsible for marketing the drug in compliance with the REMS and must submit periodic REMS assessments to the FDA.</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Further, even after regulatory approval is obtained, later discovery of previously unknown problems with a product may result in restrictions on the product or even complete withdrawal of the product from the market. In addition, we cannot predict what adverse governmental regulations may arise from future U.S. or foreign governmental 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FDA has a Fast Track program that is intended to expedite or facilitate the process for reviewing new drug products that meet certain criteria. Specifically, new drugs are eligible for Fast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For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Drug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product receiving accelerated approval perform adequate and well-controlled post-marketing clinical studies. In addition, the FDA requires as a condition for accelerated approval pre-approval of promotional materials, which could adversely impact the timing of the commercial launch of the product.</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FDA may also expedite the review of a drug designated as a breakthrough therapy, which is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The designation of a drug as a breakthrough therapy provides the same benefits as are available under the Fast Track program, as well as intensive FDA guidance on the product’s development program. If the FDA designates a drug as a breakthrough therapy, it must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2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review process.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Under the Drug Price Competition and Patent Term Restoration Act of 1984, known as the “Hatch-Waxman Act,” Congress created an abbreviated FDA review process for generic versions of approved pioneer (brand name) NDA products. In considering whether to approve such a generic drug product submitted under an Abbreviated New Drug Application, or ANDA, the FDA generally requires that an ANDA applicant demonstrate that the proposed generic drug product’s active ingredient, strength, dosage form, and route of administration are the same as that of the reference product, that the two drugs are bioequivalent, that any impurities in the proposed product do not affect the product’s safety or effectiveness, and that its manufacturing processes and methods ensure the consistent potency and purity of its proposed product. Similarly, section 505(b)(2) of the Federal Food, Drug, and Cosmetic Act provides a reduced burden of demonstrating safety and effectiveness for an NDA for a product that is similar, but not identical, to the pioneer product.</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Hatch Waxman Act requires NDA applicants and NDA holders to provide certain information about patents related to the drug for listing in its publication Approved Drug Products with Therapeutic Equivalence Evaluations, referred to as the Orange Book. ANDA and 505(b)(2) applicants who seek to reference a pioneer drug must then certify regarding each of the patents listed with the FDA for the reference product. A certification that a listed patent is invalid or will not be infringed by the marketing of the applicant’s product is called a “Paragraph IV certification.”</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Hatch Waxman Act also provides periods of regulatory exclusivity for certain pioneer products during which FDA review or approval of an ANDA or 505(b)(2) application is precluded. If the pioneer product is a New Chemical Entity, or NCE, the FDA is precluded for a period of five years from accepting for review an ANDA or 505(b)(2) application for the same chemical entity. Under NCE exclusivity, the FDA may accept an ANDA or 505(b)(2) application for review after four years, however, if that application contains a Paragraph IV certification challenging one of the pioneer’s listed patents.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Hatch 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During this three-year exclusivity period, the FDA may review but not approve an ANDA or 505(b)(2) application for a product with the same conditions of use as supported by those new clinical investigations. This exclusivity will not necessarily prohibit the FDA from accepting or approving ANDAs or 505(b)(2) applications for other products containing the same active ingredient.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an ANDA or 505(b)(2) application containing a Paragraph IV certification is accepted for filing by the FDA, the applicant must within 20 days provide notice to the NDA holder and patent owner that the application has been submitted and provide the factual and legal basis for the applicant’s opinion that the patent is invalid or not infringed. The NDA holder or patent owner may then file suit against the ANDA or 505(b)(2) applicant for patent infringement. If a suit is filed within 45 days of receiving notice of the Paragraph IV certification, the FDA is precluded from approving the ANDA or 505(b)(2) application for a period of 30 months. The 30-month stay generally begins on the date of the receipt of notice by the NDA holder or patent owner. If the pioneer product has NCE exclusivity and the pioneer files suit against the ANDA or 505(b)(2) application during the fifth year of exclusivity, however, the 30-month stay will not be triggered until five years from the date of the reference drug’s approval.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 Manufacturing Practices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shut down manufacturing operations or withdraw approval of the NDA for that drug, or we may recall the drug from distribution. Noncompliance with cGMP or other requirements can result in issuance of warning letters, civil and criminal penalties, seizures and injunctive action.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FDA closely regulates the labeling, marketing and promotion of drugs. While doctors are free to prescribe any drug approved by the FDA for any use, a company can only make claims relating to safety and efficacy of a drug that are consistent with FDA approval, and the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providers,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 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7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federal Anti-Kickback Statute prohibits persons and entities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exemptions and regulatory safe harbors protecting some common activities from prosecution, the exemptions and safe harbors are drawn narrowly. Practices that involve remuneration that may be alleged to be intended to induce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reach of the Anti-Kickback Statute was also broadened by the Patient Protection and Affordable Care Act, as amended by the Health Care and Education Reconciliation Act of 2010, or collectively the Affordable Care Act, which, among other things, amended the intent requirement of the federal Anti-Kickback Statute such that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18" w:lineRule="exact"/>
        <w:rPr>
          <w:sz w:val="20"/>
          <w:szCs w:val="20"/>
          <w:color w:val="auto"/>
        </w:rPr>
      </w:pPr>
    </w:p>
    <w:p>
      <w:pPr>
        <w:ind w:right="240" w:firstLine="456"/>
        <w:spacing w:after="0" w:line="286" w:lineRule="auto"/>
        <w:rPr>
          <w:sz w:val="20"/>
          <w:szCs w:val="20"/>
          <w:color w:val="auto"/>
        </w:rPr>
      </w:pPr>
      <w:r>
        <w:rPr>
          <w:rFonts w:ascii="Arial" w:cs="Arial" w:eastAsia="Arial" w:hAnsi="Arial"/>
          <w:sz w:val="16"/>
          <w:szCs w:val="16"/>
          <w:color w:val="auto"/>
        </w:rPr>
        <w:t>The federal False Claims Act prohibits any person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federal Health Insurance Portability and Accountability Act of 1996, as amended by the Health Information Technology for Economic and Clinical Health Act, and their respective implementing regulations, or HIPAA, created federal criminal laws that prohibit knowingly and willfully executing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2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Many states have similar fraud and abuse statutes or regulations, including, without limitation, laws analogous to the federal Anti-Kickback Statute and the federal False Claims Act, that apply to items and services reimbursed under Medicaid and other state programs, or, in several states, apply regardless of the payor. Some of these state laws apply to a broader range of conduct and may not have the same exceptions as analogous federal laws. Accordingly, our business will be subject to these provisions as well in the states in which we do business.</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federal Physician Payments Sunshine Act, enacted as part of the Affordable Care Act requires applicable manufacturers of drugs, devices, biologics and medical supplies for which payment is available under Medicare, Medicaid, or the Children’s Health Insurance Program, with specific exceptions, to track and annually report to CMS payments and other transfers of value provided 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physicians and teaching hospitals and certain ownership and investment interests held by physicians or their immediate family members. If our operations are found to be in violation of any of such laws we may be subject to penalties, which could adversely affect our ability to operate our business and our financial results.</w:t>
      </w:r>
    </w:p>
    <w:p>
      <w:pPr>
        <w:spacing w:after="0" w:line="140"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In addition, we may be subject to data privacy and data security regulation by both the federal government and the states in which we conduct our business. HIPAA imposes specified requirements relating to the privacy, security and transmission of certain individually identifiable health information. HIPAA applies to certain covered entity health care providers, health plans and health care clearinghouses as well as their business associates, which are entities that create, receive, maintain or transmit protected health information in connection with providing a service to or performing an activity for or on behalf of a covered entity.</w:t>
      </w:r>
    </w:p>
    <w:p>
      <w:pPr>
        <w:spacing w:after="0" w:line="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Violations of HIPAA may result in civil and/or criminal penalties and state attorneys general have authority to file civil actions for damages or injunctions in federal courts to enforce HIPAA and seek attorney’s fees and costs associated with pursuing federal civil actions. Even if we are not directly subject to HIPAA, we could be subject to criminal penalties if we knowingly obtain or disclose individually identifiable health information maintained by a HIPAA covered entity in a manner not authorized or permitted by HIPAA. In addition, state laws govern the privacy and security of health information in certain circumstances, many of which differ from each other in significant ways and often are not preempted by HIPAA, thus complicating compliance efforts. 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and the curtailment or restructuring of our operations, any of which could adversely affect our ability to operate our business and our results of operations. 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EU Directive 95/46/EC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expanding access. In the United States, the pharmaceutical industry has been a particular focus of these efforts and has been significantly affected by major legislative initiatives. In March 2010, the President signed into law the Affordable Care Act, which substantially changes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183" w:lineRule="exact"/>
        <w:rPr>
          <w:sz w:val="20"/>
          <w:szCs w:val="20"/>
          <w:color w:val="auto"/>
        </w:rPr>
      </w:pPr>
    </w:p>
    <w:p>
      <w:pPr>
        <w:ind w:left="1000" w:right="140" w:hanging="317"/>
        <w:spacing w:after="0" w:line="357" w:lineRule="auto"/>
        <w:tabs>
          <w:tab w:leader="none" w:pos="10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annual, nondeductible fee on any entity that manufactures or imports branded prescription drugs and biologic agents, apportioned among these entities according to their sales of branded prescription drugs under certain government healthcare programs, such as Medicare and Medicaid;</w:t>
      </w:r>
    </w:p>
    <w:p>
      <w:pPr>
        <w:ind w:left="1000" w:right="540" w:hanging="317"/>
        <w:spacing w:after="0" w:line="357" w:lineRule="auto"/>
        <w:tabs>
          <w:tab w:leader="none" w:pos="10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increases in the statutory minimum rebates a manufacturer must pay as a condition to having covered drugs available for payment under the Medicare Part B and Medicaid programs to 23.1% and 13% of the average manufacturer price for branded and generic drugs, respectively;</w:t>
      </w:r>
    </w:p>
    <w:p>
      <w:pPr>
        <w:ind w:left="1000" w:right="280" w:hanging="317"/>
        <w:spacing w:after="0" w:line="268"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and the addition of new government investigative powers and enhanced penalties for non-compliance;</w:t>
      </w:r>
    </w:p>
    <w:p>
      <w:pPr>
        <w:spacing w:after="0" w:line="50" w:lineRule="exact"/>
        <w:rPr>
          <w:rFonts w:ascii="Arial" w:cs="Arial" w:eastAsia="Arial" w:hAnsi="Arial"/>
          <w:sz w:val="18"/>
          <w:szCs w:val="18"/>
          <w:color w:val="auto"/>
        </w:rPr>
      </w:pPr>
    </w:p>
    <w:p>
      <w:pPr>
        <w:ind w:left="1000" w:right="440" w:hanging="317"/>
        <w:spacing w:after="0" w:line="268"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50" w:lineRule="exact"/>
        <w:rPr>
          <w:rFonts w:ascii="Arial" w:cs="Arial" w:eastAsia="Arial" w:hAnsi="Arial"/>
          <w:sz w:val="18"/>
          <w:szCs w:val="18"/>
          <w:color w:val="auto"/>
        </w:rPr>
      </w:pPr>
    </w:p>
    <w:p>
      <w:pPr>
        <w:ind w:left="1000" w:right="120" w:hanging="317"/>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a participating manufacturer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8"/>
          <w:szCs w:val="18"/>
          <w:color w:val="auto"/>
        </w:rPr>
      </w:pPr>
    </w:p>
    <w:p>
      <w:pPr>
        <w:ind w:left="1000" w:right="60" w:hanging="317"/>
        <w:spacing w:after="0" w:line="332"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and by adding new eligibility categories for certain individuals with income at or below 133% of the federal poverty level beginning in 2014;</w:t>
      </w:r>
    </w:p>
    <w:p>
      <w:pPr>
        <w:spacing w:after="0" w:line="4" w:lineRule="exact"/>
        <w:rPr>
          <w:rFonts w:ascii="Arial" w:cs="Arial" w:eastAsia="Arial" w:hAnsi="Arial"/>
          <w:sz w:val="16"/>
          <w:szCs w:val="16"/>
          <w:color w:val="auto"/>
        </w:rPr>
      </w:pPr>
    </w:p>
    <w:p>
      <w:pPr>
        <w:ind w:left="1000" w:right="220" w:hanging="317"/>
        <w:spacing w:after="0" w:line="268"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known as the 340B drug pricing program;</w:t>
      </w:r>
    </w:p>
    <w:p>
      <w:pPr>
        <w:spacing w:after="0" w:line="50" w:lineRule="exact"/>
        <w:rPr>
          <w:rFonts w:ascii="Arial" w:cs="Arial" w:eastAsia="Arial" w:hAnsi="Arial"/>
          <w:sz w:val="18"/>
          <w:szCs w:val="18"/>
          <w:color w:val="auto"/>
        </w:rPr>
      </w:pPr>
    </w:p>
    <w:p>
      <w:pPr>
        <w:ind w:left="1000" w:right="40" w:hanging="317"/>
        <w:spacing w:after="0" w:line="310" w:lineRule="auto"/>
        <w:tabs>
          <w:tab w:leader="none" w:pos="100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new requirements under the federal Open Payments program created as part of the Physician Payments Sunshine Act under Section 6002 of the Affordable Care Act and its implementing regulations, which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Applicable manufacturers and applicable group purchasing organizations must also report annually to the U.S. Department of Health and Human Services ownership and investment interests held by physicians (as defined above) and their immediate family members. Data collection for these reporting requirements began on August 1, 2013, and manufacturers were required to submit reports to the U.S. Department of Health and Human Services by March 31, 2014. Beginning in 2015,</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460"/>
        <w:spacing w:after="0" w:line="268" w:lineRule="auto"/>
        <w:rPr>
          <w:sz w:val="20"/>
          <w:szCs w:val="20"/>
          <w:color w:val="auto"/>
        </w:rPr>
      </w:pPr>
      <w:r>
        <w:rPr>
          <w:rFonts w:ascii="Arial" w:cs="Arial" w:eastAsia="Arial" w:hAnsi="Arial"/>
          <w:sz w:val="18"/>
          <w:szCs w:val="18"/>
          <w:color w:val="auto"/>
        </w:rPr>
        <w:t>manufacturers are required to submit data reports by the 90th day of each calendar year. The U.S. Department of Health and Human Services discloses the information on a public website;</w:t>
      </w:r>
    </w:p>
    <w:p>
      <w:pPr>
        <w:spacing w:after="0" w:line="51" w:lineRule="exact"/>
        <w:rPr>
          <w:sz w:val="20"/>
          <w:szCs w:val="20"/>
          <w:color w:val="auto"/>
        </w:rPr>
      </w:pPr>
    </w:p>
    <w:p>
      <w:pPr>
        <w:ind w:left="1000" w:hanging="317"/>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90" w:lineRule="exact"/>
        <w:rPr>
          <w:rFonts w:ascii="Arial" w:cs="Arial" w:eastAsia="Arial" w:hAnsi="Arial"/>
          <w:sz w:val="18"/>
          <w:szCs w:val="18"/>
          <w:color w:val="auto"/>
        </w:rPr>
      </w:pPr>
    </w:p>
    <w:p>
      <w:pPr>
        <w:ind w:left="1000" w:right="400" w:hanging="317"/>
        <w:spacing w:after="0" w:line="268"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Some of the reforms under the Affordable Care Act are slated for implementation in 2015. The effects of such reforms will be shaped significantly by implementing regulations that have yet to be finalized. In 2012, the Centers for Medicare and Medicaid Services, or CMS, issued proposed regulations to implement the changes to the Medicaid Drug Rebate Program under the ACA but has not yet issued final regulations. CMS is currently expected to release the final regulations later in 2015.</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Affordable Care Act also establishes an Independent Payment Advisory Board, or IPAB, to reduce the per capita rate of growth in Medicare spending. IPAB is mandated to propose recommendations to reduce the rate of Medicare spending growth if it is determined that the rate of growth of Medicare expenditures exceeds target growth rates. The IPAB has broad discretion to propose policies to reduce expenditures, which may have a negative impact on payment rates for medical products and services. A proposal made by the IPAB is required to be implemented by the U.S. government’s Centers for Medicare and Medicaid Services unless Congress adopts a proposal intended to supersede the IPAB’s recommendations or to discontinue the automatic implementation of the IPAB’s proposals. IPAB proposals could impact payments for physician and free-standing services, among other things, beginning in 2015 and for hospital services beginning in 2020. However, as of early August 2015, the IPAB members have yet to be selected.</w:t>
      </w:r>
    </w:p>
    <w:p>
      <w:pPr>
        <w:spacing w:after="0" w:line="11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 aggregate reductions to Medicare payments to providers of up to 2% per fiscal year, on average, through 2024, which went into effect in April 2013. In January 2013,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drugs once commercialized.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For example, based on scientific advice from the European Medicines Agency, or the EMA, we believe our current clinical development plan is likely to be insufficient to receive regulatory approval in Europe. During the next year, we plan to work with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EMA to formulate a development plan that may be more acceptable, but may be unsuccessful in doing so or such plan may not be feasible.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February 26, 2016, we had 17 full-time employees and one part-time employee. Of the full-time employees, ten were primarily engaged in research and development activities and five have an M.D. or Ph.D. degree. None of our employees are represented by labor unions or covered by collective bargaining agreements. We consider our relationship with our employees to be good.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headquarters is currently located in Waltham, Massachusetts, and consists of 4,712 square feet of leased office space under a lease that expires on April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February 26, 2016.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4080" w:type="dxa"/>
            <w:vAlign w:val="bottom"/>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Position</w:t>
            </w:r>
          </w:p>
        </w:tc>
        <w:tc>
          <w:tcPr>
            <w:tcW w:w="2920" w:type="dxa"/>
            <w:vAlign w:val="bottom"/>
          </w:tcPr>
          <w:p>
            <w:pPr>
              <w:spacing w:after="0"/>
              <w:rPr>
                <w:sz w:val="19"/>
                <w:szCs w:val="19"/>
                <w:color w:val="auto"/>
              </w:rPr>
            </w:pPr>
          </w:p>
        </w:tc>
      </w:tr>
      <w:tr>
        <w:trPr>
          <w:trHeight w:val="202"/>
        </w:trPr>
        <w:tc>
          <w:tcPr>
            <w:tcW w:w="4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Directors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Dennis G. Podlesak</w:t>
            </w:r>
            <w:r>
              <w:rPr>
                <w:rFonts w:ascii="Arial" w:cs="Arial" w:eastAsia="Arial" w:hAnsi="Arial"/>
                <w:sz w:val="11"/>
                <w:szCs w:val="11"/>
                <w:color w:val="auto"/>
              </w:rPr>
              <w:t>(2)</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58</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Henry Chen</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Fabrice Egros, Ph.D.</w:t>
            </w:r>
            <w:r>
              <w:rPr>
                <w:rFonts w:ascii="Arial" w:cs="Arial" w:eastAsia="Arial" w:hAnsi="Arial"/>
                <w:sz w:val="11"/>
                <w:szCs w:val="11"/>
                <w:color w:val="auto"/>
              </w:rPr>
              <w:t>(1)</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53</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Luke Evnin, Ph.D.</w:t>
            </w:r>
            <w:r>
              <w:rPr>
                <w:rFonts w:ascii="Arial" w:cs="Arial" w:eastAsia="Arial" w:hAnsi="Arial"/>
                <w:sz w:val="11"/>
                <w:szCs w:val="11"/>
                <w:color w:val="auto"/>
              </w:rPr>
              <w:t>(2)(3)</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Kim P. Kamdar, Ph.D.</w:t>
            </w:r>
            <w:r>
              <w:rPr>
                <w:rFonts w:ascii="Arial" w:cs="Arial" w:eastAsia="Arial" w:hAnsi="Arial"/>
                <w:sz w:val="11"/>
                <w:szCs w:val="11"/>
                <w:color w:val="auto"/>
              </w:rPr>
              <w:t>(3)</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48</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Ivor Royston, M.D.</w:t>
            </w:r>
            <w:r>
              <w:rPr>
                <w:rFonts w:ascii="Arial" w:cs="Arial" w:eastAsia="Arial" w:hAnsi="Arial"/>
                <w:sz w:val="11"/>
                <w:szCs w:val="11"/>
                <w:color w:val="auto"/>
              </w:rPr>
              <w:t>(3)</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70</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Richard P. Shea</w:t>
            </w:r>
            <w:r>
              <w:rPr>
                <w:rFonts w:ascii="Arial" w:cs="Arial" w:eastAsia="Arial" w:hAnsi="Arial"/>
                <w:sz w:val="11"/>
                <w:szCs w:val="11"/>
                <w:color w:val="auto"/>
              </w:rPr>
              <w:t>(1)</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George W. Sledge Jr., M.D.</w:t>
            </w:r>
            <w:r>
              <w:rPr>
                <w:rFonts w:ascii="Arial" w:cs="Arial" w:eastAsia="Arial" w:hAnsi="Arial"/>
                <w:sz w:val="11"/>
                <w:szCs w:val="11"/>
                <w:color w:val="auto"/>
              </w:rPr>
              <w:t>(1)(2)</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64</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Briggs W. Morrison, M.D.</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Michael A. Metzger.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45</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Michael L. Meyers, M.D., Ph.D.</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66</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w w:val="89"/>
              </w:rPr>
              <w:t>Senior Vice President, Chief Development Officer</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Allan L. Shaw</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w w:val="92"/>
              </w:rPr>
              <w:t>Chief Financial Officer, Treasurer and Secretary</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Peter Ordentlich, Ph.D.</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includes a brief biography for each of our directors and executive officers. There are no family relationships among any of our directors or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b w:val="1"/>
          <w:bCs w:val="1"/>
          <w:i w:val="1"/>
          <w:iCs w:val="1"/>
          <w:color w:val="auto"/>
        </w:rPr>
        <w:t xml:space="preserve">Dennis G. Podlesak </w:t>
      </w:r>
      <w:r>
        <w:rPr>
          <w:rFonts w:ascii="Arial" w:cs="Arial" w:eastAsia="Arial" w:hAnsi="Arial"/>
          <w:sz w:val="15"/>
          <w:szCs w:val="15"/>
          <w:color w:val="auto"/>
        </w:rPr>
        <w:t>has served as chairman of our board of directors since December 2008. Since November 2007, Mr. Podlesak has served as a partner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Domain Associates, LLC, a life science-focused venture capital firm. While at Domain, Mr. Podlesak has been the founder and the Chief Executive Officer of a number of companies, including Calixa Therapeutics, Inc., a privately held biopharmaceutical company which was acquired by Cubist Pharmaceuticals, Inc. in December 2009. Mr. Podlesak was also the Executive Chairman of Corthera, Inc., a privately held biopharmaceutical company, which was acquired by Novartis AG in January 2010. Prior to joining Domain, from 2005 to 2007, Mr. Podlesak served as the Founder and Chief Executive Officer of Cerexa, Inc., a privately held biotechnology company, which became a wholly owned subsidiary of Forest Laboratories, Inc. after being acquired by Forest in January 2007. From 2004 to 2005, Mr. Podlesak served as the Chief Executive Officer of Peninsula Pharmaceuticals Inc., a privately held pharmaceutical company, and in June 2005, he led the sale of Peninsula to Ortho-McNeil Pharmaceutical, Inc., a subsidiary of Johnson &amp; Johnson. Prior to joining Peninsula, Mr. Podlesak held various senior executive positions at Novartis AG, a publicly traded healthcare company, Allergan plc, a publicly traded healthcare company, and SmithKline Beecham (now GlaxoSmithKline plc, a publicly traded pharmaceutical company). Mr. Podlesak currently serves on the board of Tobira Therapeutics, Inc., a publicly traded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biotechnology company, as well as on a number of private company boards. Until January 2015, Mr. Podlesak served on the board of Avanir Pharmaceuticals, Inc., a publicly traded biopharmaceutical company, until it was acquired by Otsuka Pharmaceuticals Co., Ltd. Mr. Podlesak received a B.A. and an M.B.A. from Pepperdine University, and has completed postgraduate studies at the Wharton School, University of Pennsylvania. We believe that Mr. Podlesak’s experience in the venture capital industry, his experience as the Chief Executive Officer and Chairman of other successful companies in the biotechnology industry, his over 20 years of strategic, operational and commercial experience in the pharmaceutical industry, and his service as a director of other publicly traded and privately held life science companies give him the qualifications, skills and financial expertise to serve on our board of directors.</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b w:val="1"/>
          <w:bCs w:val="1"/>
          <w:i w:val="1"/>
          <w:iCs w:val="1"/>
          <w:color w:val="auto"/>
        </w:rPr>
        <w:t xml:space="preserve">Henry Chen </w:t>
      </w:r>
      <w:r>
        <w:rPr>
          <w:rFonts w:ascii="Arial" w:cs="Arial" w:eastAsia="Arial" w:hAnsi="Arial"/>
          <w:sz w:val="16"/>
          <w:szCs w:val="16"/>
          <w:color w:val="auto"/>
        </w:rPr>
        <w:t>has served as a member of our board of directors since June 2015. Mr. Chen is the Managing Partner of Delos Capital Fund LP, a healthcare-focused venture capital fund. Prior to establishing Delos in 2014, Mr. Chen was a Partner and Co-Head of Asia at Permira Advisers LLP, a European private equity firm. Prior to joining Permira in 2008, Mr. Chen spent nine years in Investment Banking at Goldman Sachs &amp; Co., where he was a Managing Director and co-headed the General Industrials Group, Asia (excluding Japan), which covered the consumer retail, healthcare, industrials and transportation sectors. Prior to that, Mr. Chen was a corporate finance lawyer with Davis Polk &amp; Wardwell LLP in New York and Hong Kong. Mr. Chen received a B.A. and an M.A. from Harvard University and a J.D. from Harvard Law School. Mr. Chen’s experience in the venture capital industry and his experience in the investment banking and legal industries give him the qualifications, skills and financial expertise to serve on our board of directors.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Fabrice Egros, Ph.D. </w:t>
      </w:r>
      <w:r>
        <w:rPr>
          <w:rFonts w:ascii="Arial" w:cs="Arial" w:eastAsia="Arial" w:hAnsi="Arial"/>
          <w:sz w:val="16"/>
          <w:szCs w:val="16"/>
          <w:color w:val="auto"/>
        </w:rPr>
        <w:t>has served as a member of our board of directors since September 2013. Since October 2015, Dr. Egros has served as President, Asia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Pacific and Japan of Lupin Limited, an Indian publicly traded pharmaceutical company. From November 2012 to September 2015, Dr. Egros served as the Deputy Chief Executive Officer/Chief Operating Officer of NovaMedica LLC, a privately held pharmaceutical company, and was its Chief Operating Officer and a member of its board of directors from July 2012 to September 2015. From February 2011 to July 2012, Dr. Egros served as the Chief Operating Officer of Xanodyne Pharmaceuticals, Inc., a privately held pharmaceutical company. From September 2009 to February 2011, he served as the Senior Vice President, Corporate Business Development and Strategy of UCB, S.A., a publicly traded biopharmaceutical company. From August 2006 to August 2009, Dr. Egros served as the President of UCB, Inc., a subsidiary of UCB, S.A., and from September 2003 to August 2006, he served as the President of UCB Japan Co. Ltd., a subsidiary of UCB, S.A. Prior to joining UCB, Dr. Egros held various management and executive positions at Parke-Davis, Warner Lambert Company, a privately held pharmaceutical company, and Sanofi, formerly known as Sanofi-Aventis, a publicly traded pharmaceutical company. Dr. Egros received a B.S. in Pharmacokinetics and Metabolism from Schiller International University and a Pharm.D. and Ph.D. in Pharmaceutical Sciences from Chatenay Malabry University, and has participated in the Advanced Management Program at Harvard University. We believe that Dr. Egros’s experience as an executive officer of other successful companies in the pharmaceutical industry gives him the qualifications, skills and financial expertise to serve on our board of directors.</w:t>
      </w:r>
    </w:p>
    <w:p>
      <w:pPr>
        <w:spacing w:after="0" w:line="12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Luke Evnin, Ph.D. </w:t>
      </w:r>
      <w:r>
        <w:rPr>
          <w:rFonts w:ascii="Arial" w:cs="Arial" w:eastAsia="Arial" w:hAnsi="Arial"/>
          <w:sz w:val="16"/>
          <w:szCs w:val="16"/>
          <w:color w:val="auto"/>
        </w:rPr>
        <w:t>has served as a member of our board of directors since May 2012. Dr. Evnin has served as a managing director at MPM Capital,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healthcare-focused venture capital firm, since he co-founded MPM’s asset management business in 1997. Prior to joining MPM, Dr. Evnin spent seven years at Accel Partners, a venture capital firm, including four years as general partner. Dr. Evnin currently serves on a number of private company boards, and has served as director of several public companies, including Enteromedics Inc, Epix Medical, Inc., Intercell AG, Metabasis Therapeutics, Inc.</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(acquired by Ligand Pharmaceuticals, Inc.), Oscient Pharmaceuticals Corp., Pacira Pharmaceuticals, Inc., Restore Medical, Inc. (acquired by Medtronic, Inc.), Sonic Innovations, Inc. and Signal Pharmaceuticals, Inc. (acquired by Celgene Corporation). Dr. Evnin received an A.B. in Molecular Biology from Princeton University and a Ph.D. in Biochemistry from the University of California, San Francisco. We believe that Dr. Evnin’s experience in the venture capital industry and his service as a director of other publicly traded and privately held life science companies give him the qualifications, skill and financial expertise to serve on our board of directors.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Kim P. Kamdar, Ph.D. </w:t>
      </w:r>
      <w:r>
        <w:rPr>
          <w:rFonts w:ascii="Arial" w:cs="Arial" w:eastAsia="Arial" w:hAnsi="Arial"/>
          <w:sz w:val="16"/>
          <w:szCs w:val="16"/>
          <w:color w:val="auto"/>
        </w:rPr>
        <w:t>has served as a member of our board of directors since September 2006. Dr. Kamdar joined Domain Associates, LLC, a life science-focused venture capital firm, in January 2005 and has served as a partner at Domain since January 2011. Prior to joining Domain, Dr. Kamdar spent two years as a Kauffman Fellow with MPM Capital, Inc., a healthcare-focused venture capital firm. She also served as a Research Director at Novartis AG, a publicly traded healthcare company, and founded Aryzun Pharmaceuticals, Inc., a privately held biotechnology company. Dr. Kamdar currently serves as director of Neothetics, Inc, a publicly traded pharmaceutical company, and also serves on a number of private company boards. Dr. Kamdar received a B.A. from Northwestern University and a Ph.D. from Emory University. We believe that Dr. Kamdar’s experience in the venture capital industry, and her service as a director of privately held life science companies give her the qualifications, skills and financial expertise to serve on our board of directors.</w:t>
      </w:r>
    </w:p>
    <w:p>
      <w:pPr>
        <w:spacing w:after="0" w:line="11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Ivor Royston, M.D. </w:t>
      </w:r>
      <w:r>
        <w:rPr>
          <w:rFonts w:ascii="Arial" w:cs="Arial" w:eastAsia="Arial" w:hAnsi="Arial"/>
          <w:sz w:val="16"/>
          <w:szCs w:val="16"/>
          <w:color w:val="auto"/>
        </w:rPr>
        <w:t>has served as a member of our board of directors since September 2013. In 1990, Dr. Royston founded Forward Ventures,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science-focused venture capital firm, where he has served as a managing member. Since November 2014, Dr. Royston has served as Chief Executive Officer of Veracta, Inc., a privately held biotechnology company. Prior to founding Forward Ventures, Dr. Royston spent 10 years as the founding President and Chief Executive Officer of the Sidney Kimmel Cancer Center, a non-profit organization, and 12 years on the faculty of the medical school and cancer center at the University of California, San Diego. Dr. Royston also co-founded IDEC Corporation, which merged with Biogen, Inc. to form Biogen Idec, Inc. (now Biogen, Inc.), a publicly traded biotechnology company, and Hybritech, Inc., which was acquired by Eli Lilly &amp; Company, a publicly traded company. Dr. Royston has served on a number of public and private company boards, and is currently a member of the board of directors of Biocept, Inc., a publicly traded molecular cancer diagnostic company, and MMRGlobal, Inc., a publicly traded health record company. Dr. Royston received a B.A. in Human Biology and an M.D. from Johns Hopkins University, and has completed post-doctoral training in Internal Medicine and Medical Oncology at Stanford University. We believe that Dr. Royston’s experience in the venture capital industry, his experience co-founding other successful companies in the pharmaceutical industry, and his service as a director of other publicly traded and privately held life science companies give him the qualifications, skills and financial expertise to serve on our board of directors.</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Richard P. Shea </w:t>
      </w:r>
      <w:r>
        <w:rPr>
          <w:rFonts w:ascii="Arial" w:cs="Arial" w:eastAsia="Arial" w:hAnsi="Arial"/>
          <w:sz w:val="18"/>
          <w:szCs w:val="18"/>
          <w:color w:val="auto"/>
        </w:rPr>
        <w:t>has served as a member of our board of directors since January 2014. Since July 2007, Mr. Shea has served as Senior Vice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Momenta Pharmaceuticals Inc., a publicly traded biotechnology company, and has been its Vice President and Chief Financial Officer since October 2003. Prior to joining Momenta, he served as Chief Operating Officer and Chief Financial Officer of Variagenics Inc., a publicly traded pharmacogenomics company, that was merged with Hyseq Pharmaceuticals Inc., and as Vice President, Finance of Genetics Institute, Inc., a publicly traded biotechnology company, which was acquired by Wyeth Pharmaceuticals, Inc., which was then acquired by Pfizer, Inc. Mr. Shea is a certified public accountant and received an A.B. from Princeton University and an M.B.A. from the Public Management Program at Boston University. We believe that Mr. Shea’s experience as an executive officer of other successful companies in the pharmaceutical industry gives him the qualifications, skills and financial expertise to serve on our board of directors.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b w:val="1"/>
          <w:bCs w:val="1"/>
          <w:i w:val="1"/>
          <w:iCs w:val="1"/>
          <w:color w:val="auto"/>
        </w:rPr>
        <w:t xml:space="preserve">George W. Sledge Jr., M.D. </w:t>
      </w:r>
      <w:r>
        <w:rPr>
          <w:rFonts w:ascii="Arial" w:cs="Arial" w:eastAsia="Arial" w:hAnsi="Arial"/>
          <w:sz w:val="15"/>
          <w:szCs w:val="15"/>
          <w:color w:val="auto"/>
        </w:rPr>
        <w:t>has served as a member of our board of directors since January 2014. Since January 2013, Dr. Sledge has been Professor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of Medical Oncology at Stanford University Medical Center. Dr. Sledge served as a Co-director of the breast cancer program at the Indiana University Simon Cancer Center from 1989 to 2012, and was a Professor of Medicine and Pathology at the Indiana University School of Medicine from 1994 to 2013. From 2010 to 2011, Dr. Sledge served as the President of the American Society of Clinical Oncology, a professional organization representing oncologists. Dr. Sledge is currently Associate Editor of JAMA Oncology, and has served as a member of the External Advisory Committee for The Cancer Genome Atlas project, chairman of the Breast Committee of the Eastern Cooperative Oncology Group, chairman of the Education Committee of the American Society of Clinical Oncology, a member of the Department of Defense Breast Cancer Research Program’s Integration Panel, and a member of the Food and Drug Administration’s Oncology Drug Advisory Committee, and the NCI’s Clinical Trials Advisory Committee. Dr. Sledge received a B.A. from the University of Wisconsin and an M.D. from Tulane University. We believe that Dr. Sledge’s experience in the study and treatment of breast cancer and new drug development, his regulatory experience, and his experience as an executive officer of a professional organization gives him the qualifications, skills and financial expertise to serve on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Briggs W. Morrison, M.D. </w:t>
      </w:r>
      <w:r>
        <w:rPr>
          <w:rFonts w:ascii="Arial" w:cs="Arial" w:eastAsia="Arial" w:hAnsi="Arial"/>
          <w:sz w:val="16"/>
          <w:szCs w:val="16"/>
          <w:color w:val="auto"/>
        </w:rPr>
        <w:t>has served as our Chief Executive Officer since June 2015 and as a member of our board of directors since July 2015.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Morrison currently serves as a managing director of MPM Capital, a healthcare-focused venture capital firm, since June 2015. Prior to joining us, he served as Executive Vice President, Global Medicines Development and Chief Medical Officer at AstraZeneca plc, a publicly traded company, from January 2012 to June 2015, leading the company’s global, late-stage development organization and serving as a member of the AstraZeneca senior executive team. He previously held a number of positions at Pfizer Inc., a publicly traded company, from 2007 to January 2012 that culminated in his appointment as Head, Medical Affairs, Safety and Regulatory Affairs for Pfizer’s human health business, and also served in roles of increasing responsibility at Merck Research Laboratories, a division of Merck &amp; Co., Inc., from 1995 to 2007, ascending to the role of Vice President, Clinical Sciences, Oncology, responsible for clinical development of all novel anti-cancer drugs. Dr. Morrison was chairman of the board of TransCelerate BioPharma Inc., an industry-funded company charged with improving aspects of clinical trials, from 2014 to 2015, a member of the executive committee of the Clinical Trials Transformation Initiative (CTTI) sponsored by FDA, and is on the board of ACRES (Alliance for Clinical Research Excellence and Safety). Dr. Morrison received a B.S. in biology from Georgetown University and an M.D. from the University of Connecticut. We believe that Dr. Morrison’s experience as an executive officer of other successful companies in the pharmaceutical industry gives him the qualifications, skills and financial expertise to serve on our board of directors.</w:t>
      </w:r>
    </w:p>
    <w:p>
      <w:pPr>
        <w:spacing w:after="0" w:line="12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Michael A. Metzger </w:t>
      </w:r>
      <w:r>
        <w:rPr>
          <w:rFonts w:ascii="Arial" w:cs="Arial" w:eastAsia="Arial" w:hAnsi="Arial"/>
          <w:sz w:val="16"/>
          <w:szCs w:val="16"/>
          <w:color w:val="auto"/>
        </w:rPr>
        <w:t>has served as our President and Chief Operating Officer since May 2015. Prior to joining us, Mr. Metzger was President and COO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December 2013 to October 2014 and President and Chief Executive Officer and a member of the board of directors of Regado Biosciences, Inc., a former publicly traded company that merged with Tobira Therapeutics, Inc., from October 2014 to May 2015, where he oversaw the company’s successful merger with Tobira Therapeutics, Inc. in 2015. Previously, Mr. Metzger served as Executive Vice President and Chief Operating Officer at Mersana Therapeutics, Inc., a privately held biopharmaceutical company developing novel immunoconjugate therapies for cancer, from March 2011 to November 2013, and in senior business development positions including leading mergers and acquisitions at Forest Laboratories, LLC, which</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was acquired by Allergan plc, a publicly traded company, from 2006 to February 2011. Prior to Forest, Mr. Metzger served as Vice President Corporate Development at Onconova Therapeutics, Inc., from 2001 until 2006, and was a Managing Director at MESA Partners, Inc., a venture capital firm, from 1997 to 2001. Mr. Metzger received a B.A. from George Washington University and an M.B.A. in Finance from the New York University Stern School of Business.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 xml:space="preserve">Michael L. Meyers, M.D., Ph.D. </w:t>
      </w:r>
      <w:r>
        <w:rPr>
          <w:rFonts w:ascii="Arial" w:cs="Arial" w:eastAsia="Arial" w:hAnsi="Arial"/>
          <w:sz w:val="16"/>
          <w:szCs w:val="16"/>
          <w:color w:val="auto"/>
        </w:rPr>
        <w:t>has served as our Senior Vice President, Chief Development Officer since August 2015. Prior to joining us, Dr. Meyers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a number of senior roles at Johnson &amp; Johnson, a publicly traded company, serving as Vice President, GU Oncology, Compound and Clinical Leader, and as Vice President, Oncology Scientific Innovation in Johnson and Johnson’s London Innovation Centre. Dr. Meyers also led the U.S. Oncology Medical Affairs team at Aventis Pharmaceuticals Inc., a privately held life sciences company, predecessor to Sanofi-Aventis U.S. LLC, and worked in oncology clinical development at the Schering-Plough Research Institute. Dr. Meyers served on the Memorial Sloan Kettering Cancer Center faculty, specializing in Clinical Immunology and melanoma. He received his M.D. and his Ph.D. in Microbiology and Immunology from Albert Einstein College of Medicine in New York and was elected to the American Osteopathic Association. Dr. Meyers completed his residency in Internal Medicine at Columbia Presbyterian Medical Center and his fellowship, where he served as Chief Fellow in Medical Oncology, at Memorial Sloan Kettering Cancer Center.</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Allan L. Shaw </w:t>
      </w:r>
      <w:r>
        <w:rPr>
          <w:rFonts w:ascii="Arial" w:cs="Arial" w:eastAsia="Arial" w:hAnsi="Arial"/>
          <w:sz w:val="16"/>
          <w:szCs w:val="16"/>
          <w:color w:val="auto"/>
        </w:rPr>
        <w:t>has served as our Chief Financial Officer, Treasurer and Secretary since January 2016. Prior to joining us, Mr. Shaw served as a Managing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Alvarez &amp; Marsal LLC, a global professional services firm, and led their biopharmaceutical consulting practice, from December 2011 to March 2015, and supported Alvarez &amp; Marsal LLC on an ad hoc basis from March 2015 to October 2015. Previously, Mr. Shaw served as the Chief Financial Officer of NewLead Holdings LTD., a publicly traded global shipping company, from 2009 to 2011. Mr. Shaw was the founder and Senior Managing Director of Shaw Strategic Capital LLC, an international financial advisory firm focused on providing strategic financial counsel on a wide variety of issues such as general corporate finance, mergers and acquisitions, capital structuring, licensing and capital markets, from 2005 to 2009. Prior to that, Mr. Shaw was the Chief Financial Officer of Serono S.A., a publicly traded global biotechnology company from 2002 to 2005. Mr. Shaw currently serves on the board of directors of Vivus Inc., a publicly traded biopharmaceutical company, Akari Therapeutics, Plc. (formerly Celsus Therapeutics), a publicly traded biopharmaceutical company, and Edith &amp; Carl Marks JCH of Bensonhurst, a nonprofit organization. Mr. Shaw received a B.S. from the State University of New York (Oswego College) and is a certified public accountant in the State of New York.</w:t>
      </w:r>
    </w:p>
    <w:p>
      <w:pPr>
        <w:spacing w:after="0" w:line="123"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b w:val="1"/>
          <w:bCs w:val="1"/>
          <w:i w:val="1"/>
          <w:iCs w:val="1"/>
          <w:color w:val="auto"/>
        </w:rPr>
        <w:t xml:space="preserve">Peter Ordentlich, Ph.D. </w:t>
      </w:r>
      <w:r>
        <w:rPr>
          <w:rFonts w:ascii="Arial" w:cs="Arial" w:eastAsia="Arial" w:hAnsi="Arial"/>
          <w:sz w:val="15"/>
          <w:szCs w:val="15"/>
          <w:color w:val="auto"/>
        </w:rPr>
        <w:t>co-founded the company in October 2005 and has served as our Chief Technology Officer since November 2013. Dr. Ordentlich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previously served as our Vice President, Translational Medicine from January 2012 to October 2013, our Executive Director, Translational Science from January 2011 to December 2011, and our Director, Scientific Affairs and Strategic Alliances from January 2008 to December 2010. Prior to founding the company,</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Dr. Ordentlich was a scientist at the Salk Institute for Biological Studies, a biological research non-profit organization. He also spent five years as a research scientist at X-Ceptor Therapeutics, Inc., a drug discovery company, which was acquired by Exelixis, Inc. Dr. Ordentlich received a B.A. in Biochemistry and a Ph.D. in Immunology from the University of Pennsylvania.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Our amended and restated bylaws provide that the size of our board of directors will be determined from time to time by resolution of our board of directors. Our board of directors currently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60"/>
          </w:cols>
          <w:pgMar w:left="240" w:top="459" w:right="2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consists of nine directors, seven of whom qualify as independent directors under the rules and regulations of the Securities and Exchange Commission, or SEC, and The NASDAQ Stock Market, LLC, or NASDAQ.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Immediately prior to the completion of this offering, our amended and restated certificate of incorporation will provide for a classified board of directors consisting of three classes of directors. We will have three directors in each of Class I, Class II and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38" w:lineRule="exact"/>
        <w:rPr>
          <w:sz w:val="20"/>
          <w:szCs w:val="20"/>
          <w:color w:val="auto"/>
        </w:rPr>
      </w:pPr>
    </w:p>
    <w:p>
      <w:pPr>
        <w:ind w:left="1000" w:hanging="317"/>
        <w:spacing w:after="0"/>
        <w:tabs>
          <w:tab w:leader="none" w:pos="10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Class I directors will be Drs. Egros, Kamdar and Royston, and their terms will expire at the annual meeting of stockholders to be held in 2016;</w:t>
      </w:r>
    </w:p>
    <w:p>
      <w:pPr>
        <w:spacing w:after="0" w:line="113" w:lineRule="exact"/>
        <w:rPr>
          <w:rFonts w:ascii="Arial" w:cs="Arial" w:eastAsia="Arial" w:hAnsi="Arial"/>
          <w:sz w:val="16"/>
          <w:szCs w:val="16"/>
          <w:color w:val="auto"/>
        </w:rPr>
      </w:pPr>
    </w:p>
    <w:p>
      <w:pPr>
        <w:ind w:left="1000" w:right="80" w:hanging="317"/>
        <w:spacing w:after="0" w:line="268"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Class II directors will be Mr. Chen and Drs. Evnin and Sledge, and their terms will expire at the annual meeting of stockholders to be held in 2017; and</w:t>
      </w:r>
    </w:p>
    <w:p>
      <w:pPr>
        <w:spacing w:after="0" w:line="50" w:lineRule="exact"/>
        <w:rPr>
          <w:rFonts w:ascii="Arial" w:cs="Arial" w:eastAsia="Arial" w:hAnsi="Arial"/>
          <w:sz w:val="18"/>
          <w:szCs w:val="18"/>
          <w:color w:val="auto"/>
        </w:rPr>
      </w:pPr>
    </w:p>
    <w:p>
      <w:pPr>
        <w:ind w:left="1000" w:right="80" w:hanging="317"/>
        <w:spacing w:after="0" w:line="268" w:lineRule="auto"/>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Class III directors will be Dr. Morrison and Messrs. Podlesak and Shea, and their terms will expire at the annual meeting of stockholders to be held in 2018.</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Rule 5605 of the NASDAQ Marketplace Rules, or the NASDAQ Listing Rules, requires that independent directors compose a majority of a listed company’s board of directors.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14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In August 2015,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Party Transactions,” our board of directors determined that none of our directors other than Dr. Morrison has a relationship that would interfere with the exercise of independent judgment in carrying out the responsibilities of a director and that each of these directors is “independent” as that term is defined under Rule 5605(a)(2) of the NASDAQ Listing Rules.</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Dr. Morrison is not considered independent because he currently serves as our Chief Executive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positions of our chairman of the board and Chief Executive Officer are separated. Separating these positions allows our Chief Executive Officer to focus on our day-to-day business, while allowing the chairman of the board to lead our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 Our board of directors also believes that this structure ensures a greater role for the independent directors in the oversight of the company and active participation of the independent directors in setting agendas and establishing priorities and procedures for the work of our board of directors.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our amended and restated bylaws that will be in effect immediately prior to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chairman of the board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independent directors will meet alone in executive session at least quarterly each year. The purpose of these executive sessions is to promote open and candid discussion among the independent directors.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face a number of risks, including those described in the section titled “Risk Factors” contained elsewhere in this prospectus. Our board of directors believes that risk management is an important part 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as part of its responsibilities, oversees the company’s significant financial and operational risk exposures, including but not limited to accounting matters, liquidity and credit risks, corporate tax positions, insurance coverage, and cash investment strategy and results. The audit committee is also responsible for overseeing the management of risks relating to the performance of the company’s internal audit function (if required) and its independent registered accounting firm, as well as the company’s systems of internal controls and disclosure controls and procedures. The compensation committee is responsible for overseeing the company’s major compensation-related risk exposures, including risks related to executive compensation and overall compensation and benefit strategies, plans, arrangements, practices and policies. The nominating and corporate governance committee oversees the company’s major legal compliance risk exposures, including the company’s procedures and any related policies with respect to risk assessment and risk management. These committees provide regular reports to the full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audit committee is responsible for assisting our board of directors in its oversight of the integrity of our financial statements, the qualifications and independence of our independent auditors, and our internal financial and accounting controls. The audit committee has direct responsibility for the appointment, compensation, retention (including termination) and oversight of our independent auditors, and our independent auditors report directly to the audit committee. The audit committee also prepares the audit committee report that the SEC requires to be included in our annual proxy statement.</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members of the audit committee are Mr. Shea and Drs. Egros and Sledge, and Mr. Shea serves as chair of the audit committee. Each member of the audit committee qualifies as an independent director under the corporate governance standards of the NASDAQ Listing Rules and the independence requirements of Rule 10A-3 of the Exchange Act. Our board of directors has determined that Mr. Shea qualifies as an “audit committee financial expert” as such term is currently defined 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Item 407(d)(5) of Regulation S-K. The audit committee has adopted a written charter that satisfies the applicable standards of the SEC and the NASDAQ Listing Rules, which we will post on our website upon completion of this offering.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Drs. Evnin and Sledge and Mr. Podlesak, and Dr. Evnin serves as chair of the compensation committee. Each member of the compensation committee is a non-employee director within the meaning of Rule 16b-3 of the rules promulgated under the Exchange Act and an outside director as defined by Section 162(m) of the U.S. Internal Revenue Code of 1986, as amended, or the Code,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members of the nominating and corporate governance committee are Drs. Evnin, Kamdar and Royston, and Dr. Kamdar serves as chair of the nominating and corporate governance committee. Each member of the nominating and corporate governance committee is a non-employee director within the meaning of Rule 16b-3 of the rules promulgated under the Exchange Act, and each is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7"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None of the members of our compensation committee has ever been an officer or employee of the company. None of our executive officers serves, or has served during the last three years, as a member of our board of directors, compensation committee or other board committee performing equivalent functions of any entity that has one or more executive officers serving as one of our directors or on our compensation committee.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information for each of the last two completed fiscal years regarding compensation awarded to or earned by our named executive officers.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840" w:type="dxa"/>
            <w:vAlign w:val="bottom"/>
            <w:gridSpan w:val="2"/>
            <w:vMerge w:val="continue"/>
          </w:tcPr>
          <w:p>
            <w:pPr>
              <w:spacing w:after="0"/>
              <w:rPr>
                <w:sz w:val="14"/>
                <w:szCs w:val="14"/>
                <w:color w:val="auto"/>
              </w:rPr>
            </w:pPr>
          </w:p>
        </w:tc>
        <w:tc>
          <w:tcPr>
            <w:tcW w:w="1060" w:type="dxa"/>
            <w:vAlign w:val="bottom"/>
            <w:gridSpan w:val="2"/>
          </w:tcPr>
          <w:p>
            <w:pPr>
              <w:jc w:val="center"/>
              <w:ind w:right="300"/>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(2)</w:t>
            </w: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6280" w:type="dxa"/>
            <w:vAlign w:val="bottom"/>
            <w:gridSpan w:val="3"/>
            <w:vMerge w:val="continue"/>
          </w:tcPr>
          <w:p>
            <w:pPr>
              <w:spacing w:after="0"/>
              <w:rPr>
                <w:sz w:val="13"/>
                <w:szCs w:val="13"/>
                <w:color w:val="auto"/>
              </w:rPr>
            </w:pPr>
          </w:p>
        </w:tc>
        <w:tc>
          <w:tcPr>
            <w:tcW w:w="60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3"/>
                <w:szCs w:val="13"/>
                <w:color w:val="auto"/>
              </w:rPr>
            </w:pPr>
          </w:p>
        </w:tc>
        <w:tc>
          <w:tcPr>
            <w:tcW w:w="64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3"/>
                <w:szCs w:val="13"/>
                <w:color w:val="auto"/>
              </w:rPr>
            </w:pPr>
          </w:p>
        </w:tc>
        <w:tc>
          <w:tcPr>
            <w:tcW w:w="780" w:type="dxa"/>
            <w:vAlign w:val="bottom"/>
          </w:tcPr>
          <w:p>
            <w:pPr>
              <w:jc w:val="right"/>
              <w:ind w:right="23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740" w:type="dxa"/>
            <w:vAlign w:val="bottom"/>
            <w:tcBorders>
              <w:top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Briggs W. Morrison, M.D.</w:t>
            </w:r>
            <w:r>
              <w:rPr>
                <w:rFonts w:ascii="Arial" w:cs="Arial" w:eastAsia="Arial" w:hAnsi="Arial"/>
                <w:sz w:val="11"/>
                <w:szCs w:val="11"/>
                <w:color w:val="auto"/>
              </w:rPr>
              <w:t>(3)</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263,784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109,635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4,259,602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4,633,021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i w:val="1"/>
                <w:iCs w:val="1"/>
                <w:color w:val="auto"/>
              </w:rPr>
              <w:t>Chief Executive Officer and Director</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Michael A. Metzger</w:t>
            </w:r>
            <w:r>
              <w:rPr>
                <w:rFonts w:ascii="Arial" w:cs="Arial" w:eastAsia="Arial" w:hAnsi="Arial"/>
                <w:sz w:val="11"/>
                <w:szCs w:val="11"/>
                <w:color w:val="auto"/>
              </w:rPr>
              <w:t>(4)</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296,538</w:t>
            </w:r>
          </w:p>
        </w:tc>
        <w:tc>
          <w:tcPr>
            <w:tcW w:w="6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2,550,157</w:t>
            </w:r>
          </w:p>
        </w:tc>
        <w:tc>
          <w:tcPr>
            <w:tcW w:w="3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2,896,695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i w:val="1"/>
                <w:iCs w:val="1"/>
                <w:color w:val="auto"/>
              </w:rPr>
              <w:t>President and Chief Operating Officer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4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Meyers, M.D., Ph.D.</w:t>
            </w:r>
            <w:r>
              <w:rPr>
                <w:rFonts w:ascii="Arial" w:cs="Arial" w:eastAsia="Arial" w:hAnsi="Arial"/>
                <w:sz w:val="11"/>
                <w:szCs w:val="11"/>
                <w:color w:val="auto"/>
              </w:rPr>
              <w:t>(5)</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4"/>
              </w:rPr>
              <w:t>2015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140,625</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1,205,972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4,463</w:t>
            </w:r>
            <w:r>
              <w:rPr>
                <w:rFonts w:ascii="Arial" w:cs="Arial" w:eastAsia="Arial" w:hAnsi="Arial"/>
                <w:sz w:val="11"/>
                <w:szCs w:val="11"/>
                <w:color w:val="auto"/>
              </w:rPr>
              <w:t>(6)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1,351,060</w:t>
            </w:r>
          </w:p>
        </w:tc>
        <w:tc>
          <w:tcPr>
            <w:tcW w:w="0" w:type="dxa"/>
            <w:vAlign w:val="bottom"/>
          </w:tcPr>
          <w:p>
            <w:pPr>
              <w:spacing w:after="0"/>
              <w:rPr>
                <w:sz w:val="1"/>
                <w:szCs w:val="1"/>
                <w:color w:val="auto"/>
              </w:rPr>
            </w:pPr>
          </w:p>
        </w:tc>
      </w:tr>
      <w:tr>
        <w:trPr>
          <w:trHeight w:val="316"/>
        </w:trPr>
        <w:tc>
          <w:tcPr>
            <w:tcW w:w="6280" w:type="dxa"/>
            <w:vAlign w:val="bottom"/>
            <w:gridSpan w:val="3"/>
          </w:tcPr>
          <w:p>
            <w:pPr>
              <w:spacing w:after="0"/>
              <w:rPr>
                <w:sz w:val="20"/>
                <w:szCs w:val="20"/>
                <w:color w:val="auto"/>
              </w:rPr>
            </w:pPr>
            <w:r>
              <w:rPr>
                <w:rFonts w:ascii="Arial" w:cs="Arial" w:eastAsia="Arial" w:hAnsi="Arial"/>
                <w:sz w:val="18"/>
                <w:szCs w:val="18"/>
                <w:color w:val="auto"/>
              </w:rPr>
              <w:t>Arlene M. Morris</w:t>
            </w:r>
            <w:r>
              <w:rPr>
                <w:rFonts w:ascii="Arial" w:cs="Arial" w:eastAsia="Arial" w:hAnsi="Arial"/>
                <w:sz w:val="11"/>
                <w:szCs w:val="11"/>
                <w:color w:val="auto"/>
              </w:rPr>
              <w:t>(7)</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2015</w:t>
            </w:r>
          </w:p>
        </w:tc>
        <w:tc>
          <w:tcPr>
            <w:tcW w:w="20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162,231</w:t>
            </w:r>
          </w:p>
        </w:tc>
        <w:tc>
          <w:tcPr>
            <w:tcW w:w="8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656,592</w:t>
            </w:r>
            <w:r>
              <w:rPr>
                <w:rFonts w:ascii="Arial" w:cs="Arial" w:eastAsia="Arial" w:hAnsi="Arial"/>
                <w:sz w:val="11"/>
                <w:szCs w:val="11"/>
                <w:color w:val="auto"/>
                <w:w w:val="94"/>
              </w:rPr>
              <w:t>(8)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818,823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i w:val="1"/>
                <w:iCs w:val="1"/>
                <w:color w:val="auto"/>
              </w:rPr>
              <w:t>Former President and Chief Executive Officer</w:t>
            </w:r>
          </w:p>
        </w:tc>
        <w:tc>
          <w:tcPr>
            <w:tcW w:w="400" w:type="dxa"/>
            <w:vAlign w:val="bottom"/>
          </w:tcPr>
          <w:p>
            <w:pPr>
              <w:ind w:left="40"/>
              <w:spacing w:after="0"/>
              <w:rPr>
                <w:sz w:val="20"/>
                <w:szCs w:val="20"/>
                <w:color w:val="auto"/>
              </w:rPr>
            </w:pPr>
            <w:r>
              <w:rPr>
                <w:rFonts w:ascii="Arial" w:cs="Arial" w:eastAsia="Arial" w:hAnsi="Arial"/>
                <w:sz w:val="18"/>
                <w:szCs w:val="18"/>
                <w:color w:val="auto"/>
                <w:w w:val="84"/>
              </w:rPr>
              <w:t>2014</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424,360</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144,282</w:t>
            </w: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394,967</w:t>
            </w:r>
            <w:r>
              <w:rPr>
                <w:rFonts w:ascii="Arial" w:cs="Arial" w:eastAsia="Arial" w:hAnsi="Arial"/>
                <w:sz w:val="11"/>
                <w:szCs w:val="11"/>
                <w:color w:val="auto"/>
              </w:rPr>
              <w:t>(9)</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963,609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60" w:hanging="452"/>
        <w:spacing w:after="0" w:line="283" w:lineRule="auto"/>
        <w:tabs>
          <w:tab w:leader="none" w:pos="4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amounts paid to Dr. Morrison and Mr. Metzger during 2015 reflect signing bonuses paid to each executive at their time of hire. The bonus payments to our executive officers for 2015 have not yet been determined. We expect that they will be determined in the first quarter of 2016. The amount reflected for Ms. Morris for 2014 includes amounts earned in 2014, which were paid during 2015, based on the achievement of company and individual performance goals and other factors deemed relevant by our board of directors and compensation committee. For 2014, the compensation committee determined that Ms. Morris was entitled to approximately 85% of her target bonus.</w:t>
      </w:r>
    </w:p>
    <w:p>
      <w:pPr>
        <w:spacing w:after="0" w:line="2" w:lineRule="exact"/>
        <w:rPr>
          <w:rFonts w:ascii="Arial" w:cs="Arial" w:eastAsia="Arial" w:hAnsi="Arial"/>
          <w:sz w:val="16"/>
          <w:szCs w:val="16"/>
          <w:color w:val="auto"/>
        </w:rPr>
      </w:pPr>
    </w:p>
    <w:p>
      <w:pPr>
        <w:ind w:left="460" w:right="100" w:hanging="452"/>
        <w:spacing w:after="0" w:line="300" w:lineRule="auto"/>
        <w:tabs>
          <w:tab w:leader="none" w:pos="4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Amounts reflect the grant date fair value of option awards determined in accordance with ASC 718. For information regarding assumptions underlying the value of equity awards, see Note 12 to our audited consolidated financial statements and the discussion under the section titled “Management’s Discussion and Analysis of Financial Condition and Results of Operations—Critical Accounting Policies—Stock-Based Compensation,” included elsewhere in this prospectus. These amounts do not correspond to the actual value the named executive officer may realize upon exercise of these option awards.</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Dr. Morrison joined the company on June 22,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Mr. Metzger joined the company on May 5,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Dr. Meyers joined the company on August 17,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 reflects a benefits reimbursement.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Morris resigned from the company effective May 12,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Amount reflects the severance payment and payout of accrued vacation upon Ms. Morris’ resignation from the company.</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the grant date fair value in the amount of $272,414 for option grants that were subsequently cancelled and reissued pursuant to an option exchange program that we implemented in 2014.</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equity awards held by the named executive officers that were outstanding as of December 31,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20" w:type="dxa"/>
            <w:vAlign w:val="bottom"/>
            <w:gridSpan w:val="2"/>
          </w:tcPr>
          <w:p>
            <w:pPr>
              <w:jc w:val="center"/>
              <w:ind w:right="844"/>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60" w:type="dxa"/>
            <w:vAlign w:val="bottom"/>
            <w:gridSpan w:val="2"/>
          </w:tcPr>
          <w:p>
            <w:pPr>
              <w:jc w:val="center"/>
              <w:ind w:right="84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136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93"/>
              </w:rPr>
              <w:t>Option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20" w:type="dxa"/>
            <w:vAlign w:val="bottom"/>
            <w:gridSpan w:val="2"/>
          </w:tcPr>
          <w:p>
            <w:pPr>
              <w:jc w:val="center"/>
              <w:ind w:right="864"/>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13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48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2320" w:type="dxa"/>
            <w:vAlign w:val="bottom"/>
            <w:gridSpan w:val="2"/>
          </w:tcPr>
          <w:p>
            <w:pPr>
              <w:jc w:val="center"/>
              <w:ind w:right="864"/>
              <w:spacing w:after="0" w:line="149" w:lineRule="exact"/>
              <w:rPr>
                <w:sz w:val="20"/>
                <w:szCs w:val="20"/>
                <w:color w:val="auto"/>
              </w:rPr>
            </w:pPr>
            <w:r>
              <w:rPr>
                <w:rFonts w:ascii="Arial" w:cs="Arial" w:eastAsia="Arial" w:hAnsi="Arial"/>
                <w:sz w:val="14"/>
                <w:szCs w:val="14"/>
                <w:b w:val="1"/>
                <w:bCs w:val="1"/>
                <w:color w:val="auto"/>
                <w:w w:val="86"/>
              </w:rPr>
              <w:t>Options Exercisable</w:t>
            </w:r>
          </w:p>
        </w:tc>
        <w:tc>
          <w:tcPr>
            <w:tcW w:w="22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Options Unexercisable</w:t>
            </w:r>
          </w:p>
        </w:tc>
        <w:tc>
          <w:tcPr>
            <w:tcW w:w="13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Price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2160" w:type="dxa"/>
            <w:vAlign w:val="bottom"/>
            <w:gridSpan w:val="2"/>
          </w:tcPr>
          <w:p>
            <w:pPr>
              <w:jc w:val="center"/>
              <w:ind w:left="679"/>
              <w:spacing w:after="0" w:line="148" w:lineRule="exact"/>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4"/>
                <w:szCs w:val="14"/>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60" w:type="dxa"/>
            <w:vAlign w:val="bottom"/>
          </w:tcPr>
          <w:p>
            <w:pPr>
              <w:spacing w:after="0"/>
              <w:rPr>
                <w:sz w:val="14"/>
                <w:szCs w:val="14"/>
                <w:color w:val="auto"/>
              </w:rPr>
            </w:pPr>
          </w:p>
        </w:tc>
        <w:tc>
          <w:tcPr>
            <w:tcW w:w="1360" w:type="dxa"/>
            <w:vAlign w:val="bottom"/>
            <w:gridSpan w:val="2"/>
          </w:tcPr>
          <w:p>
            <w:pPr>
              <w:jc w:val="center"/>
              <w:ind w:right="860"/>
              <w:spacing w:after="0" w:line="148" w:lineRule="exact"/>
              <w:rPr>
                <w:sz w:val="20"/>
                <w:szCs w:val="20"/>
                <w:color w:val="auto"/>
              </w:rPr>
            </w:pPr>
            <w:r>
              <w:rPr>
                <w:rFonts w:ascii="Arial" w:cs="Arial" w:eastAsia="Arial" w:hAnsi="Arial"/>
                <w:sz w:val="14"/>
                <w:szCs w:val="14"/>
                <w:b w:val="1"/>
                <w:bCs w:val="1"/>
                <w:color w:val="auto"/>
                <w:w w:val="87"/>
              </w:rPr>
              <w:t>($/Sh)</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3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Briggs W. Morrison, M.D.</w:t>
            </w:r>
          </w:p>
        </w:tc>
        <w:tc>
          <w:tcPr>
            <w:tcW w:w="7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262,178</w:t>
            </w:r>
          </w:p>
        </w:tc>
        <w:tc>
          <w:tcPr>
            <w:tcW w:w="920" w:type="dxa"/>
            <w:vAlign w:val="bottom"/>
            <w:tcBorders>
              <w:top w:val="single" w:sz="8" w:color="CCEEFF"/>
            </w:tcBorders>
            <w:shd w:val="clear" w:color="auto" w:fill="CCEEFF"/>
          </w:tcPr>
          <w:p>
            <w:pPr>
              <w:jc w:val="right"/>
              <w:ind w:right="744"/>
              <w:spacing w:after="0"/>
              <w:rPr>
                <w:sz w:val="20"/>
                <w:szCs w:val="20"/>
                <w:color w:val="auto"/>
              </w:rPr>
            </w:pPr>
            <w:r>
              <w:rPr>
                <w:rFonts w:ascii="Arial" w:cs="Arial" w:eastAsia="Arial" w:hAnsi="Arial"/>
                <w:sz w:val="11"/>
                <w:szCs w:val="11"/>
                <w:color w:val="auto"/>
                <w:w w:val="74"/>
              </w:rPr>
              <w:t>(1)</w:t>
            </w:r>
          </w:p>
        </w:tc>
        <w:tc>
          <w:tcPr>
            <w:tcW w:w="1400" w:type="dxa"/>
            <w:vAlign w:val="bottom"/>
            <w:tcBorders>
              <w:top w:val="single" w:sz="8" w:color="auto"/>
            </w:tcBorders>
            <w:shd w:val="clear" w:color="auto" w:fill="CCEEFF"/>
          </w:tcPr>
          <w:p>
            <w:pPr>
              <w:ind w:left="1220"/>
              <w:spacing w:after="0" w:line="203" w:lineRule="exact"/>
              <w:rPr>
                <w:sz w:val="20"/>
                <w:szCs w:val="20"/>
                <w:color w:val="auto"/>
              </w:rPr>
            </w:pPr>
            <w:r>
              <w:rPr>
                <w:rFonts w:ascii="Arial" w:cs="Arial" w:eastAsia="Arial" w:hAnsi="Arial"/>
                <w:sz w:val="18"/>
                <w:szCs w:val="18"/>
                <w:color w:val="auto"/>
                <w:w w:val="88"/>
              </w:rPr>
              <w:t>—</w:t>
            </w:r>
          </w:p>
        </w:tc>
        <w:tc>
          <w:tcPr>
            <w:tcW w:w="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10.90</w:t>
            </w:r>
          </w:p>
        </w:tc>
        <w:tc>
          <w:tcPr>
            <w:tcW w:w="8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9/9/2025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right"/>
              <w:ind w:right="744"/>
              <w:spacing w:after="0"/>
              <w:rPr>
                <w:sz w:val="20"/>
                <w:szCs w:val="20"/>
                <w:color w:val="auto"/>
              </w:rPr>
            </w:pPr>
            <w:r>
              <w:rPr>
                <w:rFonts w:ascii="Arial" w:cs="Arial" w:eastAsia="Arial" w:hAnsi="Arial"/>
                <w:sz w:val="18"/>
                <w:szCs w:val="18"/>
                <w:color w:val="auto"/>
              </w:rPr>
              <w:t>548,223</w:t>
            </w:r>
            <w:r>
              <w:rPr>
                <w:rFonts w:ascii="Arial" w:cs="Arial" w:eastAsia="Arial" w:hAnsi="Arial"/>
                <w:sz w:val="11"/>
                <w:szCs w:val="11"/>
                <w:color w:val="auto"/>
              </w:rPr>
              <w:t>(1)</w:t>
            </w:r>
          </w:p>
        </w:tc>
        <w:tc>
          <w:tcPr>
            <w:tcW w:w="22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6/30/2025</w:t>
            </w: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160" w:type="dxa"/>
            <w:vAlign w:val="bottom"/>
            <w:gridSpan w:val="2"/>
          </w:tcPr>
          <w:p>
            <w:pPr>
              <w:jc w:val="right"/>
              <w:ind w:right="107"/>
              <w:spacing w:after="0"/>
              <w:rPr>
                <w:sz w:val="20"/>
                <w:szCs w:val="20"/>
                <w:color w:val="auto"/>
              </w:rPr>
            </w:pPr>
            <w:r>
              <w:rPr>
                <w:rFonts w:ascii="Arial" w:cs="Arial" w:eastAsia="Arial" w:hAnsi="Arial"/>
                <w:sz w:val="18"/>
                <w:szCs w:val="18"/>
                <w:color w:val="auto"/>
              </w:rPr>
              <w:t>130</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Option Awards</w:t>
            </w:r>
          </w:p>
        </w:tc>
        <w:tc>
          <w:tcPr>
            <w:tcW w:w="4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20" w:type="dxa"/>
            <w:vAlign w:val="bottom"/>
            <w:gridSpan w:val="2"/>
          </w:tcPr>
          <w:p>
            <w:pPr>
              <w:jc w:val="center"/>
              <w:ind w:right="884"/>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80" w:type="dxa"/>
            <w:vAlign w:val="bottom"/>
            <w:gridSpan w:val="2"/>
          </w:tcPr>
          <w:p>
            <w:pPr>
              <w:jc w:val="center"/>
              <w:ind w:right="86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1360" w:type="dxa"/>
            <w:vAlign w:val="bottom"/>
            <w:gridSpan w:val="2"/>
          </w:tcPr>
          <w:p>
            <w:pPr>
              <w:jc w:val="center"/>
              <w:ind w:right="880"/>
              <w:spacing w:after="0" w:line="12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gridSpan w:val="2"/>
          </w:tcPr>
          <w:p>
            <w:pPr>
              <w:jc w:val="center"/>
              <w:ind w:right="884"/>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22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13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Exercise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2320" w:type="dxa"/>
            <w:vAlign w:val="bottom"/>
            <w:gridSpan w:val="2"/>
          </w:tcPr>
          <w:p>
            <w:pPr>
              <w:jc w:val="center"/>
              <w:ind w:right="904"/>
              <w:spacing w:after="0" w:line="149" w:lineRule="exact"/>
              <w:rPr>
                <w:sz w:val="20"/>
                <w:szCs w:val="20"/>
                <w:color w:val="auto"/>
              </w:rPr>
            </w:pPr>
            <w:r>
              <w:rPr>
                <w:rFonts w:ascii="Arial" w:cs="Arial" w:eastAsia="Arial" w:hAnsi="Arial"/>
                <w:sz w:val="14"/>
                <w:szCs w:val="14"/>
                <w:b w:val="1"/>
                <w:bCs w:val="1"/>
                <w:color w:val="auto"/>
                <w:w w:val="86"/>
              </w:rPr>
              <w:t>Options Exercisable</w:t>
            </w:r>
          </w:p>
        </w:tc>
        <w:tc>
          <w:tcPr>
            <w:tcW w:w="2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Options Unexercisable</w:t>
            </w:r>
          </w:p>
        </w:tc>
        <w:tc>
          <w:tcPr>
            <w:tcW w:w="13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gridSpan w:val="2"/>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2160" w:type="dxa"/>
            <w:vAlign w:val="bottom"/>
            <w:gridSpan w:val="2"/>
          </w:tcPr>
          <w:p>
            <w:pPr>
              <w:jc w:val="center"/>
              <w:ind w:left="676"/>
              <w:spacing w:after="0" w:line="148" w:lineRule="exact"/>
              <w:rPr>
                <w:sz w:val="20"/>
                <w:szCs w:val="20"/>
                <w:color w:val="auto"/>
              </w:rPr>
            </w:pPr>
            <w:r>
              <w:rPr>
                <w:rFonts w:ascii="Arial" w:cs="Arial" w:eastAsia="Arial" w:hAnsi="Arial"/>
                <w:sz w:val="14"/>
                <w:szCs w:val="14"/>
                <w:b w:val="1"/>
                <w:bCs w:val="1"/>
                <w:color w:val="auto"/>
                <w:w w:val="93"/>
              </w:rPr>
              <w:t>(#)</w:t>
            </w:r>
          </w:p>
        </w:tc>
        <w:tc>
          <w:tcPr>
            <w:tcW w:w="940" w:type="dxa"/>
            <w:vAlign w:val="bottom"/>
          </w:tcPr>
          <w:p>
            <w:pPr>
              <w:spacing w:after="0"/>
              <w:rPr>
                <w:sz w:val="14"/>
                <w:szCs w:val="14"/>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80" w:type="dxa"/>
            <w:vAlign w:val="bottom"/>
          </w:tcPr>
          <w:p>
            <w:pPr>
              <w:spacing w:after="0"/>
              <w:rPr>
                <w:sz w:val="14"/>
                <w:szCs w:val="14"/>
                <w:color w:val="auto"/>
              </w:rPr>
            </w:pPr>
          </w:p>
        </w:tc>
        <w:tc>
          <w:tcPr>
            <w:tcW w:w="136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92"/>
              </w:rPr>
              <w:t>($/Sh)</w:t>
            </w: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95"/>
        </w:trPr>
        <w:tc>
          <w:tcPr>
            <w:tcW w:w="3720" w:type="dxa"/>
            <w:vAlign w:val="bottom"/>
            <w:gridSpan w:val="3"/>
          </w:tcPr>
          <w:p>
            <w:pPr>
              <w:spacing w:after="0" w:line="195" w:lineRule="exact"/>
              <w:rPr>
                <w:sz w:val="20"/>
                <w:szCs w:val="20"/>
                <w:color w:val="auto"/>
              </w:rPr>
            </w:pPr>
            <w:r>
              <w:rPr>
                <w:rFonts w:ascii="Arial" w:cs="Arial" w:eastAsia="Arial" w:hAnsi="Arial"/>
                <w:sz w:val="18"/>
                <w:szCs w:val="18"/>
                <w:color w:val="auto"/>
              </w:rPr>
              <w:t>Michael A. Metzger</w:t>
            </w:r>
          </w:p>
        </w:tc>
        <w:tc>
          <w:tcPr>
            <w:tcW w:w="780" w:type="dxa"/>
            <w:vAlign w:val="bottom"/>
          </w:tcPr>
          <w:p>
            <w:pPr>
              <w:spacing w:after="0"/>
              <w:rPr>
                <w:sz w:val="16"/>
                <w:szCs w:val="16"/>
                <w:color w:val="auto"/>
              </w:rPr>
            </w:pP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157,307</w:t>
            </w:r>
          </w:p>
        </w:tc>
        <w:tc>
          <w:tcPr>
            <w:tcW w:w="940" w:type="dxa"/>
            <w:vAlign w:val="bottom"/>
          </w:tcPr>
          <w:p>
            <w:pPr>
              <w:jc w:val="right"/>
              <w:ind w:right="744"/>
              <w:spacing w:after="0"/>
              <w:rPr>
                <w:sz w:val="20"/>
                <w:szCs w:val="20"/>
                <w:color w:val="auto"/>
              </w:rPr>
            </w:pPr>
            <w:r>
              <w:rPr>
                <w:rFonts w:ascii="Arial" w:cs="Arial" w:eastAsia="Arial" w:hAnsi="Arial"/>
                <w:sz w:val="11"/>
                <w:szCs w:val="11"/>
                <w:color w:val="auto"/>
                <w:w w:val="88"/>
              </w:rPr>
              <w:t>(2)</w:t>
            </w:r>
          </w:p>
        </w:tc>
        <w:tc>
          <w:tcPr>
            <w:tcW w:w="1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80" w:type="dxa"/>
            <w:vAlign w:val="bottom"/>
          </w:tcPr>
          <w:p>
            <w:pPr>
              <w:spacing w:after="0"/>
              <w:rPr>
                <w:sz w:val="16"/>
                <w:szCs w:val="16"/>
                <w:color w:val="auto"/>
              </w:rPr>
            </w:pPr>
          </w:p>
        </w:tc>
        <w:tc>
          <w:tcPr>
            <w:tcW w:w="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10.90</w:t>
            </w:r>
          </w:p>
        </w:tc>
        <w:tc>
          <w:tcPr>
            <w:tcW w:w="88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9/9/2025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100" w:type="dxa"/>
            <w:vAlign w:val="bottom"/>
            <w:gridSpan w:val="3"/>
          </w:tcPr>
          <w:p>
            <w:pPr>
              <w:jc w:val="right"/>
              <w:ind w:right="744"/>
              <w:spacing w:after="0"/>
              <w:rPr>
                <w:sz w:val="20"/>
                <w:szCs w:val="20"/>
                <w:color w:val="auto"/>
              </w:rPr>
            </w:pPr>
            <w:r>
              <w:rPr>
                <w:rFonts w:ascii="Arial" w:cs="Arial" w:eastAsia="Arial" w:hAnsi="Arial"/>
                <w:sz w:val="18"/>
                <w:szCs w:val="18"/>
                <w:color w:val="auto"/>
              </w:rPr>
              <w:t>328,933</w:t>
            </w:r>
            <w:r>
              <w:rPr>
                <w:rFonts w:ascii="Arial" w:cs="Arial" w:eastAsia="Arial" w:hAnsi="Arial"/>
                <w:sz w:val="11"/>
                <w:szCs w:val="11"/>
                <w:color w:val="auto"/>
              </w:rPr>
              <w:t>(2)</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7.20</w:t>
            </w:r>
          </w:p>
        </w:tc>
        <w:tc>
          <w:tcPr>
            <w:tcW w:w="8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6/1/2025</w:t>
            </w:r>
          </w:p>
        </w:tc>
        <w:tc>
          <w:tcPr>
            <w:tcW w:w="0" w:type="dxa"/>
            <w:vAlign w:val="bottom"/>
          </w:tcPr>
          <w:p>
            <w:pPr>
              <w:spacing w:after="0"/>
              <w:rPr>
                <w:sz w:val="1"/>
                <w:szCs w:val="1"/>
                <w:color w:val="auto"/>
              </w:rPr>
            </w:pPr>
          </w:p>
        </w:tc>
      </w:tr>
      <w:tr>
        <w:trPr>
          <w:trHeight w:val="325"/>
        </w:trPr>
        <w:tc>
          <w:tcPr>
            <w:tcW w:w="3720" w:type="dxa"/>
            <w:vAlign w:val="bottom"/>
            <w:gridSpan w:val="3"/>
          </w:tcPr>
          <w:p>
            <w:pPr>
              <w:spacing w:after="0"/>
              <w:rPr>
                <w:sz w:val="20"/>
                <w:szCs w:val="20"/>
                <w:color w:val="auto"/>
              </w:rPr>
            </w:pPr>
            <w:r>
              <w:rPr>
                <w:rFonts w:ascii="Arial" w:cs="Arial" w:eastAsia="Arial" w:hAnsi="Arial"/>
                <w:sz w:val="18"/>
                <w:szCs w:val="18"/>
                <w:color w:val="auto"/>
              </w:rPr>
              <w:t>Michael L. Meyers, M.D., Ph.D.</w:t>
            </w:r>
          </w:p>
        </w:tc>
        <w:tc>
          <w:tcPr>
            <w:tcW w:w="3100" w:type="dxa"/>
            <w:vAlign w:val="bottom"/>
            <w:gridSpan w:val="3"/>
          </w:tcPr>
          <w:p>
            <w:pPr>
              <w:jc w:val="right"/>
              <w:ind w:right="744"/>
              <w:spacing w:after="0"/>
              <w:rPr>
                <w:sz w:val="20"/>
                <w:szCs w:val="20"/>
                <w:color w:val="auto"/>
              </w:rPr>
            </w:pPr>
            <w:r>
              <w:rPr>
                <w:rFonts w:ascii="Arial" w:cs="Arial" w:eastAsia="Arial" w:hAnsi="Arial"/>
                <w:sz w:val="18"/>
                <w:szCs w:val="18"/>
                <w:color w:val="auto"/>
              </w:rPr>
              <w:t>52,400</w:t>
            </w:r>
            <w:r>
              <w:rPr>
                <w:rFonts w:ascii="Arial" w:cs="Arial" w:eastAsia="Arial" w:hAnsi="Arial"/>
                <w:sz w:val="11"/>
                <w:szCs w:val="11"/>
                <w:color w:val="auto"/>
              </w:rPr>
              <w:t>(3)</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10.90</w:t>
            </w:r>
          </w:p>
        </w:tc>
        <w:tc>
          <w:tcPr>
            <w:tcW w:w="8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jc w:val="right"/>
              <w:ind w:right="744"/>
              <w:spacing w:after="0"/>
              <w:rPr>
                <w:sz w:val="20"/>
                <w:szCs w:val="20"/>
                <w:color w:val="auto"/>
              </w:rPr>
            </w:pPr>
            <w:r>
              <w:rPr>
                <w:rFonts w:ascii="Arial" w:cs="Arial" w:eastAsia="Arial" w:hAnsi="Arial"/>
                <w:sz w:val="18"/>
                <w:szCs w:val="18"/>
                <w:color w:val="auto"/>
              </w:rPr>
              <w:t>109,679</w:t>
            </w:r>
            <w:r>
              <w:rPr>
                <w:rFonts w:ascii="Arial" w:cs="Arial" w:eastAsia="Arial" w:hAnsi="Arial"/>
                <w:sz w:val="11"/>
                <w:szCs w:val="11"/>
                <w:color w:val="auto"/>
              </w:rPr>
              <w:t>(3)</w:t>
            </w:r>
          </w:p>
        </w:tc>
        <w:tc>
          <w:tcPr>
            <w:tcW w:w="2280" w:type="dxa"/>
            <w:vAlign w:val="bottom"/>
            <w:gridSpan w:val="2"/>
            <w:vMerge w:val="restart"/>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8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Arlene M. Morris</w:t>
            </w:r>
          </w:p>
        </w:tc>
        <w:tc>
          <w:tcPr>
            <w:tcW w:w="3100" w:type="dxa"/>
            <w:vAlign w:val="bottom"/>
            <w:gridSpan w:val="3"/>
            <w:shd w:val="clear" w:color="auto" w:fill="CCEEFF"/>
          </w:tcPr>
          <w:p>
            <w:pPr>
              <w:jc w:val="right"/>
              <w:ind w:right="744"/>
              <w:spacing w:after="0"/>
              <w:rPr>
                <w:sz w:val="20"/>
                <w:szCs w:val="20"/>
                <w:color w:val="auto"/>
              </w:rPr>
            </w:pPr>
            <w:r>
              <w:rPr>
                <w:rFonts w:ascii="Arial" w:cs="Arial" w:eastAsia="Arial" w:hAnsi="Arial"/>
                <w:sz w:val="18"/>
                <w:szCs w:val="18"/>
                <w:color w:val="auto"/>
              </w:rPr>
              <w:t>25,667</w:t>
            </w:r>
            <w:r>
              <w:rPr>
                <w:rFonts w:ascii="Arial" w:cs="Arial" w:eastAsia="Arial" w:hAnsi="Arial"/>
                <w:sz w:val="11"/>
                <w:szCs w:val="11"/>
                <w:color w:val="auto"/>
              </w:rPr>
              <w:t>(4)</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12/18/2024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54,601</w:t>
            </w:r>
            <w:r>
              <w:rPr>
                <w:rFonts w:ascii="Arial" w:cs="Arial" w:eastAsia="Arial" w:hAnsi="Arial"/>
                <w:sz w:val="11"/>
                <w:szCs w:val="11"/>
                <w:color w:val="auto"/>
              </w:rPr>
              <w:t>(4)</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228,285</w:t>
            </w:r>
            <w:r>
              <w:rPr>
                <w:rFonts w:ascii="Arial" w:cs="Arial" w:eastAsia="Arial" w:hAnsi="Arial"/>
                <w:sz w:val="11"/>
                <w:szCs w:val="11"/>
                <w:color w:val="auto"/>
              </w:rPr>
              <w:t>(4)</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3"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37.5% of this option will vest upon the earlier of (i) June 22, 2016, the one year anniversary of the vesting commencement date, and (ii) the completion of this offering. Thereafter, the remainder will vest in equal monthly installments on the last day of each month over a three-year period of continuous service. This option is immediately exercisable. Shares of common stock issued upon exercise of an unvested option that has been “early exercised” are subject to the company’s right of repurchase within 90 days of termination of employment.</w:t>
      </w:r>
    </w:p>
    <w:p>
      <w:pPr>
        <w:spacing w:after="0" w:line="2"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37.5% of this option will vest upon the earlier of (i) May 5, 2016, the one year anniversary of the vesting commencement date, and (ii) the completion of this offering. Thereafter, the remainder will vest in equal monthly installments on the last day of each month over a three-year period of continuous service. This option is immediately exercisable. Shares of common stock issued upon exercise of an unvested option that has been “early exercised” are subject to the company’s right of repurchase within 90 days of termination of employment.</w:t>
      </w:r>
    </w:p>
    <w:p>
      <w:pPr>
        <w:spacing w:after="0" w:line="1"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25% of this option will vest on August 17, 2016, the one year anniversary of the vesting commencement date. Thereafter, the remainder will vest in equal monthly installments on the last day of each month over a three-year period of continuous service. This option is immediately exercisable. Shares of common stock issued upon exercise of an unvested option that has been “early exercised” are subject to the company’s right of repurchase within 90 days of termination of employment.</w:t>
      </w:r>
    </w:p>
    <w:p>
      <w:pPr>
        <w:spacing w:after="0" w:line="1"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accordance with our general release and post-separation consulting agreement with Ms. Morris, all of her options fully vested as of May 14, 2015. The outstanding options expire on January 14, 2017.</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Below are descriptions of our offer letters and severance arrangements with our former executive officers as well as new employment agreements with certain of our current executive officers.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Executive Officers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color w:val="auto"/>
        </w:rPr>
        <w:t xml:space="preserve">Briggs W. Morrison, M.D. </w:t>
      </w:r>
      <w:r>
        <w:rPr>
          <w:rFonts w:ascii="Arial" w:cs="Arial" w:eastAsia="Arial" w:hAnsi="Arial"/>
          <w:sz w:val="16"/>
          <w:szCs w:val="16"/>
          <w:color w:val="auto"/>
        </w:rPr>
        <w:t>We entered into a new employment agreement with Briggs W. Morrison, M.D. that becomes effective on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effectiveness of the registration statement of which this prospectus is a part. Dr. Morrison’s employment agreement provides for his at-will employment as our Chief Executive Officer. Dr. Morrison’s annual base salary is $501,000, which may be increased from time to time based on the review by our compensation committee. Upon the completion of this offering, Dr. Morrison’s annual base salary will be increased to $531,000. Dr. Morrison’s employment agreement further provides that he is eligible to earn an annual target performance bonus of up to 40% of his annual base salary upon attainment of objectives to be determined by our board of directors or our compensation committee, which bonus for the 2015 calendar year, if applicable, will be pro-rated based on Dr. Morrison’s start date with us. Upon the completion of this offering, Dr. Morrison will be eligible to receive a one-time bonus equal to $100,000.</w:t>
      </w:r>
    </w:p>
    <w:p>
      <w:pPr>
        <w:spacing w:after="0" w:line="119"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Pursuant to his employment agreement, Dr. Morrison also is entitled to reimbursement for all necessary and reasonable business expenses incurred in connection with his duties in accordance with our generally applicable policies. Additionally, we have agreed to reimburse, or pay for, all reasonable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expenses incurred by Dr. Morrison in connection with commuting between our Waltham office and his current principal residence, including Dr. Morrison’s actual and reasonable living expenses incurred in the Waltham area and his current principal residence. If Dr. Morrison decides to relocate his residence to Waltham, we have agreed to pay Dr. Morrison for ordinary and necessary expenses incurred by him as a result of his relocation.</w:t>
      </w:r>
    </w:p>
    <w:p>
      <w:pPr>
        <w:spacing w:after="0" w:line="107"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Dr. Morrison’s employment agreement further provides that in the event his employment is terminated without “cause,” as defined in his employment agreement, or he terminates his employment for “good reason,” as defined in his employment agreement, he is entitled to (i) a lump sum severance payment equal to 12 months base salary, (ii) a portion of his annual target performance bonus in effect as of the termination based on the number of days Dr. Morrison was employed in the year of termination, (iii) payment on his behalf of up to 18 months of health insurance benefits continuation, (iv) with respect to equity awards granted to Dr. Morrison prior to the date of his termination, accelerated vesting and the lapse of any reacquisition or repurchase rights we hold with respect to such equity awards for the portion of such equity awards that would have otherwise vested within the 12-month period following the date of Dr. Morrison’s termination of employment without cause or for good reason were he to remain employed with us during such 12-month period and (v) an extension on the time period during which Dr. Morrison has to exercise any options that are held by him on the date of his termination of employment to the shorter of (A) 12 months or</w:t>
      </w:r>
    </w:p>
    <w:p>
      <w:pPr>
        <w:spacing w:after="0" w:line="4" w:lineRule="exact"/>
        <w:rPr>
          <w:sz w:val="20"/>
          <w:szCs w:val="20"/>
          <w:color w:val="auto"/>
        </w:rPr>
      </w:pPr>
    </w:p>
    <w:p>
      <w:pPr>
        <w:jc w:val="both"/>
        <w:ind w:right="20" w:firstLine="8"/>
        <w:spacing w:after="0" w:line="300" w:lineRule="auto"/>
        <w:tabs>
          <w:tab w:leader="none" w:pos="278"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remaining term of the option. If Dr. Morrison’s employment is terminated without cause or he terminates his employment for good reason within three months prior to or 12 months after a “change in control,” as defined in his employment agreement, he is instead entitled to (a) a lump sum severance payment equal to the sum of 12 months base salary and 100% of the greater of (1) the average annual target performance bonus paid to him for the preceding three years or</w:t>
      </w:r>
    </w:p>
    <w:p>
      <w:pPr>
        <w:spacing w:after="0" w:line="1" w:lineRule="exact"/>
        <w:rPr>
          <w:rFonts w:ascii="Arial" w:cs="Arial" w:eastAsia="Arial" w:hAnsi="Arial"/>
          <w:sz w:val="15"/>
          <w:szCs w:val="15"/>
          <w:color w:val="auto"/>
        </w:rPr>
      </w:pPr>
    </w:p>
    <w:p>
      <w:pPr>
        <w:ind w:right="40"/>
        <w:spacing w:after="0" w:line="288" w:lineRule="auto"/>
        <w:rPr>
          <w:rFonts w:ascii="Arial" w:cs="Arial" w:eastAsia="Arial" w:hAnsi="Arial"/>
          <w:sz w:val="15"/>
          <w:szCs w:val="15"/>
          <w:color w:val="auto"/>
        </w:rPr>
      </w:pPr>
      <w:r>
        <w:rPr>
          <w:rFonts w:ascii="Arial" w:cs="Arial" w:eastAsia="Arial" w:hAnsi="Arial"/>
          <w:sz w:val="16"/>
          <w:szCs w:val="16"/>
          <w:color w:val="auto"/>
        </w:rPr>
        <w:t>(2) his annual target performance bonus in effect as of the change in control, (b) payment on his behalf of up to 18 months of health insurance benefits continuation and (c) full accelerated vesting on all of his unvested options and the lapse of any reacquisition or repurchase rights we hold with respect to any other equity award granted to him pursuant to any of our equity incentive plans and (d) an extension on the time period during which Dr. Morrison has to exercise any options that are held by him on the date of his termination of employment to the shorter of (A) 12 months or (B) the remaining term of the option. In order to receive his severance benefits, Dr. Morrison must sign a general release of claims. Dr. Morrison’s employment agreement further provides that upon a “change in control,” as defined in his employment agreement, with an aggregate purchase price of at least $640 million, Dr. Morrison will be eligible to receive an additional one-time bonus equal to his then current annual base salary.</w:t>
      </w:r>
    </w:p>
    <w:p>
      <w:pPr>
        <w:spacing w:after="0" w:line="12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In addition, Dr. Morrison’s employment agreement provides that in the event the severance and other benefits provided for or otherwise payable to</w:t>
      </w:r>
    </w:p>
    <w:p>
      <w:pPr>
        <w:spacing w:after="0" w:line="3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Dr. Morrison constitute “parachute payments” within the meaning of Section 280G of the Code and are subject to the excise tax imposed by Section 4999 of the Code, we will pay either (i) Dr. Morrison’s severance benefits under the employment agreement in full or (ii) only a part of Dr. Morrison’s severance benefits under the employment agreement such that Dr. Morrison receives the largest payment possible without the imposition of the excise tax, in each case, depending upon which alternative would result in Dr. Morrison receiving the greater net after-tax payment.</w:t>
      </w:r>
    </w:p>
    <w:p>
      <w:pPr>
        <w:spacing w:after="0" w:line="109"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Michael A. Metzger. </w:t>
      </w:r>
      <w:r>
        <w:rPr>
          <w:rFonts w:ascii="Arial" w:cs="Arial" w:eastAsia="Arial" w:hAnsi="Arial"/>
          <w:sz w:val="18"/>
          <w:szCs w:val="18"/>
          <w:color w:val="auto"/>
        </w:rPr>
        <w:t>We entered into a new employment agreement Michael A. Metzger that becomes effective on the date of effectiveness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statement of which this prospectus is a part. Mr. Metzger’s employment agreement provides for his at-will employment as our President and Chief Operating Officer. Mr. Metzger’s annual base salary is $450,000, which may be increased from time to time based on the review by our compensation committee. Upon the completion of this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offering, Mr. Metzger’s annual base salary will be increased to $475,000. Mr. Metzger’s employment agreement further provides that he is eligible to earn an annual target performance bonus of up to 40% of his annual base salary upon attainment of objectives to be determined by our board of directors or our compensation committee, which bonus for the 2015 calendar year, if applicable, will be pro-rated based on Mr. Metzger’s start date with us. Upon the completion of this offering, Mr. Metzger will be eligible to receive a one-time bonus equal to $40,000.</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Pursuant to his employment agreement, Mr. Metzger also is entitled to reimbursement for all necessary and reasonable business expenses incurred in connection with his duties in accordance with our generally applicable policies. Additionally, we have agreed to reimburse, or pay for, all reasonable expenses incurred by Mr. Metzger in connection with commuting between our Waltham office and his current principal residence, including Mr. Metzger’s actual and reasonable living expenses incurred in the Waltham area and his current principal residence. If Mr. Metzger decides to relocate his residence to Waltham, we have agreed to pay Mr. Metzger up to $50,000 for ordinary and necessary expenses incurred by him as a result of his relocation.</w:t>
      </w:r>
    </w:p>
    <w:p>
      <w:pPr>
        <w:spacing w:after="0" w:line="116"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Mr. Metzger’s employment agreement further provides that in the event his employment is terminated without “cause,” as defined in his employment agreement, or he terminates his employment for “good reason,” as defined in his employment agreement, he is entitled to (i) a lump sum severance payment equal to 12 months base salary, (ii) a portion of his annual target performance bonus in effect as of the termination based on the number of days Mr. Metzger was employed in the year of termination, (iii) payment on his behalf of up to 18 months of health insurance benefits continuation, (iv) with respect to equity awards granted to Mr. Metzger prior to the date of his termination, accelerated vesting and the lapse of any reacquisition or repurchase rights we hold with respect to such equity awards for the portion of such equity awards that would have otherwise vested within the 12-month period following the date of Mr. Metzger’s termination of employment without cause or for good reason were he to remain employed with us during such 12-month period and (v) an extension on the time period during which Mr. Metzger has to exercise any options that are held by him on the date of his termination of employment to the shorter of (A) 12 months or (B) the remaining term of the option. If Mr. Metzger’s employment is terminated without cause or he terminates his employment for good reason within three months prior to or 12 months after a “change in control,” as defined in his employment agreement, he is instead entitled to (a) a lump sum severance payment equal to the sum of 12 months base salary and 100% of the greater of (1) the average annual target performance bonus paid to him for the preceding three years or (2) his annual target performance bonus in effect as of the change in control, (b) payment on his behalf of up to 18 months of health insurance benefits continuation and</w:t>
      </w:r>
    </w:p>
    <w:p>
      <w:pPr>
        <w:spacing w:after="0" w:line="3" w:lineRule="exact"/>
        <w:rPr>
          <w:sz w:val="20"/>
          <w:szCs w:val="20"/>
          <w:color w:val="auto"/>
        </w:rPr>
      </w:pPr>
    </w:p>
    <w:p>
      <w:pPr>
        <w:ind w:left="240" w:hanging="232"/>
        <w:spacing w:after="0"/>
        <w:tabs>
          <w:tab w:leader="none" w:pos="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full accelerated vesting on all of his unvested options and the lapse of any reacquisition or repurchase rights we hold with respect to any other equity award</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granted to him pursuant to any of our equity incentive plans and (d) an extension on the time period during which Mr. Metzger has to exercise any options that are held by him on the date of his termination of employment to the shorter of (A) 12 months or (B) the remaining term of the option. In order to receive his severance benefits, Mr. Metzger must sign a general release of claims. Mr. Metzger’s employment agreement further provides that upon a “change in control,” as defined in his employment agreement, with an aggregate purchase price of at least $640 million, Mr. Metzger will be eligible to receive an additional one-time bonus equal to his then current annual base salary.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Metzger employment agreement provides that in the event the severance and other benefits provided for or otherwise payable to</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Mr. Metzger constitute “parachute payments” within the meaning of Section 280G of the Code and are subject to the excise tax imposed by Section 4999 of the Code, we will pay either (i) Mr. Metzger’s severance benefits under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employment agreement in full or (ii) only a part of Mr. Metzger’s severance benefits under the employment agreement such that Mr. Metzger receives the largest payment possible without the imposition of the excise tax, in each case, depending upon which alternative would result in Mr. Metzger receiving the greater net after-tax payment.</w:t>
      </w:r>
    </w:p>
    <w:p>
      <w:pPr>
        <w:spacing w:after="0" w:line="13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Michael L. Meyers, M.D., Ph.D. </w:t>
      </w:r>
      <w:r>
        <w:rPr>
          <w:rFonts w:ascii="Arial" w:cs="Arial" w:eastAsia="Arial" w:hAnsi="Arial"/>
          <w:sz w:val="16"/>
          <w:szCs w:val="16"/>
          <w:color w:val="auto"/>
        </w:rPr>
        <w:t>We entered into a new employment agreement with Michael L. Meyers M.D., Ph.D. that becomes effective on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of effectiveness of the registration statement of which this prospectus is a part. Dr. Meyers’ employment agreement provides for his at-will employment as our Senior Vice President, Chief Development Officer. Pursuant to Dr. Meyers’ employment agreement, Dr. Meyers’ annual base salary is $375,000, and may be increased from time to time based on the review of our compensation committee. Dr. Meyers’ employment agreement further provides that he is eligible to earn an annual target performance bonus of up to 35% of his annual base salary upon attainment of objectives to be determined by our board of directors or our compensation committee, which bonus for the 2015 calendar year, if applicable, will be pro-rated based on Dr. Meyers’ start date with us. Dr. Meyers also is entitled to reimbursement for all necessary and reasonable business expenses incurred in connection with his duties in accordance with our generally applicable policies.</w:t>
      </w:r>
    </w:p>
    <w:p>
      <w:pPr>
        <w:spacing w:after="0" w:line="118"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Dr. Meyers’ employment agreement further provides that in the event his employment is terminated without “cause,” as defined in his employment agreement, or he terminates his employment for “good reason,” as defined in his employment agreement, he is entitled to (i) a lump sum severance payment equal to six months base salary and (ii) payment on his behalf of up to 12 months of health insurance benefits continuation. If Dr. Meyers’ employment is terminated without cause or he terminates his employment for good reason within three months prior to or 12 months after a “change in control” of us, as defined in his employment agreement, he is instead entitled to (a) a lump sum severance payment equal to the sum of 12 months base salary and 100% of the greater of (1) the average annual target performance bonus paid to him for the preceding three years or (2) his annual target performance bonus in effect as of the change in control,</w:t>
      </w:r>
    </w:p>
    <w:p>
      <w:pPr>
        <w:spacing w:after="0" w:line="1" w:lineRule="exact"/>
        <w:rPr>
          <w:sz w:val="20"/>
          <w:szCs w:val="20"/>
          <w:color w:val="auto"/>
        </w:rPr>
      </w:pPr>
    </w:p>
    <w:p>
      <w:pPr>
        <w:ind w:right="40" w:firstLine="8"/>
        <w:spacing w:after="0" w:line="255" w:lineRule="auto"/>
        <w:tabs>
          <w:tab w:leader="none" w:pos="249" w:val="left"/>
        </w:tabs>
        <w:numPr>
          <w:ilvl w:val="0"/>
          <w:numId w:val="75"/>
        </w:numPr>
        <w:rPr>
          <w:rFonts w:ascii="Arial" w:cs="Arial" w:eastAsia="Arial" w:hAnsi="Arial"/>
          <w:sz w:val="18"/>
          <w:szCs w:val="18"/>
          <w:color w:val="auto"/>
        </w:rPr>
      </w:pPr>
      <w:r>
        <w:rPr>
          <w:rFonts w:ascii="Arial" w:cs="Arial" w:eastAsia="Arial" w:hAnsi="Arial"/>
          <w:sz w:val="18"/>
          <w:szCs w:val="18"/>
          <w:color w:val="auto"/>
        </w:rPr>
        <w:t>payment on his behalf of up to 12 months of health insurance benefits continuation and (c) full accelerated vesting on all of his unvested options and the lapse of any reacquisition or repurchase rights we hold with respect to any other equity award granted to him pursuant to any of our equity incentive plans. In order to receive his severance benefits, Dr. Meyers must sign a general release of claims.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Dr. Meyers’ employment agreement provides that in the event the severance and other benefits provided for or otherwise payable to</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Dr. Meyers’ constitute “parachute payments” within the meaning of Section 280G of the Code and are subject to the excise tax imposed by Section 4999 of the Code, we will pay either (i) Dr. Meyers’ severance benefits under the employment agreement in full or (ii) only a part of Dr. Meyers’ severance benefits under the employment agreement such that Dr. Meyers receives the largest payment possible without the imposition of the excise tax, in each case, depending upon which alternative would result in Dr. Meyers receiving the greater net after-tax payment.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Former Chief Executive Officer</w:t>
      </w:r>
    </w:p>
    <w:p>
      <w:pPr>
        <w:spacing w:after="0" w:line="165"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 xml:space="preserve">Arlene M. Morris. </w:t>
      </w:r>
      <w:r>
        <w:rPr>
          <w:rFonts w:ascii="Arial" w:cs="Arial" w:eastAsia="Arial" w:hAnsi="Arial"/>
          <w:sz w:val="16"/>
          <w:szCs w:val="16"/>
          <w:color w:val="auto"/>
        </w:rPr>
        <w:t>We entered into an offer letter with Arlene M. Morris, our former President and Chief Executive Officer, in May 2012, which governed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terms of her at-will employment with us prior to her resignation in May 2015. Pursuant to the offer letter, Ms. Morris was entitled to an annual base salary of $400,000, which increased to $424,360 in 2014, and was eligible to receive an annual target performance bonus of up to 40% of her annual base salary upon attainment of objectives to be determined by our board of directors. Ms. Morris was entitled to reimbursement for all necessary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and reasonable business expenses incurred in connection with her duties in accordance with our generally applicable policies. Additionally, we agreed to reimburse, or pay for, all reasonable expenses incurred by Ms. Morris in connection with commuting between our Waltham office and her current principal residence, including Ms. Morris’s actual and reasonable living expenses incurred in the Boston area and her actual and reasonable commuting expenses incurred between Waltham and her current principal residence, up to a maximum of $10,000 per month.</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her resignation in May 2015, Ms. Morris entered into a general release and post-separation consulting agreement in May 2015. Pursuant to Ms. Morris’ general release and post-separation consulting agreement and in consideration of providing us with consulting services through July 13, 2015, Ms. Morris received a consulting fee of approximately $36,425 per month for two months. Additionally, pursuant to Ms. Morris’ separation agreement and post-separation consulting agreement (a) Ms. Morris received a lump sum payment equal to $437,090, which was an amount equal to 12 months of Ms. Morris’ monthly base salary on the date of her termination, 60 days after her termination date, (b) Ms. Morris is entitled to receive a payment on her behalf of up to 12 months of health insurance benefits continuation, (c) all unvested options held by Ms. Morris on her termination date fully vested and Ms. Morris has the right to exercise such options until and including January 13, 2017 and (d) Ms. Morris received a lump sum bonus of $100,000 as a result of the closing of the Series C-1 financing, which was determined at the discretion of our board of directors. Ms. Morris also received $5,038 reimbursement of her legal fees incurred in connection with the negotiation of her separation agreement and post-separation consulting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named executive officers are eligible to participate in all of our employee benefit plans, such as medical, dental, vision, group life, short and long-term disability and our 401(k) plan, in each case on the same basis as other employees, subject to applicable laws. We also provide vacation and other paid holidays to all employees, including our named executive officers. We believe these benefits are important to attracting and retaining experienced executives. Like many private companies, we do not currently provide perquisites to our executive officers, given our attention to the cost-benefit tradeoff of such benefits, and our board of directors’ knowledge of the benefit offerings at other private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71"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Section 162(m) of the Code generally disallows a tax deduction for compensation in excess of $1.0 million paid to our Chief Executive Officer and our three other most highly paid executive officers other than our principal financial officer. Qualifying performance-based compensation is not subject to the deduction limitation if specified requirements are met. We generally intend to structure the performance-based portion of our executive compensation, when feasible, to comply with exemptions in Section 162(m) so that the compensation remains tax deductible to us. However, our board of directors may, in its judgment, authorize compensation payments that do not comply with the exemptions in Section 162(m) when it believes that such payments are appropriate to attract and retain executive talent.</w:t>
      </w:r>
    </w:p>
    <w:p>
      <w:pPr>
        <w:spacing w:after="0" w:line="14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compensation committee also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we account for equity compensation paid to our employees in accordance with ASC 718, which requires us to estimate and record an expense over the service period of the award. We record cash compensation as an expense at the time the obligation is accrued. The accounting impact of our compensation programs is one of many factors that we consider in determining the size and structure of our programs.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Omnibus Incentive Plan</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board of directors adopted the 2015 Plan in September 2015, and our stockholders approved the 2015 Plan in February 2016. The 2015 Plan will become effective upon completion of this offering. We believe adoption and maintenance of the 2015 Plan will help us attract and retain executive officers, other employees and service providers, as well as our non-employee directors. We believe that awarding grants to our executive officers and others will stimulate their efforts toward our continued success, long-term growth and profitability. The 2015 Plan will provide for the grant of stock options, stock appreciation rights, restricted stock, unrestricted stock, stock units, dividend equivalent rights, performance awards, annual incentive awards and other equity-based awards. We will reserve 1,750,000 shares of common stock (which includes 350,760 shares reserved for issuance under our 2007 Plan as of December 31, 2015) for issuance pursuant to the 2015 Plan, subject to certain adjustments set forth in the 2015 Plan. Any shares of common stock related to awards outstanding under the 2007 Plan upon completion of this offering, which thereafter terminate by expiration, forfeiture, cancellation or otherwise without the issuance of such shares will be added to, and included in, the 2015 Plan reserve amount. In addition, effective January 1, 2017 and continuing until the expiration of the 2015 Plan, the number of shares of common stock available for issuance under the 2015 Plan will automatically increase annually by an amount equal to the lesser of (i) 4% of the total number of issued and outstanding shares of our common stock as of December 31 of the immediately preceding year and (ii) the number of shares (which may be zero) as determined in the discretion of our board of directors by action taken prior to the beginning of that calendar year. A maximum of 1,750,000 shares of common stock reserved for issuance under the 2015 Plan will be available for issuance as incentive stock options. This summary is qualified in its entirety by the detailed provisions of the 2015 Plan, which is filed as an exhibit to the registration statement of which this prospectus is a part.</w:t>
      </w:r>
    </w:p>
    <w:p>
      <w:pPr>
        <w:spacing w:after="0" w:line="128"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Section 162(m) of the Code limits publicly held companies to an annual deduction for U.S. federal income tax purposes of $1,000,000 for compensation paid to each of their Chief Executive Officer and their three highest compensated executive officers (other than the Chief Executive Officer and the principal financial officer) determined at the end of each year, who are referred to as covered employees. However, certain performance-based compensation is excluded from this limitation. The 2015 Plan is designed to permit the compensation committee to grant awards that qualify as performance-based compensation for purposes of satisfying the conditions of Section 162(m) of the Code, but the 2015 Plan does not require that awards qualify for this exemption.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 of the 2015 Plan</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Our compensation committee will administer the 2015 Plan and determine all terms of awards under the 2015 Plan. Each member of our compensation committee who administers the 2015 Plan will be both a “non-employee director” within the meaning of Rule 16b-3 of the Exchange Act, and an “outside director” within the meaning of Section 162(m) of the Code. Our compensation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will also determine who will receive awards under the 2015 Plan, the type of award and its terms and conditions and the number of shares of our common stock subject to the award, if the award is equity-based. Our compensation committee will also interpret the provisions of the 2015 Plan. During any period of time in which we do not have a compensation committee, our board of directors or another committee appointed by our board of directors will administer the 2015 Plan. References below to the compensation committee include a reference to the board of directors or another committee appointed by the board of directors for those periods in which the board of directors or such other committee appointed by the board of directors is acting.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All of our employees and the employees of our affiliates will be eligible to receive awards under the 2015 Plan. In addition, our non-employee directors and consultants and advisors who perform services for us and our affiliates may receive awards under the 2015 Plan, other than incentive stock options.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Authorization</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reserved 1,750,000 shares of common stock for issuance under the 2015 Plan, which includes all shares of common stock that remain available for issuance under the 2007 Plan as of the completion of this offering. In connection with stock splits, dividends, recapitalizations and certain other events, our board of directors will make proportionate adjustments that it deems appropriate in the aggregate number of shares of common stock that we may issue under the 2015 Plan and the terms of outstanding awards. If any shares of stock covered by an award granted under the 2015 Plan or the 2007 Plan are not purchased or are forfeited or expire, or if an award otherwise terminates without delivery of any shares of stock subject thereto, or is settled in cash in lieu of shares of stock, then the number of shares of stock counted against the aggregate number of shares of stock available under the 2015 Plan with respect to such award will again be available for making awards under the 2015 Plan.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During any time that the transition period under Section 162(m) of the Code has expired or does not apply, the maximum number of shares of common stock subject to options or stock appreciation rights that we will be able to issue under the 2015 Plan to any person will be 437,500 in any single calendar year. The maximum number of shares of common stock that we will be able to issue under the 2015 Plan to any person other than pursuant to an option or stock appreciation right will be 218,750 in any single calendar year. The maximum amount that any one person may earn as a cash-denominated annual incentive award in any calendar year in respect of a performance period of 12 months or less will be $1,000,000 and the maximum amount that any one person may earn as a cash-denominated performance award in respect of a performance period greater than 12 months will be $3,000,000.</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2015 Plan will authorize our compensation committee to grant incentive stock options (under Section 421 of the Code) and options that do not qualify as incentive stock options, or non-qualified stock options. Our compensation committee will determine the exercise price of each option, provided that the price will be equal to at least the fair market value of the shares of common stock on the date on which the option is granted. If we were to grant incentive stock options to any 10% stockholder, the exercise price may not be less than 110% of the fair market value of our shares of common stock on the date of grant.</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term of an option cannot exceed 10 years from the date of grant. If we were to grant incentive stock options to any 10% stockholder, the term cannot exceed five years from the date of grant.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compensation committee will determine at what time or times each option may be exercised and the period of time, if any, after retirement, death, disability or termination of employment during which options may be exercised. Options may be made exercisable in installments. The compensation committee may accelerate the exercisability of options. Except in connection with a corporate transaction involving us, our compensation committee may not, without stockholder approval, reduce the exercise price of an option after the grant of the option, cancel an outstanding option in exchange for or substitution of a new option having an exercise price below that of the option that was surrendered, or cancel an outstanding option with an exercise price above the current share price in exchange for cash or other securities.</w:t>
      </w:r>
    </w:p>
    <w:p>
      <w:pPr>
        <w:spacing w:after="0" w:line="144"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an optionee during any calendar year under all of our stock plans may not exceed $100,000. We will generally treat options or portions thereof that exceed such limit as non-qualified stock options.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2015 Plan will authorize our compensation committee to grant stock appreciation rights that provide the recipient with the right to receive, upon exercise of the stock appreciation right, cash, shares of common stock or a combination of the two. The amount that the recipient will receive upon exercise of the stock appreciation right generally will equal the excess of the fair market value of our common stock on the date of exercise over the shares’ fair market value on the date of grant. Stock appreciation rights will become exercisable in accordance with terms determined by our compensation committee. Stock appreciation rights may be granted in tandem with an option grant or independently from an option grant. The term of a stock appreciation right cannot exceed 10 years from the date of grant.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Awards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2015 Plan will also provide for the grant of stock awards (which includes restricted stock and unrestricted stock). A stock award is an award of shares of common stock that may be subject to restrictions on transferability and other restrictions as our compensation committee determines in its sole discretion on the date of grant. The restrictions, if any, may lapse over a specified period of time or through the satisfaction of conditions, in installments or otherwise, as our compensation committee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 reinvested in shares. During the period, if any, when stock awards are non-transferable or forfeitable, a participant is prohibited from selling, transferring, assigning, pledging or otherwise encumbering or disposing of his or her award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Units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2015 Plan also authorizes our compensation committee to grant stock units. Stock units represent the participant’s right to receive a compensation amount, based on the value of the shares of common stock, if vesting criteria established by the compensation committee are met. If the vesting criteria are met, we will pay stock units in cash, shares of common stock or a combination of the two.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71"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Under the 2015 Plan, we may provide for performance-based bonuses payable in cash upon the attainment of performance goals that the compensation committee establishes related to one or more performance criteria described in the 2015 Plan over a performance period of up to one year. Like other performance-based awards, cash performance bonuses, for which there is no minimum payout, must be based upon objectively determinable bonus formulas established in accordance with the 2015 Plan, as determined by our compensation committee.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Equivalent Rights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compensation committee may grant dividend equivalent rights in connection with the grant of any equity-based award other than options and appreciation rights. Dividend equivalent rights may be paid currently or may be deemed to be reinvested in additional shares of stock, which may thereafter accrue additional dividend equivalent rights, and may be payable in cash, shares of common stock or a combination of the two. Our compensation committee will determine the terms of any dividend equivalent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2015 Plan will permit the grant of performance-based stock and cash awards that may qualify as performance-based compensation not subject to the $1,000,000 limitation on the income tax deductibility of compensation paid to a covered employee imposed by Section 162(m) of the Code. Under the 2015 Plan, our compensation committee may structure such awards so that stock is issued or cash is paid pursuant to such award only upon achievement of the performance goals set by our compensation committee at the beginning of the designated performance period which may be up to 10 years.</w:t>
      </w:r>
    </w:p>
    <w:p>
      <w:pPr>
        <w:spacing w:after="0" w:line="113" w:lineRule="exact"/>
        <w:rPr>
          <w:sz w:val="20"/>
          <w:szCs w:val="20"/>
          <w:color w:val="auto"/>
        </w:rPr>
      </w:pPr>
    </w:p>
    <w:p>
      <w:pPr>
        <w:ind w:right="500" w:firstLine="456"/>
        <w:spacing w:after="0" w:line="305" w:lineRule="auto"/>
        <w:rPr>
          <w:sz w:val="20"/>
          <w:szCs w:val="20"/>
          <w:color w:val="auto"/>
        </w:rPr>
      </w:pPr>
      <w:r>
        <w:rPr>
          <w:rFonts w:ascii="Arial" w:cs="Arial" w:eastAsia="Arial" w:hAnsi="Arial"/>
          <w:sz w:val="15"/>
          <w:szCs w:val="15"/>
          <w:color w:val="auto"/>
        </w:rPr>
        <w:t>We may select performance goals based on one or more of the following measures: (1) net earnings or net income; (2) operating earnings; (3) pretax earnings; (4) earnings per share of stock; (5) stock price, including growth measures and total stockholder return; (6) earnings before interest and taxes;</w:t>
      </w:r>
    </w:p>
    <w:p>
      <w:pPr>
        <w:ind w:firstLine="8"/>
        <w:spacing w:after="0" w:line="285" w:lineRule="auto"/>
        <w:tabs>
          <w:tab w:leader="none" w:pos="249"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earnings before interest, taxes, depreciation and/or amortization; (8) earnings before interest, taxes, depreciation and/or amortization as adjusted to exclude any one or more of the following: (i) stock-based compensation expense; (ii) income from discontinued operations; (iii) gain on cancellation of debt; (iv) debt extinguishment and related costs; (v) restructuring, separation, and/or integration charges and costs; (vi) reorganization and/or recapitalization charges and costs; (vii) impairment charges; (viii) merger-related events; (ix) gain or loss related to investments; (x) sales and use tax settlements; and (xi) gain on non-monetary transactions; (9) sales or revenue growth, whether in general, by type of product or service, or by type of customer; (10) gross or operating margins; (11) return measures, including return on assets, capital, investment, equity, sales or revenue; (12) cash flow, including operating cash flow, free cash flow, cash flow return on equity and cash flow return on investment; (13) productivity ratios; (14) expense targets; (15) market share; (16) financial ratios as provided in credit agreements of the company and its subsidiaries; (17) working capital targets; (18) completion of acquisitions of business or companies; (19) completion of divestitures and asset sales; (20) revenues under management; (21) funds from operations; (22) successful implementation of clinical trials, including components thereof; (23) submitting regulatory filings; (24) obtaining regulatory or marketing approvals; (25) entering into contractual agreements; (26) meeting contractual requirements; (27) achieving contractual milestones; (28) entering into collaborations; (29) receipt of grant funding; (30) developing or expanding manufacturing or production capacity; and (31) any combination of any of the foregoing business criteria.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may base performance goals on a company-wide basis, with respect to one or more business units, divisions, affiliates or business segments, and in either absolute terms or relative to the performance of one or more comparable companies or the performance of one or more relevant indices. We may not adjust upward any awards that we intend to qualify as performance-based compensation under Section 162(m) of the Code. The plan administrator will retain the discretion to adjust performance-based awards downward, either on a formula or discretionary basis, or any combination as the compensation committee determines. Performance goals may differ from participant to participant and from award to award.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Equity-Based Awards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may grant other types of equity-based awards under the 2015 Plan. Other equity-based awards may be payable in cash, shares of common stock or other equity, or a combination thereof, and may be restricted or unrestricted, as determined by our compensation committee. The terms and conditions that apply to other equity-based awards are determined by the compensation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If we experience a change in control (as defined in the 2015 Plan) in which outstanding equity-based awards will not be assumed or continued by the surviving entity, unless otherwise provided in an award agreement, all restricted shares, stock units and dividend equivalent rights will vest, and the underlying shares will be delivered immediately before the change in control. In addition, all options and stock appreciation rights will become exercisable 15 days before the change in control and terminate upon the consummation of the change in control, and/or, in the discretion of our board of directors, all options, stock appreciation rights, restricted shares, stock units and dividend equivalent rights may be canceled before the change in control in exchange for payment of any amount in cash or securities having a value (as determined by our board of directors), in the case of restricted shares, stock units and dividend equivalent rights equal to the formula or fixed price per share paid to our stockholders and, in the case of options and stock appreciation rights equal to the product of the number of shares subject to the options or stock appreciation rights multiplied by the amount by which the formula or fixed price paid to our stockholders exceeds the exercise price of each option or the stock appreciation right. In the case of performance awards denominated in shares or units, if more than half of the performance period has lapsed, the awards will be converted into shares or units based upon actual performance achieved to date. If less than half of the performance period has lapsed, or if we cannot determine actual performance, the awards will be converted into shares or units assuming target performance has been achieved.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may amend, suspend or terminate the 2015 Plan at any time; provided that no amendment, suspension or termination may adversely impair the rights of participants or obligations of ours under outstanding awards. Our stockholders must approve any amendment if such approval is required under applicable law or NASDAQ Listing Rules. Unless terminated sooner by our board of directors or extended with stockholder approval, the 2015 Plan will terminate on the 10th anniversary of the date of the completion of this offering.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January 2007, our board of directors and our stockholders adopted the 2007 Plan. The 2007 Plan was most recently amended by our board of directors on August 18, 2015, which amendment was approved by our stockholders on August 20, 2015. Our board of directors administers the 2007 Plan. Our board of directors has determined not to grant any additional awards under the 2007 Plan after the completion of this offering. However, the 2007 Plan will continue to govern the terms and conditions of the outstanding awards granted under the 2007 Plan which, as of December 31, 2015, constitute stock options to purchase 2,606,195 shares of our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Reserve</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As of December 31, 2015, a total of 3,003,374 shares of our common stock had been authorized for issuance under the 2007 Plan. As of December 31, 2015, options to purchase a total of 2,606,195 shares of our common stock were issued and outstanding, a total of 46,419 shares of our common stock had been issued upon the exercise of options or pursuant to other awards granted under the 2007 Plan, and 350,760 shares remained available for future grant. Such remaining share balance will become available for issuance under the 2015 Plan upon completion of this offering.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2007 Plan provides for the grant of incentive stock options, non-statutory stock options and stock purchase rights to our employees, directors and consultants. Our 2007 Plan provides for the grant of incentive stock options, within the meaning of Section 422 of the Code, only to our employees or any of our “parent corporations” or “subsidiary corporations” (as such terms are defined in Sections 424(e) and (f) of the Code). Our board of directors has the authority to determine the terms and conditions of the awards granted under the 2007 Plan.</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2007 Plan does not allow for the transfer of option awards or stock purchase rights other than by will or the laws of descent and distribution, and only the recipient of an award or a permitted transferee may exercise such award during his or her lifetime. Our board of directors, however, may in its discretion grant non-statutory stock options that may be transferred by instrument to an inter vivos or testamentary trust, or by gift or to an immediate family member.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Transaction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2007 Plan provides that in the event of our merger with or into another corporation, or a sale of all or substantially all of our assets, the successor corporation or its parent or subsidiary may assume or substitute for each outstanding award. If the outstanding awards are not assumed or substituted, such awards will terminate upon the consummation of the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board of directors adopted the ESPP in September 2015, and our stockholders approved the ESPP in February 2016. The ESPP will become effective upon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reserved 250,000 shares of common stock for purchase by our eligible employees. In addition, effective January 1, 2017 and continuing until the expiration of the ESPP, the number of shares of common stock available for purchase by our eligible employees under the ESPP will automatically increase annually on January 1, in an amount equal to the lesser of (i) 1% of the total number of issued and outstanding shares of our common stock as of December 31 of the immediately preceding year, or (ii) 250,000 shares of our common stock, except that our board of directors may act prior to January 1 of any calendar year to provide for an increase of a lesser number of shares (which may be zero). In the event there is any change in the number of outstanding shares of our common stock, or the shares of common stock are changed into or exchanged for a different number or type of shares without receipt of consideration by us (for instance, by a recapitalization or stock split), we will proportionately adjust the number or type of shares that the eligible employees may purchase under the ESPP. The shares of common stock issuable under the ESPP may, in the discretion of our board of directors, be authorized but unissued shares, treasury shares or shares purchased on the open market. This summary is qualified in its entirety by the detailed provisions of the ESPP, which is filed as an exhibit to the registration statement of which this prospectus is a part.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Offering Periods and Optional Purchase Periods</w:t>
      </w:r>
    </w:p>
    <w:p>
      <w:pPr>
        <w:spacing w:after="0" w:line="171"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Our compensation committee will determine the length and duration of the periods during which payroll deductions or other cash payments will accumulate to purchase shares of common stock, which period will not exceed 27 months. Each of these periods is known as an offering period.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may, but is not required to, permit periodic purchases of common stock within a single offering period. The periods during which payroll deductions or other cash payments will accumulate for these purchases are referred to as purchase periods. We expect that each offering period will consist of a single purchase period for six months. No offering periods have been approved at this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 of the ESPP</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compensation committee will administer the ESPP. Each member of our compensation committee that administers the ESPP will be both a “non-employee director” within the meaning of Rule 16b-3 of the Exchange Act and an “outside director” within the meaning of Section 162(m) of the Code. Our compensation committee will also interpret the provisions of the ESPP, prescribe, amend and rescind rules relating to it, and make all other determinations necessary or advisable in administering the ESPP, all of which determinations will be final and binding. During any period of time in which we do not have a compensation committee, another committee appointed by our board of directors will administer the ESPP. References to our compensation committee include a reference to any other committee appointed by our board of directors for those periods in which such other committee appointed by our board of directors is acting.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Any of our employees may participate in the ESPP, except: (i) an employee whose customary employment is less than 20 hours per week; and (ii) an employee who, after exercising his or her rights to purchase common stock under the ESPP, would own (directly or by attribution pursuant to Section 424(d) of the Code) shares of common stock (including shares that may be acquired under any outstanding options) representing 5% or more of the total combined voting power of all classes of our capital stock. An employee must be employed, as determined under the ESPP and applicable guidance, on the last trading day of the purchase period, or a purchase date, to acquire common stock under the ESPP, unless the employee has died prior to such time.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Participation Election</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eligible employee may participate in the ESPP by completing and submitting to us an enrollment form to participate. Such enrollment will authorize us to make payroll deductions on each pay day following enrollment in the ESPP, or if authorized by our compensation committee, participating employees may provide other cash contributions. Our compensation committee will credit the deductions or contributions to the employee’s account under the ESPP. Subject to certain exceptions, an employee may not during any offering period change his or her percentage of payroll deduction or contribution for that offering period, nor may an employee withdraw any contributed funds. A participating employee may decrease his or her rate of contribution once during a purchase period (but not below $10 per pay period), or change his or her rate of contribution to take effect on the first day of the next offering period, by delivering to us a new enrollment form to participate in the ESPP. To the extent expressly permitted by our compensation committee, as determined in its sole discretion, for an offering period, a participating employee may increase the rate of his or her contribution once during the offering period. A participating employee may terminate payroll deductions or contributions at any time prior to a purchase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Price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Rights to purchase shares of our common stock will be deemed granted to participating employees as of the first trading day of each offering period. Our compensation committee will determine the purchase price for each share, or the purchase price. The purchase price for an offering period may not be less than 85% of the fair market value of our common stock on the first trading day of the offering period or the purchase date, whichever is lower, and in no event may the purchase price be less than the par value of our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Limit</w:t>
      </w:r>
    </w:p>
    <w:p>
      <w:pPr>
        <w:spacing w:after="0" w:line="171"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No employee may purchase shares of our common stock in any offering period or in any calendar year under the ESPP and all other “employee stock purchase plans” of the company having an aggregate fair market value in excess of $25,000, determined as of the first trading date of the offering period. In addition, no employee may purchase more than 100,000 shares of common stock in any one offering period; provided that, prior to the start of an offering period, our compensation committee, in its discretion, may impose a different limit on the number or value of shares of common stock an employee may purchase during the offering period. We expect that participating employees will be able to contribute between 1% and 15% of their eligible earnings during an offering period.</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of Common Stock</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each purchase date, a participating employee will be credited with the number of whole shares of common stock purchased under the ESPP during such purchase period. Shares of common stock purchased under the ESPP will be held in the custody of an agent designated by our board of directors. The agent may hold such shares in stock certificates by book entry or in nominee names and may commingle shares held in its custody in a single account or in stock certificates without identification as to individual participating employees. Subject to any additional restrictions imposed by our compensation committee, in its discretion, a participating employee may, at any time following his or her purchase of shares of common stock under the ESPP, instruct the agent to have all or part of such shares reissued in the employee’s own name and have the stock certificate delivered to the employee. Our compensation committee may impose a holding period requirement of up to two years from the date participating employees purchase shares of common stock under the ESPP.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in any purchase period the number of unsold shares that may be made available for purchase under the ESPP is insufficient to permit eligible employees to exercise their rights to purchase shares, our compensation committee will make a participation adjustment and proportionately reduce the number of shares purchasable by all participating employees. Our compensation committee will refund to a participating employee any funds then remaining in his or her account after such exercise.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Leave of Absence or Disability</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compensation committee may suspend payroll deductions for a participating employee who remains an eligible employee during any period of absence of the employee from work due to an authorized leave of absence or disability or, if the employee so elects, he or she may continue to pay periodic cash contributions to the ESPP. If such participating employee returns to active service prior to a purchase date, the employee’s payroll deductions will resume. If such employee did not make periodic cash contributions during the employee’s period of absence, the employee may elect to either: (i) make up any deficiency in his or her account resulting from a suspension of payroll deductions by an immediate cash payment; (ii) not make up such deficiency in his or her account, in which event the number of shares to be purchased by the employee will be reduced to the number of whole shares that may be purchased with the amount, if any, credited to the employee’s account on the purchase date, plus the aggregate amount, if any, of all payroll deductions to be made thereafter; or (iii) withdraw the amount in his or her account and terminate his or her option to purchase.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compensation committee will terminate a participating employee’s participation in the ESPP and refund all monies in his or her account if: (i) our board of directors terminates the ESPP; or (ii) the employee ceases to be eligible to participate in the ESPP. In the event a participating employee’s employment terminates, or is deemed terminated, for any reason other than death, the amount in the employee’s account will be distributed and his or her option to purchase will terminate.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a participating employee terminates participation in the ESPP on account of his or her death, the employee’s representative may elect within three months after the employee’s death to either: (a) purchase shares of common stock on the purchase date with the amount then credited to the employee’s account; or (b) withdraw the amount in the employee’s account. If the employee’s representative fails to deliver notice of an election within the prescribed period, the election to participate will terminate and the amount in the employee’s account will be paid to the employee’s representative.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Transferability of Shares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 participating employee may transfer or assign his or her rights to purchase shares of common stock under the ESPP, whether voluntarily, by operation of law or otherwise. Any payment of cash or issuance of shares of common stock under the ESPP may be made only to the participating employee (or, in the event of the employee’s death, to the employee’s estate). During a participating employee’s lifetime, only such participating employee may exercise his or her rights to purchase shares of common stock under the ESPP.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board of directors may, at any time, amend the ESPP in any respect; provided that without stockholder approval, it may not (i) increase the number of shares that may be made available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purchase under the ESPP, or (ii) change the eligibility requirements for participating in the ESPP. Additionally, our board of directors may not make any amendment to the ESPP that impairs the vested rights of participating employees. Our board of directors may suspend or terminate the ESPP at any time and for any reason or for no reason; provided that such suspension or termination will not impair any rights of participating employees that have vested at the time of termination. In any event, the ESPP will, without further action of our board of directors, terminate at the earlier of (a) 10 years after the date of adoption of the ESPP, or (b) such time as all shares of common stock that may be made available for purchase under the ESPP have been issued.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our dissolution or liquidation, or upon a merger, consolidation or reorganization of the company with one or more other corporations in which we are not the surviving entity, or upon a sale of all or substantially all of our assets or any other transaction approved by our board of directors resulting in any person or entity owning more than 50% of the combined voting power of all classes of our capital stock, the ESPP and all rights outstanding thereunder will terminate, except to the extent provision is made in writing in connection with such transaction for the continuation or assumption of the ESPP, or for the substitution of the rights under the ESPP with new rights covering the stock of the successor entity. Upon termination of the ESPP in this circumstance, the offering period and the purchase period will end on the last trading day prior to such termination, and the rights of each participating employee shall be automatically exercised on such last trading day.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Retirement Plan</w:t>
      </w:r>
    </w:p>
    <w:p>
      <w:pPr>
        <w:spacing w:after="0" w:line="171"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We maintain a defined contribution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(except in the case of contributions under the 401(k) plan designated as Roth contributions, which are not taxable when distributed). Our 401(k) plan provides that each participant may contribute up to 100% of his or her pre-tax compensation, up to a statutory limit of $17,500 for 2014 and $18,000 for 2015.</w:t>
      </w:r>
    </w:p>
    <w:p>
      <w:pPr>
        <w:spacing w:after="0" w:line="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Participants who are at least 50 years old can also make “catch-up” contributions, which in 2014 and 2015 may be up to an additional $5,500 and $6,000, respectively,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 Beginning June 2015, we began making matching contributions equal to 50% of an employee’s contribution up to a maximum of $3,000 each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Equity Compensation</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September 2015, our board of directors approved a non-employee director compensation policy, which will be effective for all non-employee directors upon the effective date of the registration statement for this offering. Each non-employee director will receive an annual base retainer of $35,000. In addition, our non-employee directors will receive the following cash compensation for board services, as applicable:</w:t>
      </w:r>
    </w:p>
    <w:p>
      <w:pPr>
        <w:spacing w:after="0" w:line="147" w:lineRule="exact"/>
        <w:rPr>
          <w:sz w:val="20"/>
          <w:szCs w:val="20"/>
          <w:color w:val="auto"/>
        </w:rPr>
      </w:pPr>
    </w:p>
    <w:p>
      <w:pPr>
        <w:ind w:left="5580" w:right="3980" w:hanging="4897"/>
        <w:spacing w:after="0" w:line="440" w:lineRule="auto"/>
        <w:tabs>
          <w:tab w:leader="none" w:pos="100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chairman of the board of directors will receive an additional annual retainer of $35,000; 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660" w:hanging="317"/>
        <w:spacing w:after="0" w:line="268"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member of our audit, compensation and nominating and corporate governance committees, other than the chairperson, will receive an additional annual retainer of $8,500, $6,500 and $4,000, respectively; and</w:t>
      </w:r>
    </w:p>
    <w:p>
      <w:pPr>
        <w:spacing w:after="0" w:line="50" w:lineRule="exact"/>
        <w:rPr>
          <w:rFonts w:ascii="Arial" w:cs="Arial" w:eastAsia="Arial" w:hAnsi="Arial"/>
          <w:sz w:val="18"/>
          <w:szCs w:val="18"/>
          <w:color w:val="auto"/>
        </w:rPr>
      </w:pPr>
    </w:p>
    <w:p>
      <w:pPr>
        <w:ind w:left="1000" w:right="340" w:hanging="317"/>
        <w:spacing w:after="0" w:line="268"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each chairperson of our audit, compensation and nominating and corporate governance committees will receive an additional annual retainer of $17,000, $13,000 and $8,000, respectively.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will pay all amounts in quarterly installments. We will also reimburse each of our directors for their travel expenses incurred in connection with their attendance at board of directors and committee meetings.</w:t>
      </w:r>
    </w:p>
    <w:p>
      <w:pPr>
        <w:spacing w:after="0" w:line="13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Each non-employee director will also receive an annual award of options to purchase 8,000 shares of our common stock; provided, however, that if the closing of our initial public offering occurs (i) on or before March 31, 2016, non-employee directors will receive the annual award of options at our 2016 annual meeting of stockholders or (ii) after March 31, 2016, non-employee directors will receive the annual award of options upon the closing of our initial public offering, or the Annual Option Award. Each Annual Option Award will vest on the one-year anniversary of the date of grant, subject to the director’s continued service on the board of directors.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Newly appointed non-employee directors will receive at the time of his or her appointment to the board of directors, a one-time initial award of options to purchase 20,000 shares of our common stock; provided, however, that if a director’s appointment occurs within six months of our next annual meeting of stockholders, such director will be ineligible to receive their Annual Option Award in connection with such meeting. Each newly appointed non-employee director grant will vest monthly over a three-year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The following table provides information regarding compensation awarded to or earned by our non-employee directors as of December 31,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Fees Earned or</w:t>
            </w: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20" w:type="dxa"/>
            <w:vAlign w:val="bottom"/>
            <w:gridSpan w:val="2"/>
          </w:tcPr>
          <w:p>
            <w:pPr>
              <w:jc w:val="center"/>
              <w:ind w:right="764"/>
              <w:spacing w:after="0"/>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5540" w:type="dxa"/>
            <w:vAlign w:val="bottom"/>
          </w:tcPr>
          <w:p>
            <w:pPr>
              <w:spacing w:after="0"/>
              <w:rPr>
                <w:sz w:val="11"/>
                <w:szCs w:val="11"/>
                <w:color w:val="auto"/>
              </w:rPr>
            </w:pPr>
          </w:p>
        </w:tc>
        <w:tc>
          <w:tcPr>
            <w:tcW w:w="162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90"/>
              </w:rPr>
              <w:t>Paid in Cash</w:t>
            </w:r>
          </w:p>
        </w:tc>
        <w:tc>
          <w:tcPr>
            <w:tcW w:w="15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Option Award</w:t>
            </w:r>
          </w:p>
        </w:tc>
        <w:tc>
          <w:tcPr>
            <w:tcW w:w="1620" w:type="dxa"/>
            <w:vAlign w:val="bottom"/>
            <w:gridSpan w:val="2"/>
          </w:tcPr>
          <w:p>
            <w:pPr>
              <w:jc w:val="center"/>
              <w:ind w:right="764"/>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7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Total</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54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5"/>
                <w:szCs w:val="15"/>
                <w:color w:val="auto"/>
              </w:rPr>
            </w:pPr>
          </w:p>
        </w:tc>
        <w:tc>
          <w:tcPr>
            <w:tcW w:w="820" w:type="dxa"/>
            <w:vAlign w:val="bottom"/>
          </w:tcPr>
          <w:p>
            <w:pPr>
              <w:jc w:val="right"/>
              <w:ind w:right="119"/>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(1)(3)</w:t>
            </w:r>
          </w:p>
        </w:tc>
        <w:tc>
          <w:tcPr>
            <w:tcW w:w="7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spacing w:after="0"/>
              <w:rPr>
                <w:sz w:val="15"/>
                <w:szCs w:val="15"/>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03"/>
        </w:trPr>
        <w:tc>
          <w:tcPr>
            <w:tcW w:w="5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Dennis G. Podlesak</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432,925</w:t>
            </w:r>
          </w:p>
        </w:tc>
        <w:tc>
          <w:tcPr>
            <w:tcW w:w="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350,000</w:t>
            </w:r>
          </w:p>
        </w:tc>
        <w:tc>
          <w:tcPr>
            <w:tcW w:w="820" w:type="dxa"/>
            <w:vAlign w:val="bottom"/>
            <w:tcBorders>
              <w:top w:val="single" w:sz="8" w:color="CCEEFF"/>
            </w:tcBorders>
            <w:shd w:val="clear" w:color="auto" w:fill="CCEEFF"/>
          </w:tcPr>
          <w:p>
            <w:pPr>
              <w:jc w:val="right"/>
              <w:ind w:right="624"/>
              <w:spacing w:after="0"/>
              <w:rPr>
                <w:sz w:val="20"/>
                <w:szCs w:val="20"/>
                <w:color w:val="auto"/>
              </w:rPr>
            </w:pPr>
            <w:r>
              <w:rPr>
                <w:rFonts w:ascii="Arial" w:cs="Arial" w:eastAsia="Arial" w:hAnsi="Arial"/>
                <w:sz w:val="11"/>
                <w:szCs w:val="11"/>
                <w:color w:val="auto"/>
                <w:w w:val="88"/>
              </w:rPr>
              <w:t>(2)</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782,925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Henry Chen</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108,300</w:t>
            </w:r>
          </w:p>
        </w:tc>
        <w:tc>
          <w:tcPr>
            <w:tcW w:w="720" w:type="dxa"/>
            <w:vAlign w:val="bottom"/>
          </w:tcPr>
          <w:p>
            <w:pPr>
              <w:spacing w:after="0"/>
              <w:rPr>
                <w:sz w:val="18"/>
                <w:szCs w:val="18"/>
                <w:color w:val="auto"/>
              </w:rPr>
            </w:pPr>
          </w:p>
        </w:tc>
        <w:tc>
          <w:tcPr>
            <w:tcW w:w="162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108,300</w:t>
            </w: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Fabrice Egros, Ph.D.</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90,250</w:t>
            </w:r>
          </w:p>
        </w:tc>
        <w:tc>
          <w:tcPr>
            <w:tcW w:w="7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90,250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Luke Evnin, Ph.D.</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126,349</w:t>
            </w:r>
          </w:p>
        </w:tc>
        <w:tc>
          <w:tcPr>
            <w:tcW w:w="720" w:type="dxa"/>
            <w:vAlign w:val="bottom"/>
          </w:tcPr>
          <w:p>
            <w:pPr>
              <w:spacing w:after="0"/>
              <w:rPr>
                <w:sz w:val="18"/>
                <w:szCs w:val="18"/>
                <w:color w:val="auto"/>
              </w:rPr>
            </w:pPr>
          </w:p>
        </w:tc>
        <w:tc>
          <w:tcPr>
            <w:tcW w:w="162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126,349</w:t>
            </w: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P. Kamdar, Ph.D.</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108,300</w:t>
            </w:r>
          </w:p>
        </w:tc>
        <w:tc>
          <w:tcPr>
            <w:tcW w:w="7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108,300</w:t>
            </w:r>
          </w:p>
        </w:tc>
        <w:tc>
          <w:tcPr>
            <w:tcW w:w="100" w:type="dxa"/>
            <w:vAlign w:val="bottom"/>
            <w:shd w:val="clear" w:color="auto" w:fill="CCEEFF"/>
          </w:tcPr>
          <w:p>
            <w:pPr>
              <w:spacing w:after="0"/>
              <w:rPr>
                <w:sz w:val="18"/>
                <w:szCs w:val="18"/>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Ivor Royston, M.D.</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90,250</w:t>
            </w:r>
          </w:p>
        </w:tc>
        <w:tc>
          <w:tcPr>
            <w:tcW w:w="720" w:type="dxa"/>
            <w:vAlign w:val="bottom"/>
          </w:tcPr>
          <w:p>
            <w:pPr>
              <w:spacing w:after="0"/>
              <w:rPr>
                <w:sz w:val="18"/>
                <w:szCs w:val="18"/>
                <w:color w:val="auto"/>
              </w:rPr>
            </w:pPr>
          </w:p>
        </w:tc>
        <w:tc>
          <w:tcPr>
            <w:tcW w:w="162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90,250</w:t>
            </w:r>
          </w:p>
        </w:tc>
        <w:tc>
          <w:tcPr>
            <w:tcW w:w="100" w:type="dxa"/>
            <w:vAlign w:val="bottom"/>
          </w:tcPr>
          <w:p>
            <w:pPr>
              <w:spacing w:after="0"/>
              <w:rPr>
                <w:sz w:val="18"/>
                <w:szCs w:val="18"/>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P. Shea</w:t>
            </w: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126,349</w:t>
            </w:r>
          </w:p>
        </w:tc>
        <w:tc>
          <w:tcPr>
            <w:tcW w:w="7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178,349</w:t>
            </w:r>
          </w:p>
        </w:tc>
        <w:tc>
          <w:tcPr>
            <w:tcW w:w="100" w:type="dxa"/>
            <w:vAlign w:val="bottom"/>
            <w:shd w:val="clear" w:color="auto" w:fill="CCEEFF"/>
          </w:tcPr>
          <w:p>
            <w:pPr>
              <w:spacing w:after="0"/>
              <w:rPr>
                <w:sz w:val="18"/>
                <w:szCs w:val="18"/>
                <w:color w:val="auto"/>
              </w:rPr>
            </w:pPr>
          </w:p>
        </w:tc>
      </w:tr>
      <w:tr>
        <w:trPr>
          <w:trHeight w:val="222"/>
        </w:trPr>
        <w:tc>
          <w:tcPr>
            <w:tcW w:w="5920" w:type="dxa"/>
            <w:vAlign w:val="bottom"/>
            <w:gridSpan w:val="2"/>
          </w:tcPr>
          <w:p>
            <w:pPr>
              <w:spacing w:after="0"/>
              <w:rPr>
                <w:sz w:val="20"/>
                <w:szCs w:val="20"/>
                <w:color w:val="auto"/>
              </w:rPr>
            </w:pPr>
            <w:r>
              <w:rPr>
                <w:rFonts w:ascii="Arial" w:cs="Arial" w:eastAsia="Arial" w:hAnsi="Arial"/>
                <w:sz w:val="18"/>
                <w:szCs w:val="18"/>
                <w:color w:val="auto"/>
              </w:rPr>
              <w:t>George W. Sledge Jr., M.D.</w:t>
            </w: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63,000</w:t>
            </w:r>
          </w:p>
        </w:tc>
        <w:tc>
          <w:tcPr>
            <w:tcW w:w="820" w:type="dxa"/>
            <w:vAlign w:val="bottom"/>
          </w:tcPr>
          <w:p>
            <w:pPr>
              <w:jc w:val="right"/>
              <w:spacing w:after="0"/>
              <w:rPr>
                <w:sz w:val="20"/>
                <w:szCs w:val="20"/>
                <w:color w:val="auto"/>
              </w:rPr>
            </w:pPr>
            <w:r>
              <w:rPr>
                <w:rFonts w:ascii="Arial" w:cs="Arial" w:eastAsia="Arial" w:hAnsi="Arial"/>
                <w:sz w:val="18"/>
                <w:szCs w:val="18"/>
                <w:color w:val="auto"/>
              </w:rPr>
              <w:t>126,349</w:t>
            </w:r>
          </w:p>
        </w:tc>
        <w:tc>
          <w:tcPr>
            <w:tcW w:w="720" w:type="dxa"/>
            <w:vAlign w:val="bottom"/>
          </w:tcPr>
          <w:p>
            <w:pPr>
              <w:spacing w:after="0"/>
              <w:rPr>
                <w:sz w:val="19"/>
                <w:szCs w:val="19"/>
                <w:color w:val="auto"/>
              </w:rPr>
            </w:pPr>
          </w:p>
        </w:tc>
        <w:tc>
          <w:tcPr>
            <w:tcW w:w="162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189,349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98"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determined in accordance with ASC 718. For information regarding assumptions underlying the value of equity awards, see Note 12 to our audited consolidated financial statements and the discussion in the section titled “Management’s Discussion and Analysis of Financial Condition and Results of Operations—Critical Accounting Policies—Stock-Based Compensation,” included elsewhere in this prospectus. These amounts do not correspond to the actual value the director may realize upon exercise of these option awards.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Amount reflects a one-time bonus granted to Mr. Podlesak for his efforts related to the Company’s Series C-1 convertible preferred stock financing.</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following table provides information regarding equity awards granted to our non-employee directors that were outstanding as of December 31, 2015.</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400" w:type="dxa"/>
            <w:vAlign w:val="bottom"/>
            <w:vMerge w:val="restart"/>
          </w:tcPr>
          <w:p>
            <w:pPr>
              <w:spacing w:after="0"/>
              <w:rPr>
                <w:sz w:val="14"/>
                <w:szCs w:val="14"/>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Option Awards Outstanding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400" w:type="dxa"/>
            <w:vAlign w:val="bottom"/>
            <w:vMerge w:val="continue"/>
          </w:tcPr>
          <w:p>
            <w:pPr>
              <w:spacing w:after="0"/>
              <w:rPr>
                <w:sz w:val="14"/>
                <w:szCs w:val="14"/>
                <w:color w:val="auto"/>
              </w:rPr>
            </w:pPr>
          </w:p>
        </w:tc>
        <w:tc>
          <w:tcPr>
            <w:tcW w:w="172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at Year-End</w:t>
            </w:r>
          </w:p>
        </w:tc>
        <w:tc>
          <w:tcPr>
            <w:tcW w:w="0" w:type="dxa"/>
            <w:vAlign w:val="bottom"/>
          </w:tcPr>
          <w:p>
            <w:pPr>
              <w:spacing w:after="0"/>
              <w:rPr>
                <w:sz w:val="1"/>
                <w:szCs w:val="1"/>
                <w:color w:val="auto"/>
              </w:rPr>
            </w:pPr>
          </w:p>
        </w:tc>
      </w:tr>
      <w:tr>
        <w:trPr>
          <w:trHeight w:val="203"/>
        </w:trPr>
        <w:tc>
          <w:tcPr>
            <w:tcW w:w="87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Dennis G. Podlesak</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136,415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Henry Chen</w:t>
            </w:r>
          </w:p>
        </w:tc>
        <w:tc>
          <w:tcPr>
            <w:tcW w:w="1620" w:type="dxa"/>
            <w:vAlign w:val="bottom"/>
          </w:tcPr>
          <w:p>
            <w:pPr>
              <w:jc w:val="right"/>
              <w:spacing w:after="0"/>
              <w:rPr>
                <w:sz w:val="20"/>
                <w:szCs w:val="20"/>
                <w:color w:val="auto"/>
              </w:rPr>
            </w:pPr>
            <w:r>
              <w:rPr>
                <w:rFonts w:ascii="Arial" w:cs="Arial" w:eastAsia="Arial" w:hAnsi="Arial"/>
                <w:sz w:val="18"/>
                <w:szCs w:val="18"/>
                <w:color w:val="auto"/>
              </w:rPr>
              <w:t>14,400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Fabrice Egros, Ph.D.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Luke Evnin, Ph.D.</w:t>
            </w:r>
          </w:p>
        </w:tc>
        <w:tc>
          <w:tcPr>
            <w:tcW w:w="1620" w:type="dxa"/>
            <w:vAlign w:val="bottom"/>
          </w:tcPr>
          <w:p>
            <w:pPr>
              <w:jc w:val="right"/>
              <w:spacing w:after="0"/>
              <w:rPr>
                <w:sz w:val="20"/>
                <w:szCs w:val="20"/>
                <w:color w:val="auto"/>
              </w:rPr>
            </w:pPr>
            <w:r>
              <w:rPr>
                <w:rFonts w:ascii="Arial" w:cs="Arial" w:eastAsia="Arial" w:hAnsi="Arial"/>
                <w:sz w:val="18"/>
                <w:szCs w:val="18"/>
                <w:color w:val="auto"/>
              </w:rPr>
              <w:t>26,967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P. Kamdar, Ph.D.</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Ivor Royston, M.D.</w:t>
            </w:r>
          </w:p>
        </w:tc>
        <w:tc>
          <w:tcPr>
            <w:tcW w:w="1620" w:type="dxa"/>
            <w:vAlign w:val="bottom"/>
          </w:tcPr>
          <w:p>
            <w:pPr>
              <w:jc w:val="right"/>
              <w:spacing w:after="0"/>
              <w:rPr>
                <w:sz w:val="20"/>
                <w:szCs w:val="20"/>
                <w:color w:val="auto"/>
              </w:rPr>
            </w:pPr>
            <w:r>
              <w:rPr>
                <w:rFonts w:ascii="Arial" w:cs="Arial" w:eastAsia="Arial" w:hAnsi="Arial"/>
                <w:sz w:val="18"/>
                <w:szCs w:val="18"/>
                <w:color w:val="auto"/>
              </w:rPr>
              <w:t>22,167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P. Shea</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gridSpan w:val="2"/>
          </w:tcPr>
          <w:p>
            <w:pPr>
              <w:spacing w:after="0"/>
              <w:rPr>
                <w:sz w:val="20"/>
                <w:szCs w:val="20"/>
                <w:color w:val="auto"/>
              </w:rPr>
            </w:pPr>
            <w:r>
              <w:rPr>
                <w:rFonts w:ascii="Arial" w:cs="Arial" w:eastAsia="Arial" w:hAnsi="Arial"/>
                <w:sz w:val="18"/>
                <w:szCs w:val="18"/>
                <w:color w:val="auto"/>
              </w:rPr>
              <w:t>George W. Sledge Jr., M.D.</w:t>
            </w:r>
          </w:p>
        </w:tc>
        <w:tc>
          <w:tcPr>
            <w:tcW w:w="1620" w:type="dxa"/>
            <w:vAlign w:val="bottom"/>
          </w:tcPr>
          <w:p>
            <w:pPr>
              <w:jc w:val="right"/>
              <w:spacing w:after="0"/>
              <w:rPr>
                <w:sz w:val="20"/>
                <w:szCs w:val="20"/>
                <w:color w:val="auto"/>
              </w:rPr>
            </w:pPr>
            <w:r>
              <w:rPr>
                <w:rFonts w:ascii="Arial" w:cs="Arial" w:eastAsia="Arial" w:hAnsi="Arial"/>
                <w:sz w:val="18"/>
                <w:szCs w:val="18"/>
                <w:color w:val="auto"/>
              </w:rPr>
              <w:t>26,966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immediately prior to the completion of this offering,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84" w:lineRule="exact"/>
        <w:rPr>
          <w:sz w:val="20"/>
          <w:szCs w:val="20"/>
          <w:color w:val="auto"/>
        </w:rPr>
      </w:pPr>
    </w:p>
    <w:p>
      <w:pPr>
        <w:ind w:left="1000" w:hanging="31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11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320"/>
          </w:cols>
          <w:pgMar w:left="240" w:top="459"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is a description of transactions, since January 1, 2013, to which we have been a party or will be a party, in which the amount involved exceeded or will exceed $120,000, and in which any of our executive officers, directors or holders of more than 5% of any class of our voting securities, or an affiliate or immediate family member thereof, had or will have a direct or indirect material interest, other than compensation, termination and change of control arrangements, which are described under the section titled “Executive and Director Compensation.” We believe the terms obtained or consideration that we paid or received, as applicable, in connection with the transactions described below were comparable to terms available or the amounts that we would pay or receive, as applicable, in arm’s-length transactions with unrelated third parties.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2011 Bridge Financing</w:t>
      </w:r>
    </w:p>
    <w:p>
      <w:pPr>
        <w:spacing w:after="0" w:line="171"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On December 20, 2011, we entered into a bridge loan financing, or the December 2011 bridge financing, in which we issued (i) convertible promissory notes, or the December 2011 notes, for (a) an aggregate principal amount of $2.5 million on December 20, 2011, (b) an aggregate principal amount of $0.4 million on December 28, 2011, (c) an aggregate principal amount of $2.9 million on April 2, 2012 and (d) an aggregate principal amount of $3.0 million on June 28, 2012, and (ii) warrants, or the December 2011 warrants, to purchase shares of our common stock at an exercise price of $38.44 per share, subject to adjustments upon the occurrence of certain events, at a purchase price of 0.1% of the principal amount of the December 2011 notes. The December 2011 notes accrued interest at a rate of 8% per annum and had a maturity date of December 31, 2012. On March 8, 2013, the December 2011 notes converted into 61,191 shares of our Series B convertible preferred stock and 608,312 shares of our Series B-1 convertible preferred stock, and the December 2011 warrants were canceled pursuant to the warrant cancellation agreement.</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summarizes the participation in the December 2011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2,987,760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2,589,392</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717,062</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3" w:lineRule="auto"/>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Consists of (a) two notes held by Domain Partners VI, L.P., or Domain VI, each with a principal amount of $937,500 and (b) a note held by Domain VI with a principal amount of $1,112,760. Mr. Podlesak and Dr. Kamdar, members of our board of directors, are partners of Domain Associates, LLC, or Domain LLC, the manager of Domain VI.</w:t>
      </w:r>
    </w:p>
    <w:p>
      <w:pPr>
        <w:ind w:left="460" w:right="180" w:hanging="452"/>
        <w:spacing w:after="0" w:line="288" w:lineRule="auto"/>
        <w:tabs>
          <w:tab w:leader="none" w:pos="4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Consists of (a) two notes held by MPM BioVentures IV-QP, L.P., or MPM IV-QP, each with a principal amount of $676,896, (b) a note held by MPM IV-QP with a principal amount of $803,438, (c) two notes held by MPM BioVentures IV Strategic Fund, L.P., or MPM Strategic Fund, each with a principal amount of $90,278, (d) a note held by MPM Strategic Fund with a principal amount of $107,155, (e) two notes held by MPM BioVentures IV GMBH &amp; Co. Beteiligungs KG, or MPM Beteiligungs, each with a principal amount of $26,078, (f) a note held by MPM Beteiligungs with a principal amount of $30,953, (g) two notes held by MPM Asset Management Investors BV4 LLC, or MPM BV4, each with a principal amount of $19,248 and (h) a note held by MPM BV4 with a principal amount of $22,846. Dr. Evnin, a member of our board of directors, is a member of MPM BioVentures IV LLC, or MPM IV LLC, which is the managing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54" w:lineRule="auto"/>
        <w:rPr>
          <w:sz w:val="20"/>
          <w:szCs w:val="20"/>
          <w:color w:val="auto"/>
        </w:rPr>
      </w:pPr>
      <w:r>
        <w:rPr>
          <w:rFonts w:ascii="Arial" w:cs="Arial" w:eastAsia="Arial" w:hAnsi="Arial"/>
          <w:sz w:val="18"/>
          <w:szCs w:val="18"/>
          <w:color w:val="auto"/>
        </w:rPr>
        <w:t>member of MPM BioVentures IV GP LLC, or MPM IV GP, which is (i) the general partner of each of MPM IV-QP and MPM Strategic Fund, and (ii) the managing limited partner of MPM Beteiligungs. MPM IV LLC is the manager of MPM BV4.</w:t>
      </w:r>
    </w:p>
    <w:p>
      <w:pPr>
        <w:ind w:left="460" w:right="40" w:hanging="452"/>
        <w:spacing w:after="0" w:line="290" w:lineRule="auto"/>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(a) two notes held by Forward Ventures V, LP, or Forward V, each with a principal amount of $150,000, (b) a note held by Forward V with a principal amount of $178,041, (c) two notes held by Forward Ventures IV, LP, or Forward IV, each with a principal amount of $69,139, (d) a note held by Forward IV with a principal amount of $82,064, (e) two notes held by Forward Ventures IVB, LP, or Forward IVB, each with a principal amount of $5,861 and (f) a note held by Forward IVB with a principal amount of $6,957. Dr. Royston, a member of our board of directors, is a managing member of Forward Ventures, a managing member of Forward IV Associates, LLC, or Forward IV Associates, and a member of Forward V. Forward IV Associates is the general partner of each of Forward IV and Forward IVB. Forward V Associates, L.L.C., or Forward V Associates, is the general partner of Forward V.</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2012 Bridge Financing</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9, 2012, we entered into a bridge loan financing, or the October 2012 bridge financing, in which we issued convertible promissory notes, or the October 2012 notes, for an aggregate principal amount of $0.8 million. The October 2012 notes accrued interest at a rate of 8% per annum and had a maturity date of October 9, 2013. On March 8, 2013, the October 2012 notes converted into 5,536 shares of our Series B convertible preferred stock and 49,830 shares of our Series B-1 convertible preferred stock.</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the participation in the October 2012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281,250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243,749</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a note held by Domain VI with a principal amount of $281,250. Mr. Podlesak and Dr. Kamdar, members of our board of directors, are partners of Domain LLC, the manager of Domain VI.</w:t>
      </w: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(a) a note held by MPM IV-QP with a principal amount of $203,069, (b) a note held by MPM Strategic Fund with a principal amount of</w:t>
      </w:r>
    </w:p>
    <w:p>
      <w:pPr>
        <w:spacing w:after="0" w:line="32" w:lineRule="exact"/>
        <w:rPr>
          <w:rFonts w:ascii="Arial" w:cs="Arial" w:eastAsia="Arial" w:hAnsi="Arial"/>
          <w:sz w:val="16"/>
          <w:szCs w:val="16"/>
          <w:color w:val="auto"/>
        </w:rPr>
      </w:pPr>
    </w:p>
    <w:p>
      <w:pPr>
        <w:ind w:left="460" w:right="340"/>
        <w:spacing w:after="0" w:line="250" w:lineRule="auto"/>
        <w:rPr>
          <w:rFonts w:ascii="Arial" w:cs="Arial" w:eastAsia="Arial" w:hAnsi="Arial"/>
          <w:sz w:val="16"/>
          <w:szCs w:val="16"/>
          <w:color w:val="auto"/>
        </w:rPr>
      </w:pPr>
      <w:r>
        <w:rPr>
          <w:rFonts w:ascii="Arial" w:cs="Arial" w:eastAsia="Arial" w:hAnsi="Arial"/>
          <w:sz w:val="18"/>
          <w:szCs w:val="18"/>
          <w:color w:val="auto"/>
        </w:rPr>
        <w:t>$27,083, (c) a note held by MPM Beteiligungs with a principal amount of $7,823 and (d) a note held by MPM BV4 with a principal amount of $5,774. Dr. Evnin, a member of our board of directors, is a member of MPM IV LLC, which is the managing member of MPM IV GP, which is (i) the general partner of each of MPM IV-QP and MPM Strategic Fund, and (ii) the managing limited partner of MPM Beteiligungs. MPM IV LLC is the manager of MPM BV4.</w:t>
      </w:r>
    </w:p>
    <w:p>
      <w:pPr>
        <w:spacing w:after="0" w:line="1"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(a) a note held by Forward V with a principal amount of $45,000, (b) a note held by Forward IV with a principal amount of $20,742 and (c) a note held by Forward IVB with a principal amount of $1,758. Dr. Royston, a member of our board of directors, is a managing member of Forward Ventures, a managing member of Forward IV Associates and a member of Forward V. Forward IV Associates is the general partner of each of Forward IV and Forward IVB. Forward V Associates is the general partner of Forward 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2012 Bridge Financing</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November 19, 2012, we entered into a bridge loan financing, or the November 2012 bridge financing, in which we issued convertible promissory notes, or the November 2012 notes, for (i) an aggregate principal amount of $0.5 million on November 19, 2012, which had a maturity date of November 19, 2013,</w:t>
      </w:r>
    </w:p>
    <w:p>
      <w:pPr>
        <w:ind w:firstLine="8"/>
        <w:spacing w:after="0" w:line="261" w:lineRule="auto"/>
        <w:tabs>
          <w:tab w:leader="none" w:pos="258"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aggregate principal amount of $0.5 million on November 30, 2012, which had a maturity date of November 30, 2013, (iii) an aggregate principal amount of $0.5 million 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December 28, 2012, which had a maturity date of December 28, 2013 and (iv) an aggregate principal amount of $0.7 million on January 18, 2013, which had a maturity date of January 18, 2014. The November 2012 notes accrued interest at a rate of 8% per annum. On March 8, 2013, the November 2012 notes converted into 157,045 shares of our Series B-1 convertible preferred stock.</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participation in the November 2012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1,026,000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701,998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194,400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2"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(a) two notes held by Domain Partners VIII, L.P., or Domain VIII, each with a principal amount of $235,751, (b) a note held by Domain VIII with a principal amount of $330,051, (c) a note held by Domain VIII with a principal amount of $216,891, (d) two notes held by DP VIII Associates, L.P., or DP VIII, each with a principal amount of $1,749, (e) a note held by DP VIII with a principal amount of $2,449 and (f) a note held by DP VIII with a principal amount of $1,609. Mr. Podlesak and Dr. Kamdar, members of our board of directors, are partners of Domain LLC, the manager of each of Domain VIII and DP VIII.</w:t>
      </w: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(a) two notes held by MPM IV-QP, each with a principal amount of $135,380, (b) a note held by MPM IV-QP with a principal amount of</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$189,532, (c) a note held by MPM IV-QP with a principal amount of $124,550, (d) two notes held by MPM Strategic Fund, each with a principal amount of $18,055, (e) a note held by MPM Strategic Fund with a principal amount of $25,278, (f) a note held by MPM Strategic Fund with a principal amount of $16,611, (g) two notes held by MPM Beteiligungs, each with a principal amount of $5,215, (h) a note held by MPM Beteiligungs with a principal amount of $7,301, (i) a note held by MPM Beteiligungs with a principal amount of $4,798, (j) two notes held by MPM BV4, each with a principal amount of $3,849, (k) a note held by MPM BV4 with a principal amount of $5,389 and (l) a note held by MPM BV4 with a principal amount of $3,541. Dr. Evnin, a member of our board of directors, is a member of MPM IV LLC, which is the managing member of MPM IV GP, which is (i) the general partner of each of MPM IV-QP and MPM Strategic Fund, and (ii) the managing limited partner of MPM Beteiligungs. MPM IV LLC is the manager of MPM BV4.</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(a) two notes held by Forward V, each with a principal amount of $30,000, (b) a note held by Forward V with a principal amount of $42,000,</w:t>
      </w:r>
    </w:p>
    <w:p>
      <w:pPr>
        <w:spacing w:after="0" w:line="32" w:lineRule="exact"/>
        <w:rPr>
          <w:rFonts w:ascii="Arial" w:cs="Arial" w:eastAsia="Arial" w:hAnsi="Arial"/>
          <w:sz w:val="16"/>
          <w:szCs w:val="16"/>
          <w:color w:val="auto"/>
        </w:rPr>
      </w:pPr>
    </w:p>
    <w:p>
      <w:pPr>
        <w:ind w:left="460" w:right="60"/>
        <w:spacing w:after="0" w:line="252" w:lineRule="auto"/>
        <w:rPr>
          <w:rFonts w:ascii="Arial" w:cs="Arial" w:eastAsia="Arial" w:hAnsi="Arial"/>
          <w:sz w:val="16"/>
          <w:szCs w:val="16"/>
          <w:color w:val="auto"/>
        </w:rPr>
      </w:pPr>
      <w:r>
        <w:rPr>
          <w:rFonts w:ascii="Arial" w:cs="Arial" w:eastAsia="Arial" w:hAnsi="Arial"/>
          <w:sz w:val="18"/>
          <w:szCs w:val="18"/>
          <w:color w:val="auto"/>
        </w:rPr>
        <w:t>(c) a note held by Forward V with a principal amount of $27,600, (d) two notes held by Forward IV, each with a principal amount of $13,828, (e) a note held by Forward IV with a principal amount of $19,359, (f) a note held by Forward IV with a principal amount of $12,722, (g) two notes held by Forward IVB, each with a principal amount of $1,172, (h) a note held by Forward IVB with a principal amount of $1,641 and (i) a note held by Forward IVB with a principal amount of $1,078. Dr. Royston, a member of our board of directors, is a managing member of Forward Ventures, a managing member of Forward IV Associates and a member of Forward V. Forward IV Associates is the general partner of each of Forward IV and Forward IVB. Forward V Associates is the general partner of Forward V.</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September 2014 Bridge Financing</w:t>
      </w:r>
    </w:p>
    <w:p>
      <w:pPr>
        <w:spacing w:after="0" w:line="1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September 18, 2014, we entered into a bridge loan financing, or the September 2014 bridge financing, in which we issued convertible unsecured promissory notes, or the September 2014 notes, for (i) an aggregate principal amount of $4,947,480 on September 18, 2014, which had a maturity date of September 30, 2015 and (ii) an aggregate principal amount of $52,520 on October 1, 2014, which had a maturity date of September 30, 2015. The September 2014 notes accrued interest at a rate of 6% per annum. On June 1, 2015, the September 2014 notes converted into 372,446 shares of our Series C-1 convertible preferred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participation in the September 2014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1,987,072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1,706,905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472,682</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10320" w:type="dxa"/>
            <w:vAlign w:val="bottom"/>
            <w:gridSpan w:val="2"/>
          </w:tcPr>
          <w:p>
            <w:pPr>
              <w:spacing w:after="0"/>
              <w:rPr>
                <w:sz w:val="20"/>
                <w:szCs w:val="20"/>
                <w:color w:val="auto"/>
              </w:rPr>
            </w:pPr>
            <w:r>
              <w:rPr>
                <w:rFonts w:ascii="Arial" w:cs="Arial" w:eastAsia="Arial" w:hAnsi="Arial"/>
                <w:sz w:val="18"/>
                <w:szCs w:val="18"/>
                <w:color w:val="auto"/>
              </w:rPr>
              <w:t>RMI Investments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780,821</w:t>
            </w: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60" w:hanging="452"/>
        <w:spacing w:after="0" w:line="286"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(a) a note held by Domain VIII with a principal amount of $1,972,436 and (b) a note held by DP VIII with a principal amount of $14,636. Mr. Podlesak and Dr. Kamdar, members of our board of directors, are partners of Domain LLC, the manager of each of Domain VIII and DP VIII.</w:t>
      </w:r>
    </w:p>
    <w:p>
      <w:pPr>
        <w:ind w:left="460" w:hanging="452"/>
        <w:spacing w:after="0"/>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(a) a note held by MPM IV-QP with a principal amount of $1,422,028, (b) a note held by MPM Strategic Fund with a principal amount of</w:t>
      </w:r>
    </w:p>
    <w:p>
      <w:pPr>
        <w:spacing w:after="0" w:line="32" w:lineRule="exact"/>
        <w:rPr>
          <w:rFonts w:ascii="Arial" w:cs="Arial" w:eastAsia="Arial" w:hAnsi="Arial"/>
          <w:sz w:val="16"/>
          <w:szCs w:val="16"/>
          <w:color w:val="auto"/>
        </w:rPr>
      </w:pPr>
    </w:p>
    <w:p>
      <w:pPr>
        <w:ind w:left="460" w:right="120"/>
        <w:spacing w:after="0" w:line="250" w:lineRule="auto"/>
        <w:rPr>
          <w:rFonts w:ascii="Arial" w:cs="Arial" w:eastAsia="Arial" w:hAnsi="Arial"/>
          <w:sz w:val="16"/>
          <w:szCs w:val="16"/>
          <w:color w:val="auto"/>
        </w:rPr>
      </w:pPr>
      <w:r>
        <w:rPr>
          <w:rFonts w:ascii="Arial" w:cs="Arial" w:eastAsia="Arial" w:hAnsi="Arial"/>
          <w:sz w:val="18"/>
          <w:szCs w:val="18"/>
          <w:color w:val="auto"/>
        </w:rPr>
        <w:t>$189,656, (c) a note held by MPM Beteiligungs with a principal amount of $54,785 and (d) a note held by MPM BV4 with a principal amount of $40,436. Dr. Evnin, a member of our board of directors, is a member of MPM IV LLC, which is the managing member of MPM IV GP, which is (i) the general partner of each of MPM IV-QP and MPM Strategic Fund, and (ii) the managing limited partner of MPM Beteiligungs. MPM IV LLC is the manager of MPM BV4.</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(a) a note held by Forward V with a principal amount of $315,121, (b) a note held by Forward IV with a principal amount of $145,248 and (c) a note held by Forward IVB with a principal amount of $12,313. Dr. Royston, a member of our board of directors, is a managing member of Forward Ventures, a managing member of Forward IV Associates and a member of Forward V. Forward IV Associates is the general partner of each of Forward IV and Forward IVB. Forward V Associates is the general partner of Forward V.</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Consists of a note held by RMI Investments, S.á.r.l., or RMI, with a principal amount of $780,821.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A Convertible Preferred Stock</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March 8, 2013, in connection with the Series B-1 financing, 3,151,962 shares of our Series A convertible preferred stock converted into shares of our Series A-1 convertible preferred stock. The Series A convertible preferred stock was issued in 2007, 2008 and 2010 in exchange for convertible debt, accrued interest and cash, for gross cash proceeds of $49.0 million.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the number of shares of Series A-1 convertible preferred stock received in the conversion of the Series A convertible preferred stock by holders of more than 5% of our capital stock and their affiliated entities. Each share of Series A-1 convertible preferred stock in the table below will convert into one share of our common stock upon completion of this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Shares of Series A-1</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2"/>
              </w:rPr>
              <w:t>Series A</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Issued Upon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80" w:type="dxa"/>
            <w:vAlign w:val="bottom"/>
            <w:vMerge w:val="restart"/>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Series A 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80" w:type="dxa"/>
            <w:vAlign w:val="bottom"/>
            <w:vMerge w:val="continue"/>
          </w:tcPr>
          <w:p>
            <w:pPr>
              <w:spacing w:after="0"/>
              <w:rPr>
                <w:sz w:val="14"/>
                <w:szCs w:val="14"/>
                <w:color w:val="auto"/>
              </w:rPr>
            </w:pPr>
          </w:p>
        </w:tc>
        <w:tc>
          <w:tcPr>
            <w:tcW w:w="168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8"/>
              </w:rPr>
              <w:t>Converted (#)</w:t>
            </w: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Preferred Stock (#)</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1,313,319</w:t>
            </w:r>
          </w:p>
        </w:tc>
        <w:tc>
          <w:tcPr>
            <w:tcW w:w="8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1,313,319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1,138,210</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1,138,210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315,195</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Podlesak and Dr. Kamdar, members of our board of directors, are partners of Domain LLC.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Dr. Evnin, a member of our board of directors, is a managing director of MPM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Dr. Royston, a member of our board of directors, is a managing member of Forward Ventures.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B-1 Convertible Preferred Stock</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March 8, 2013, we entered into the Series B-1 financing, pursuant to a Series B-1 preferred stock purchase agreement, or the Series B-1 purchase agreement, in which we agreed to sell up to 2,210,591 shares of our Series B-1 convertible preferred stock at a price per share of $14.00 in five tranches. The first tranche closed on March 8, 2013, at which time we issued 1,379,240 shares of Series B-1 convertible preferred stock, for net cash proceeds of $1.3 million and conversion of $18.7 million in principal amount of convertible notes and accrued interest thereon. In connection with the closing of the first tranche, the convertible notes we issued in the August 2010 bridge financing, December 2011 bridge financing, October 2012 bridge financing and November 2012 bridge financing and certain convertible notes we issued in February 2013 converted into either shares of Series B-1 convertible preferred stock or shares of Series B convertible preferred stock, contingent on whether the note holder invested its pro rata share in the Series B-1 financing. Collectively, these convertible notes converted into 1,284,550 shares of our Series B-1 convertible preferred stock and 118,522 shares of our Series B convertible preferred stock. The second tranche closed on April 30, 2013, at which time we issued 78,609 additional shares of Series B-1 convertible preferred stock, for gross cash proceeds of $1.1 million. In August 2013, we amended the Series B-1 purchase agreement in order to add RMI as a purchaser to the third tranche and any subsequent tranches. The third tranche closed on August 20, 2013, at which time we issued 484,219 additional shares of Series B-1 convertible preferred stock, for gross cash proceeds of $6.8 million. The Series B-1 purchase agreement provides for closings of fourth and fifth tranches upon the completion of certain closing conditions. In November 2013, we entered into an acknowledgement and waiver agreement with the purchasers of Series B-1 convertible preferred stock, pursuant to which the investors waived certain closing conditions relating to the date of closing of the fourth and fifth tranches, including the condition that we complete certain patent assignments as more fully described below. See the section titled “Certain Relationships and Related Party Transactions—NovaMedica Agreements.” Accordingly, the fourth and fifth tranches were accelerated and closed on November 20, 2013. At the closing of the fourth tranche, we issued 543,185 additional shares of Series B-1 convertible preferred stock, for gross cash proceeds of $7.6 million. At the closing of the fifth tranche, we issued 343,072 additional shares of Series B-1 convertible preferred stock, for gross cash proceeds of $4.8 million.</w:t>
      </w:r>
    </w:p>
    <w:p>
      <w:pPr>
        <w:spacing w:after="0" w:line="13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tables below set forth the number of shares of Series B-1 convertible preferred stock purchased by holders of more than 5% of our capital stock and their affiliated entities in each of the five tranches of the Series B-1 financing. Each share of Series B-1 convertible preferred stock in the tables below will convert into one share of our common stock upon completion of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First Tranche—March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Cancellation</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Cash Purchase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Series B-1</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of Indebted-</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of Series</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(including Note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ness (Note</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B-1 Convertible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Conversion and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Cash Purchase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2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Stock (#)</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4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Stock ($)</w:t>
            </w:r>
          </w:p>
        </w:tc>
        <w:tc>
          <w:tcPr>
            <w:tcW w:w="10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Price) ($)</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2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560,216</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7,283,713</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554,472</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7,838,185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471,324</w:t>
            </w:r>
          </w:p>
        </w:tc>
        <w:tc>
          <w:tcPr>
            <w:tcW w:w="5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6,118,207</w:t>
            </w:r>
          </w:p>
        </w:tc>
        <w:tc>
          <w:tcPr>
            <w:tcW w:w="920" w:type="dxa"/>
            <w:vAlign w:val="bottom"/>
          </w:tcPr>
          <w:p>
            <w:pPr>
              <w:jc w:val="right"/>
              <w:spacing w:after="0"/>
              <w:rPr>
                <w:sz w:val="20"/>
                <w:szCs w:val="20"/>
                <w:color w:val="auto"/>
              </w:rPr>
            </w:pPr>
            <w:r>
              <w:rPr>
                <w:rFonts w:ascii="Arial" w:cs="Arial" w:eastAsia="Arial" w:hAnsi="Arial"/>
                <w:sz w:val="18"/>
                <w:szCs w:val="18"/>
                <w:color w:val="auto"/>
              </w:rPr>
              <w:t>476,294</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130,516</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1,694,273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131,897</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00" w:type="dxa"/>
            <w:vAlign w:val="bottom"/>
          </w:tcPr>
          <w:p>
            <w:pPr>
              <w:jc w:val="right"/>
              <w:ind w:right="472"/>
              <w:spacing w:after="0"/>
              <w:rPr>
                <w:sz w:val="20"/>
                <w:szCs w:val="20"/>
                <w:color w:val="auto"/>
              </w:rPr>
            </w:pPr>
            <w:r>
              <w:rPr>
                <w:rFonts w:ascii="Arial" w:cs="Arial" w:eastAsia="Arial" w:hAnsi="Arial"/>
                <w:sz w:val="18"/>
                <w:szCs w:val="18"/>
                <w:color w:val="auto"/>
              </w:rPr>
              <w:t>153</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Second Tranche—April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64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84"/>
              </w:rPr>
              <w:t>Series B-1</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6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20" w:type="dxa"/>
            <w:vAlign w:val="bottom"/>
            <w:vMerge w:val="restart"/>
          </w:tcPr>
          <w:p>
            <w:pPr>
              <w:spacing w:after="0"/>
              <w:rPr>
                <w:sz w:val="12"/>
                <w:szCs w:val="12"/>
                <w:color w:val="auto"/>
              </w:rPr>
            </w:pPr>
          </w:p>
        </w:tc>
        <w:tc>
          <w:tcPr>
            <w:tcW w:w="16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Convertible Preferred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1020"/>
              <w:spacing w:after="0" w:line="148" w:lineRule="exact"/>
              <w:rPr>
                <w:sz w:val="20"/>
                <w:szCs w:val="20"/>
                <w:color w:val="auto"/>
              </w:rPr>
            </w:pPr>
            <w:r>
              <w:rPr>
                <w:rFonts w:ascii="Arial" w:cs="Arial" w:eastAsia="Arial" w:hAnsi="Arial"/>
                <w:sz w:val="14"/>
                <w:szCs w:val="14"/>
                <w:b w:val="1"/>
                <w:bCs w:val="1"/>
                <w:color w:val="auto"/>
                <w:w w:val="84"/>
              </w:rPr>
              <w:t>Stock (#)</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Stock ($)</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7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32,898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460,316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28,258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395,414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380" w:type="dxa"/>
            <w:vAlign w:val="bottom"/>
          </w:tcPr>
          <w:p>
            <w:pPr>
              <w:spacing w:after="0"/>
              <w:rPr>
                <w:sz w:val="24"/>
                <w:szCs w:val="24"/>
                <w:color w:val="auto"/>
              </w:rPr>
            </w:pPr>
          </w:p>
        </w:tc>
        <w:tc>
          <w:tcPr>
            <w:tcW w:w="8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Third Tranche—August 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84"/>
              </w:rPr>
              <w:t>Series B-1</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Convertible Preferred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840"/>
              <w:spacing w:after="0" w:line="148" w:lineRule="exact"/>
              <w:rPr>
                <w:sz w:val="20"/>
                <w:szCs w:val="20"/>
                <w:color w:val="auto"/>
              </w:rPr>
            </w:pPr>
            <w:r>
              <w:rPr>
                <w:rFonts w:ascii="Arial" w:cs="Arial" w:eastAsia="Arial" w:hAnsi="Arial"/>
                <w:sz w:val="14"/>
                <w:szCs w:val="14"/>
                <w:b w:val="1"/>
                <w:bCs w:val="1"/>
                <w:color w:val="auto"/>
                <w:w w:val="87"/>
              </w:rPr>
              <w:t>Stock (#)</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Stock ($)</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113,495</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1,587,973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97,491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1,364,076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RMI Investments</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243,008</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380" w:type="dxa"/>
            <w:vAlign w:val="bottom"/>
          </w:tcPr>
          <w:p>
            <w:pPr>
              <w:spacing w:after="0"/>
              <w:rPr>
                <w:sz w:val="24"/>
                <w:szCs w:val="24"/>
                <w:color w:val="auto"/>
              </w:rPr>
            </w:pPr>
          </w:p>
        </w:tc>
        <w:tc>
          <w:tcPr>
            <w:tcW w:w="8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Fourth Tranche—November 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Series B-1</w:t>
            </w:r>
          </w:p>
        </w:tc>
        <w:tc>
          <w:tcPr>
            <w:tcW w:w="12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Stock (#)</w:t>
            </w:r>
          </w:p>
        </w:tc>
        <w:tc>
          <w:tcPr>
            <w:tcW w:w="120" w:type="dxa"/>
            <w:vAlign w:val="bottom"/>
          </w:tcPr>
          <w:p>
            <w:pPr>
              <w:spacing w:after="0"/>
              <w:rPr>
                <w:sz w:val="14"/>
                <w:szCs w:val="14"/>
                <w:color w:val="auto"/>
              </w:rPr>
            </w:pP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141,240</w:t>
            </w: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1,976,143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121,323</w:t>
            </w: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1,697,517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33,596</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RMI Investments</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243,008</w:t>
            </w:r>
          </w:p>
        </w:tc>
        <w:tc>
          <w:tcPr>
            <w:tcW w:w="6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380" w:type="dxa"/>
            <w:vAlign w:val="bottom"/>
          </w:tcPr>
          <w:p>
            <w:pPr>
              <w:spacing w:after="0"/>
              <w:rPr>
                <w:sz w:val="24"/>
                <w:szCs w:val="24"/>
                <w:color w:val="auto"/>
              </w:rPr>
            </w:pPr>
          </w:p>
        </w:tc>
        <w:tc>
          <w:tcPr>
            <w:tcW w:w="8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Fifth Tranche—November 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RMI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3"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Mr. Podlesak and Dr. Kamdar, members of our board of directors, are partners of Domain LLC.</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Dr. Evnin, a member of our board of directors, is a managing director of MPM Capital.</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Dr. Royston, a member of our board of directors, is a managing member of Forward Ventures.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B-1 Convertible Preferred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Series B-1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Aggregate Purchase</w:t>
            </w:r>
          </w:p>
        </w:tc>
      </w:tr>
      <w:tr>
        <w:trPr>
          <w:trHeight w:val="149"/>
        </w:trPr>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 Series B-1</w:t>
            </w:r>
          </w:p>
        </w:tc>
      </w:tr>
      <w:tr>
        <w:trPr>
          <w:trHeight w:val="149"/>
        </w:trPr>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61"/>
        </w:trPr>
        <w:tc>
          <w:tcPr>
            <w:tcW w:w="14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Stock (#)</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r>
      <w:tr>
        <w:trPr>
          <w:trHeight w:val="216"/>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343,072</w:t>
            </w:r>
          </w:p>
        </w:tc>
        <w:tc>
          <w:tcPr>
            <w:tcW w:w="7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4,800,000</w:t>
            </w:r>
          </w:p>
        </w:tc>
      </w:tr>
    </w:tbl>
    <w:p>
      <w:pPr>
        <w:spacing w:after="0" w:line="1322" w:lineRule="exact"/>
        <w:rPr>
          <w:sz w:val="20"/>
          <w:szCs w:val="20"/>
          <w:color w:val="auto"/>
        </w:rPr>
      </w:pPr>
    </w:p>
    <w:p>
      <w:pPr>
        <w:sectPr>
          <w:pgSz w:w="11900" w:h="16838" w:orient="portrait"/>
          <w:cols w:equalWidth="0" w:num="2">
            <w:col w:w="8000" w:space="720"/>
            <w:col w:w="2700"/>
          </w:cols>
          <w:pgMar w:left="240" w:top="459" w:right="239" w:bottom="1440" w:gutter="0" w:footer="0" w:header="0"/>
          <w:type w:val="continuous"/>
        </w:sectPr>
      </w:pPr>
    </w:p>
    <w:p>
      <w:pPr>
        <w:ind w:right="20" w:firstLine="456"/>
        <w:spacing w:after="0" w:line="291" w:lineRule="auto"/>
        <w:rPr>
          <w:sz w:val="20"/>
          <w:szCs w:val="20"/>
          <w:color w:val="auto"/>
        </w:rPr>
      </w:pPr>
      <w:r>
        <w:rPr>
          <w:rFonts w:ascii="Arial" w:cs="Arial" w:eastAsia="Arial" w:hAnsi="Arial"/>
          <w:sz w:val="16"/>
          <w:szCs w:val="16"/>
          <w:color w:val="auto"/>
        </w:rPr>
        <w:t>On April 18, 2013, we entered into a license and development agreement, or the Eddingpharm license agreement, with Eddingpharm International Company Limited, or Eddingpharm. In connection with the Eddingpharm license agreement, Eddingpharm agreed to purchase shares of our Series B-1 convertible preferred stock. On April 18, 2013, we entered into a preferred stock financing with Eddingpharm, or the Eddingpharm Series B-1 financing, in which we agreed to sell up to 357,365 shares of our Series B-1 convertible preferred stock at a price per share of $14.00 in two tranches. The first tranche closed on July 17, 2013, at which time we issued 178,682 shares of Series B-1 convertible preferred stock, for gross cash proceeds of $2.5 million. In November 2013, we entered into a letter agreement with Eddingpharm, pursuant to which Eddingpharm waived certain closing conditions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relating to the date of closing of the second tranche. Accordingly, the second tranche was accelerated and closed on November 15, 2013, at which time we issued 178,682 additional shares of Series B-1 convertible preferred stock, for gross cash proceeds of $2.5 million.</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tables below set forth the number of shares of Series B-1 convertible preferred stock purchased by Eddingpharm in each of the two tranches of the Eddingpharm Series B-1 financing. Each share of Series B-1 convertible preferred stock in the tables below will convert into one share of our common stock upon completion of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First Tranche—July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Series B-1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40" w:type="dxa"/>
            <w:vAlign w:val="bottom"/>
            <w:vMerge w:val="restart"/>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14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Stock (#)</w:t>
            </w: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8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Eddingpharm</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178,682</w:t>
            </w:r>
          </w:p>
        </w:tc>
        <w:tc>
          <w:tcPr>
            <w:tcW w:w="7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380" w:type="dxa"/>
            <w:vAlign w:val="bottom"/>
          </w:tcPr>
          <w:p>
            <w:pPr>
              <w:spacing w:after="0"/>
              <w:rPr>
                <w:sz w:val="24"/>
                <w:szCs w:val="24"/>
                <w:color w:val="auto"/>
              </w:rPr>
            </w:pPr>
          </w:p>
        </w:tc>
        <w:tc>
          <w:tcPr>
            <w:tcW w:w="83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Second Tranche—November 2013</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Series B-1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40" w:type="dxa"/>
            <w:vAlign w:val="bottom"/>
            <w:vMerge w:val="restart"/>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14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Stock (#)</w:t>
            </w: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8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Eddingpharm</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178,682</w:t>
            </w:r>
          </w:p>
        </w:tc>
        <w:tc>
          <w:tcPr>
            <w:tcW w:w="7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April 2015, Eddingpharm transferred all of the Series B-1 convertible preferred stock purchased by Eddingpharm in each of the two tranches of the Eddingpharm Series B-1 financing to its affiliate, Boom Profit Investments Limited.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B-1 Convertible Preferred Stock</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December 19, 2014, we entered into a license, development and commercialization agreement, or the KHK license agreement, with Kyowa Hakko Kirin Co., Ltd, or KHK. In connection with the KHK license agreement, KHK agreed to purchase shares of our Series B-1 convertible preferred stock. On December 19, 2014, we entered into a preferred stock financing with KHK, or the KHK Series B-1 financing, in which we agreed to sell up to 536,049 shares of our Series B-1 convertible preferred stock at a price per share of $14.00. The KHK Series B-1 financing closed on January 6, 2015, at which time we issued 536,049 shares of Series B-1 convertible preferred stock, for gross cash proceeds of $7.5 million. Each share of Series B-1 convertible preferred stock issued in the KHK Series B-1 financing will convert into one share of our common stock upon completion of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C-1 Convertible Preferred Stock</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June 1, 2015, we issued 1,340,113 shares of Series C-1 convertible preferred stock at a price per share of $14.00, pursuant to a Series C-1 preferred stock purchase agreement, or the June Series C-1 financing, for gross cash proceeds of $18.7 million. In connection with the June Series C-1 financing, the $5.0 million of convertible notes we issued in the September 2014 bridge financing and the related $0.2 million of accrued interest converted into 372,446 shares of Series C-1 convertible preferred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table below sets forth the number of shares of Series C-1 convertible preferred stock purchased by holders of more than 5% of our capital stock and their affiliated entities in the June Series C-1 financing. Each share of Series C-1 convertible preferred stock in the table below will convert into one share of our common stock upon completion of this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Cancellation</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Cash Purchase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Series C-1</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of Indebted-</w:t>
            </w:r>
          </w:p>
        </w:tc>
        <w:tc>
          <w:tcPr>
            <w:tcW w:w="15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Price of Series</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(including Note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0"/>
              </w:rPr>
              <w:t>ness (Note</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C-1 Convertible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Conversion and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880" w:type="dxa"/>
            <w:vAlign w:val="bottom"/>
            <w:vMerge w:val="restart"/>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5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Cash Purchase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880" w:type="dxa"/>
            <w:vAlign w:val="bottom"/>
            <w:vMerge w:val="continue"/>
          </w:tcPr>
          <w:p>
            <w:pPr>
              <w:spacing w:after="0"/>
              <w:rPr>
                <w:sz w:val="14"/>
                <w:szCs w:val="14"/>
                <w:color w:val="auto"/>
              </w:rPr>
            </w:pPr>
          </w:p>
        </w:tc>
        <w:tc>
          <w:tcPr>
            <w:tcW w:w="124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4"/>
              </w:rPr>
              <w:t>Stock (#)</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52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Stock ($)</w:t>
            </w:r>
          </w:p>
        </w:tc>
        <w:tc>
          <w:tcPr>
            <w:tcW w:w="10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Price) ($)</w:t>
            </w: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Delos Investments 1</w:t>
            </w:r>
            <w:r>
              <w:rPr>
                <w:rFonts w:ascii="Arial" w:cs="Arial" w:eastAsia="Arial" w:hAnsi="Arial"/>
                <w:sz w:val="11"/>
                <w:szCs w:val="11"/>
                <w:color w:val="auto"/>
              </w:rPr>
              <w:t>(1)</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804,073</w:t>
            </w:r>
          </w:p>
        </w:tc>
        <w:tc>
          <w:tcPr>
            <w:tcW w:w="5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11,249,995</w:t>
            </w:r>
          </w:p>
        </w:tc>
        <w:tc>
          <w:tcPr>
            <w:tcW w:w="5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11,249,995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(2)</w:t>
            </w:r>
          </w:p>
        </w:tc>
        <w:tc>
          <w:tcPr>
            <w:tcW w:w="700" w:type="dxa"/>
            <w:vAlign w:val="bottom"/>
          </w:tcPr>
          <w:p>
            <w:pPr>
              <w:jc w:val="right"/>
              <w:spacing w:after="0"/>
              <w:rPr>
                <w:sz w:val="20"/>
                <w:szCs w:val="20"/>
                <w:color w:val="auto"/>
              </w:rPr>
            </w:pPr>
            <w:r>
              <w:rPr>
                <w:rFonts w:ascii="Arial" w:cs="Arial" w:eastAsia="Arial" w:hAnsi="Arial"/>
                <w:sz w:val="18"/>
                <w:szCs w:val="18"/>
                <w:color w:val="auto"/>
              </w:rPr>
              <w:t>363,314</w:t>
            </w:r>
          </w:p>
        </w:tc>
        <w:tc>
          <w:tcPr>
            <w:tcW w:w="5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2,071,019</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3,012,238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5,083,257</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312,085</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4"/>
              </w:rPr>
              <w:t>1,779,016</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2,587,519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4,366,535</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(4)</w:t>
            </w:r>
          </w:p>
        </w:tc>
        <w:tc>
          <w:tcPr>
            <w:tcW w:w="700" w:type="dxa"/>
            <w:vAlign w:val="bottom"/>
          </w:tcPr>
          <w:p>
            <w:pPr>
              <w:jc w:val="right"/>
              <w:spacing w:after="0"/>
              <w:rPr>
                <w:sz w:val="20"/>
                <w:szCs w:val="20"/>
                <w:color w:val="auto"/>
              </w:rPr>
            </w:pPr>
            <w:r>
              <w:rPr>
                <w:rFonts w:ascii="Arial" w:cs="Arial" w:eastAsia="Arial" w:hAnsi="Arial"/>
                <w:sz w:val="18"/>
                <w:szCs w:val="18"/>
                <w:color w:val="auto"/>
              </w:rPr>
              <w:t>86,419</w:t>
            </w:r>
          </w:p>
        </w:tc>
        <w:tc>
          <w:tcPr>
            <w:tcW w:w="5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492,651</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716,531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1,209,182</w:t>
            </w: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RMI Investments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142,764</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813,808</w:t>
            </w: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1,183,660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Chen, a member of our board of directors, is the managing partner of Delos Capital Fund, LP.</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Mr. Podlesak and Dr. Kamdar, members of our board of directors, are partners of Domain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Evnin, a member of our board of directors, is a managing director of MPM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Dr. Royston, a member of our board of directors, is a managing member of Forward Ventures.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C-1 Convertible Preferred Stock</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August 21, 2015, we issued 4,377,902 shares of Series C-1 convertible preferred stock at a price per share of $14.00, pursuant to a Series C-1 preferred stock purchase agreement, or the August Series C-1 financing, for gross cash proceeds of $61.3 million.</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table below sets forth the number of shares of Series C-1 convertible preferred stock purchased by holders of more than 5% of our capital stock and their affiliated entities in the August Series C-1 financing. Each share of Series C-1 convertible preferred stock in the table below will convert into one share of our common stock upon completion of this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Series C-1</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Price of Series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C-1 Convertible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60" w:type="dxa"/>
            <w:vAlign w:val="bottom"/>
            <w:vMerge w:val="restart"/>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60" w:type="dxa"/>
            <w:vAlign w:val="bottom"/>
            <w:vMerge w:val="continue"/>
          </w:tcPr>
          <w:p>
            <w:pPr>
              <w:spacing w:after="0"/>
              <w:rPr>
                <w:sz w:val="14"/>
                <w:szCs w:val="14"/>
                <w:color w:val="auto"/>
              </w:rPr>
            </w:pPr>
          </w:p>
        </w:tc>
        <w:tc>
          <w:tcPr>
            <w:tcW w:w="14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Stock (#)</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Stock ($)</w:t>
            </w:r>
          </w:p>
        </w:tc>
        <w:tc>
          <w:tcPr>
            <w:tcW w:w="0" w:type="dxa"/>
            <w:vAlign w:val="bottom"/>
          </w:tcPr>
          <w:p>
            <w:pPr>
              <w:spacing w:after="0"/>
              <w:rPr>
                <w:sz w:val="1"/>
                <w:szCs w:val="1"/>
                <w:color w:val="auto"/>
              </w:rPr>
            </w:pPr>
          </w:p>
        </w:tc>
      </w:tr>
      <w:tr>
        <w:trPr>
          <w:trHeight w:val="203"/>
        </w:trPr>
        <w:tc>
          <w:tcPr>
            <w:tcW w:w="8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Delos Investments 1</w:t>
            </w:r>
            <w:r>
              <w:rPr>
                <w:rFonts w:ascii="Arial" w:cs="Arial" w:eastAsia="Arial" w:hAnsi="Arial"/>
                <w:sz w:val="11"/>
                <w:szCs w:val="11"/>
                <w:color w:val="auto"/>
              </w:rPr>
              <w:t>(1)</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379,702</w:t>
            </w:r>
          </w:p>
        </w:tc>
        <w:tc>
          <w:tcPr>
            <w:tcW w:w="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5,312,511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Funds affiliated with BlackRock, Inc.</w:t>
            </w:r>
          </w:p>
        </w:tc>
        <w:tc>
          <w:tcPr>
            <w:tcW w:w="760" w:type="dxa"/>
            <w:vAlign w:val="bottom"/>
          </w:tcPr>
          <w:p>
            <w:pPr>
              <w:jc w:val="right"/>
              <w:spacing w:after="0"/>
              <w:rPr>
                <w:sz w:val="20"/>
                <w:szCs w:val="20"/>
                <w:color w:val="auto"/>
              </w:rPr>
            </w:pPr>
            <w:r>
              <w:rPr>
                <w:rFonts w:ascii="Arial" w:cs="Arial" w:eastAsia="Arial" w:hAnsi="Arial"/>
                <w:sz w:val="18"/>
                <w:szCs w:val="18"/>
                <w:color w:val="auto"/>
              </w:rPr>
              <w:t>714,730</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9,999,994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Fidelity Management &amp; Research Company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1,429,464</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Mr. Chen, a member of our board of directors, is the managing partner of Delos Capital Fund, LP.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NovaMedica Agreements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third tranche of the Series B-1 financing in August 2013, we entered into a technology transfer agreement with Domain Russia Investments Limited, or DRI, an affiliate of Domain VIII. Domain VIII and Domain VI are both managed by Domain LLC. Pursuant to the technology transfer agreement, in exchange for a nominal payment, we assigned to DRI certain patent applications, or the assigned patents, in Armenia, Azerbaijan, Belarus, Georgia, Kazakhstan, Kyrgyzstan, Moldova, Russia, Tajikistan, Turkmenistan, Ukraine and Uzbekistan, or the territory, and granted to DRI an exclusive, fully paid-up, royalty-free, irrevocable and assignable license under our other intellectual property to develop and commercialize entinostat and any other product containing the same active ingredient in the territory. We concurrently entered into a sublicense agreement, or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DRI sublicense, with DRI and a sublicense agreement, or the NovaMedica sublicense, with NovaMedica LLC, or NovaMedica. NovaMedica is jointly owned by Rusnano Medinvest LLC, or Rusnano Medinvest, and DRI. RMI, a holder of more than 5% of our capital stock, is a wholly owned subsidiary of Rusnano Medinvest. Fabrice Egros, Ph.D., a member of our board of directors, was NovaMedica’s Deputy Chief Executive Officer/Chief Operating Officer from November 2012 to September 2015 and a member of its board of directors from July 2012 to September 2015. Pursuant to the DRI sublicense, we granted to DRI an exclusive sublicense under the patents and other intellectual property licensed to us by Bayer to develop, manufacture and commercialize entinostat and any other product containing the same active ingredient in the Russian Federation. Pursuant to the NovaMedica sublicense, we granted to NovaMedica an exclusive sublicense under the patents and other intellectual property licensed to us by Bayer to develop, manufacture and commercialize entinostat and any other product containing the same active ingredient in the rest of the territory. Immediately thereafter, we, together with DRI and NovaMedica, executed an assignment and assumption agreement, pursuant to which the assigned patents and all of DRI’s rights and obligations under the technology transfer agreement and the DRI sublicense were transferred to NovaMedica. We agreed to perform all actions required to ensure that the patent assignments to DRI are registered and recorded in each country in the territory, and we agreed to provide all assistance that may be reasonably required to complete the subsequent transfer to NovaMedica of the assigned patents and DRI’s rights under the technology transfer agreement and the DRI sublicense.</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terms of the technology transfer agreement, we have agreed, at NovaMedica’s reasonable request, to facilitate NovaMedica’s establishment of a manufacturing relationship with any of our third-party manufacturers. We also have agreed to provide NovaMedica with certain know-how and development and manufacturing support, including making our employees available to provide scientific and technical explanations, advice and support that may be reasonably required by NovaMedica. NovaMedica is required to reimburse us for any out-of-pocket expenses incurred by us in providing this assistance. In addition, we have agreed to sell to NovaMedica, at cost, our on-hand quantities of entinostat or any other product containing the same active ingredient to enable NovaMedica to conduct clinical trials of such product in the territory, so long as any sale does not reasonably interfere with our own development and commercialization activities.</w:t>
      </w:r>
    </w:p>
    <w:p>
      <w:pPr>
        <w:spacing w:after="0" w:line="14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October 2013, we entered into a letter agreement with DRI pursuant to which we are obligated to indemnify DRI against certain third party claims. In particular, DRI, as an owner of NovaMedica, may be obligated under certain Russian loss compensation laws to make additional contributions to NovaMedica should the patent applications assigned by us to DRI under the technology transfer agreement, which were subsequently assigned by DRI to NovaMedica, diminish in value. We have agreed to indemnify DRI against any claims brought in respect of such Russian loss compensation laws, where such claims arise out of our breach of specified representations and warranties that we made in the technology transfer agreement, up to a maximum amount of $1.2 million.</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the same time that we entered into the technology transfer agreement, the DRI sublicense and the NovaMedica sublicense, we also entered into a clinical development and collaboration agreement, or the collaboration agreement, and a supply agreement with NovaMedica. The collaboration agreement establishes a framework under which we will consult with NovaMedica on development and regulatory issues relating to entinostat, including through various joint committees to be formed by the parties. Under the supply agreement, we are obligated to provide NovaMedica with a commercial supply of entinostat at a price to be negotiated in the future after the specifications for the commercial form of entinostat are finalized. Such price is limited to a fixed percentage mark-up over our costs. We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do not consider our agreements with DRI and NovaMedica to be material given the early stage of development of entinostat in the territory and immateriality of the market in the territory.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are party to an amended and restated investors’ rights agreement, or the investors’ rights agreement, dated August 21, 2015, with the holders of our convertible preferred stock, certain holders of our common stock and Bayer. The investors’ rights agreement provides that the holders of common stock issuable upon conversion of our convertible preferred stock have the right to demand that we file a registration statement or request that their shares of common stock be covered by a registration statement that we otherwise file. In addition to the registration rights, the investors’ rights agreement provides for certain information rights and rights of first refusal. The provisions of the investors’ rights agreement will terminate upon the completion of this offering, other than the registration rights which will terminate upon the earlier of (i) with respect to each stockholder, the date when such stockholder can sell all of its registrable shares in a single transaction pursuant to Rule 144 of the Securities Act, (ii) three years after this offering or (iii) a liquidating transaction as defined in our amended and restated certificate of incorporation, as currently in effect. The registration rights are described in more detail in the section titled “Description of Capital Stock— Registration Rights.”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entered into an amended and restated voting agreement dated August 21, 2015, or the voting agreement, with certain holders of our common stock and certain holders of our convertible preferred stock. Pursuant to the voting agreement, holders of our Series A-1 convertible preferred stock, Series B-1 convertible preferred stock and Series C-1 convertible preferred stock have agreed to vote to approve the following: (i) one director to be a designee of Domain VIII, DP VIII, Domain VI and DP VI Associates, L.P., or DP VI, who is currently Kim P. Kamdar, Ph.D.; (ii) one director to be a designee of MPM IV-QP, who is currently Luke Evnin, Ph.D.; (iii) one director to be a designee of Forward V, Forward IV and Forward IVB, who is currently Ivor Royston, M.D.; (iv) one director to be a designee of RMI, who is Fabrice Egros, Ph.D.; and (v) one director to be a designee of Delos, who is currently Henry Chen. Certain holders of common stock have agreed to vote to approve the following: one director to be our Chief Executive Officer, who is currently Briggs W. Morrison, M.D.; and one director to be nominated by such holders of common stock, who is currently Dennis G. Podlesak. Certain holders of common stock and convertible preferred stock have agreed to vote together as a single class to nominate two directors who are not affiliates of us or any of our investors, to be designated as independent by unanimous approval of our board of directors, who are currently George W. Sledge Jr., M.D. and Richard P. Shea. The voting agreement will terminate upon the earlier of (i) the completion of this offering, (ii) a liquidating transaction as defined in the voting agreement or (iii) 10 years from the date of the voting agreement.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have entered into various employment related agreements and compensatory arrangements with our directors and executive officers that, among other things, provide for compensatory and certain severance and change of control benefits. For a description of these agreements and arrangements, see the section titled “Executive and Director Compensation—Executive Compensation—Employment Agreements.”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entered into separate indemnification agreements with our directors and officers. See the section titled “Executive and Director Compensation— Limitation of Liability and Indemnification Agreements.”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Transactions with Related Parties</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September 2015, our board of directors adopted a written related party transaction policy that will be in effect upon completion of this offering. Accordingly, following this offering, all proposed related party transactions must be approved by either (i) our nominating and corporate governance committee or (ii) our full board of directors. This review will cover any transaction, arrangement or relationship, or any series of similar transactions, arrangements or relationships, in which we were or are to be a participant, the amount involved exceeds $120,000, and a related party had or will have a direct or indirect material interest, including purchases of goods or services by or from a related party in which the related party has a material interest, and indebtedness, guarantees of indebtedness and employment by us of a related party. A “related party” is any person who is or was one of our executive officers, directors or director nominees or is a holder of more than 5% of our common stock, or their immediate family members or any entity owned or controlled by any of the foregoing persons.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40"/>
          </w:cols>
          <w:pgMar w:left="240" w:top="460" w:right="3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sets forth certain information known to us regarding the beneficial ownership of our common stock as of February 15, 2016, and as adjusted to reflect the sale of shares of common stock in this offering and the conversion of all outstanding shares of our convertible preferred stock by:</w:t>
      </w:r>
    </w:p>
    <w:p>
      <w:pPr>
        <w:spacing w:after="0" w:line="126" w:lineRule="exact"/>
        <w:rPr>
          <w:sz w:val="20"/>
          <w:szCs w:val="20"/>
          <w:color w:val="auto"/>
        </w:rPr>
      </w:pPr>
    </w:p>
    <w:p>
      <w:pPr>
        <w:ind w:left="1000" w:hanging="31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voting securities.</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have based our calculation of beneficial ownership prior to this offering on 12,972,675 shares of common stock outstanding on February 15, 2016, assuming the conversion of all outstanding shares of our convertible preferred stock into an aggregate of 12,872,551 shares of our common stock upon completion of this offering. We have based our calculation of beneficial ownership after this offering on 17,372,675 shares of our common stock outstanding immediately following the completion of this offering, which gives effect to (i) the issuance of 4,400,000 shares of common stock in this offering and (ii) the conversion of all outstanding shares of our convertible preferred stock into an aggregate of 12,872,551 shares of our common stock upon completion of this offering. Ownership information assumes no exercise of the underwriters’ over-allotment option.</w:t>
      </w:r>
    </w:p>
    <w:p>
      <w:pPr>
        <w:spacing w:after="0" w:line="1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240" w:top="460" w:right="5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Information with respect to beneficial ownership has been furnished to us by each director, executive officer or stockholder who holds more than 5% of any class of our voting securities,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February 15, 2016. Options to purchase shares of our common stock that are exercisable within 60 days of February 15, 2016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except for shares owned jointly with that person’s spouse. Unless otherwise indicated, the address for each of the stockholders in the table below is c/o Syndax Pharmaceuticals, Inc., 400 Totten Pond Road, Suite 110, Waltham, Massachusetts 02451.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Shares of Common Stock</w:t>
            </w:r>
          </w:p>
        </w:tc>
        <w:tc>
          <w:tcPr>
            <w:tcW w:w="15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86"/>
              </w:rPr>
              <w:t>Percentage of Shares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8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7"/>
              </w:rPr>
              <w:t>Beneficially Owned</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5620" w:type="dxa"/>
            <w:vAlign w:val="bottom"/>
            <w:vMerge w:val="restart"/>
          </w:tcPr>
          <w:p>
            <w:pPr>
              <w:spacing w:after="0"/>
              <w:rPr>
                <w:sz w:val="11"/>
                <w:szCs w:val="11"/>
                <w:color w:val="auto"/>
              </w:rPr>
            </w:pPr>
          </w:p>
        </w:tc>
        <w:tc>
          <w:tcPr>
            <w:tcW w:w="9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Before</w:t>
            </w: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18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Before</w:t>
            </w:r>
          </w:p>
        </w:tc>
        <w:tc>
          <w:tcPr>
            <w:tcW w:w="50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rPr>
              <w:t>After</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20" w:type="dxa"/>
            <w:vAlign w:val="bottom"/>
            <w:tcBorders>
              <w:bottom w:val="single" w:sz="8" w:color="auto"/>
            </w:tcBorders>
            <w:vMerge w:val="continue"/>
          </w:tcPr>
          <w:p>
            <w:pPr>
              <w:spacing w:after="0"/>
              <w:rPr>
                <w:sz w:val="14"/>
                <w:szCs w:val="14"/>
                <w:color w:val="auto"/>
              </w:rPr>
            </w:pPr>
          </w:p>
        </w:tc>
        <w:tc>
          <w:tcPr>
            <w:tcW w:w="5620" w:type="dxa"/>
            <w:vAlign w:val="bottom"/>
            <w:vMerge w:val="continue"/>
          </w:tcPr>
          <w:p>
            <w:pPr>
              <w:spacing w:after="0"/>
              <w:rPr>
                <w:sz w:val="14"/>
                <w:szCs w:val="14"/>
                <w:color w:val="auto"/>
              </w:rPr>
            </w:pPr>
          </w:p>
        </w:tc>
        <w:tc>
          <w:tcPr>
            <w:tcW w:w="9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Offering</w:t>
            </w:r>
          </w:p>
        </w:tc>
        <w:tc>
          <w:tcPr>
            <w:tcW w:w="9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Offering</w:t>
            </w: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8"/>
              </w:rPr>
              <w:t>Offering</w:t>
            </w:r>
          </w:p>
        </w:tc>
        <w:tc>
          <w:tcPr>
            <w:tcW w:w="7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Offering</w:t>
            </w:r>
          </w:p>
        </w:tc>
        <w:tc>
          <w:tcPr>
            <w:tcW w:w="0" w:type="dxa"/>
            <w:vAlign w:val="bottom"/>
          </w:tcPr>
          <w:p>
            <w:pPr>
              <w:spacing w:after="0"/>
              <w:rPr>
                <w:sz w:val="1"/>
                <w:szCs w:val="1"/>
                <w:color w:val="auto"/>
              </w:rPr>
            </w:pPr>
          </w:p>
        </w:tc>
      </w:tr>
      <w:tr>
        <w:trPr>
          <w:trHeight w:val="190"/>
        </w:trPr>
        <w:tc>
          <w:tcPr>
            <w:tcW w:w="8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7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Michael A. Metzger</w:t>
            </w:r>
            <w:r>
              <w:rPr>
                <w:rFonts w:ascii="Arial" w:cs="Arial" w:eastAsia="Arial" w:hAnsi="Arial"/>
                <w:sz w:val="11"/>
                <w:szCs w:val="11"/>
                <w:color w:val="auto"/>
              </w:rPr>
              <w:t>(1)</w:t>
            </w:r>
          </w:p>
        </w:tc>
        <w:tc>
          <w:tcPr>
            <w:tcW w:w="740" w:type="dxa"/>
            <w:vAlign w:val="bottom"/>
          </w:tcPr>
          <w:p>
            <w:pPr>
              <w:jc w:val="right"/>
              <w:spacing w:after="0"/>
              <w:rPr>
                <w:sz w:val="20"/>
                <w:szCs w:val="20"/>
                <w:color w:val="auto"/>
              </w:rPr>
            </w:pPr>
            <w:r>
              <w:rPr>
                <w:rFonts w:ascii="Arial" w:cs="Arial" w:eastAsia="Arial" w:hAnsi="Arial"/>
                <w:sz w:val="18"/>
                <w:szCs w:val="18"/>
                <w:color w:val="auto"/>
              </w:rPr>
              <w:t>486,240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486,240</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L. Meyers</w:t>
            </w:r>
            <w:r>
              <w:rPr>
                <w:rFonts w:ascii="Arial" w:cs="Arial" w:eastAsia="Arial" w:hAnsi="Arial"/>
                <w:sz w:val="11"/>
                <w:szCs w:val="11"/>
                <w:color w:val="auto"/>
              </w:rPr>
              <w:t>(2)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162,079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Arlene M. Morris</w:t>
            </w:r>
            <w:r>
              <w:rPr>
                <w:rFonts w:ascii="Arial" w:cs="Arial" w:eastAsia="Arial" w:hAnsi="Arial"/>
                <w:sz w:val="11"/>
                <w:szCs w:val="11"/>
                <w:color w:val="auto"/>
              </w:rPr>
              <w:t>(3)</w:t>
            </w:r>
          </w:p>
        </w:tc>
        <w:tc>
          <w:tcPr>
            <w:tcW w:w="740" w:type="dxa"/>
            <w:vAlign w:val="bottom"/>
          </w:tcPr>
          <w:p>
            <w:pPr>
              <w:jc w:val="right"/>
              <w:spacing w:after="0"/>
              <w:rPr>
                <w:sz w:val="20"/>
                <w:szCs w:val="20"/>
                <w:color w:val="auto"/>
              </w:rPr>
            </w:pPr>
            <w:r>
              <w:rPr>
                <w:rFonts w:ascii="Arial" w:cs="Arial" w:eastAsia="Arial" w:hAnsi="Arial"/>
                <w:sz w:val="18"/>
                <w:szCs w:val="18"/>
                <w:color w:val="auto"/>
              </w:rPr>
              <w:t>308,553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308,553</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G. Podlesak</w:t>
            </w:r>
            <w:r>
              <w:rPr>
                <w:rFonts w:ascii="Arial" w:cs="Arial" w:eastAsia="Arial" w:hAnsi="Arial"/>
                <w:sz w:val="11"/>
                <w:szCs w:val="11"/>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Henry Chen</w:t>
            </w:r>
            <w:r>
              <w:rPr>
                <w:rFonts w:ascii="Arial" w:cs="Arial" w:eastAsia="Arial" w:hAnsi="Arial"/>
                <w:sz w:val="11"/>
                <w:szCs w:val="11"/>
                <w:color w:val="auto"/>
              </w:rPr>
              <w:t>(5)</w:t>
            </w:r>
          </w:p>
        </w:tc>
        <w:tc>
          <w:tcPr>
            <w:tcW w:w="740" w:type="dxa"/>
            <w:vAlign w:val="bottom"/>
          </w:tcPr>
          <w:p>
            <w:pPr>
              <w:jc w:val="right"/>
              <w:spacing w:after="0"/>
              <w:rPr>
                <w:sz w:val="20"/>
                <w:szCs w:val="20"/>
                <w:color w:val="auto"/>
              </w:rPr>
            </w:pPr>
            <w:r>
              <w:rPr>
                <w:rFonts w:ascii="Arial" w:cs="Arial" w:eastAsia="Arial" w:hAnsi="Arial"/>
                <w:sz w:val="18"/>
                <w:szCs w:val="18"/>
                <w:color w:val="auto"/>
              </w:rPr>
              <w:t>14,400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14,400</w:t>
            </w: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Fabrice Egros, Ph.D. </w:t>
            </w:r>
            <w:r>
              <w:rPr>
                <w:rFonts w:ascii="Arial" w:cs="Arial" w:eastAsia="Arial" w:hAnsi="Arial"/>
                <w:sz w:val="11"/>
                <w:szCs w:val="11"/>
                <w:color w:val="auto"/>
              </w:rPr>
              <w:t>(6)</w:t>
            </w: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Luke Evnin, Ph.D.</w:t>
            </w:r>
            <w:r>
              <w:rPr>
                <w:rFonts w:ascii="Arial" w:cs="Arial" w:eastAsia="Arial" w:hAnsi="Arial"/>
                <w:sz w:val="11"/>
                <w:szCs w:val="11"/>
                <w:color w:val="auto"/>
              </w:rPr>
              <w:t>(7)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2,195,658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2,195,658</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P. Kamdar, Ph.D.</w:t>
            </w:r>
            <w:r>
              <w:rPr>
                <w:rFonts w:ascii="Arial" w:cs="Arial" w:eastAsia="Arial" w:hAnsi="Arial"/>
                <w:sz w:val="11"/>
                <w:szCs w:val="11"/>
                <w:color w:val="auto"/>
              </w:rPr>
              <w:t>(8)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Briggs W. Morrison, M.D.</w:t>
            </w:r>
            <w:r>
              <w:rPr>
                <w:rFonts w:ascii="Arial" w:cs="Arial" w:eastAsia="Arial" w:hAnsi="Arial"/>
                <w:sz w:val="11"/>
                <w:szCs w:val="11"/>
                <w:color w:val="auto"/>
              </w:rPr>
              <w:t>(9)</w:t>
            </w:r>
          </w:p>
        </w:tc>
        <w:tc>
          <w:tcPr>
            <w:tcW w:w="740" w:type="dxa"/>
            <w:vAlign w:val="bottom"/>
          </w:tcPr>
          <w:p>
            <w:pPr>
              <w:jc w:val="right"/>
              <w:spacing w:after="0"/>
              <w:rPr>
                <w:sz w:val="20"/>
                <w:szCs w:val="20"/>
                <w:color w:val="auto"/>
              </w:rPr>
            </w:pPr>
            <w:r>
              <w:rPr>
                <w:rFonts w:ascii="Arial" w:cs="Arial" w:eastAsia="Arial" w:hAnsi="Arial"/>
                <w:sz w:val="18"/>
                <w:szCs w:val="18"/>
                <w:color w:val="auto"/>
              </w:rPr>
              <w:t>810,401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810,401</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Ivor Royston, M.D.</w:t>
            </w:r>
            <w:r>
              <w:rPr>
                <w:rFonts w:ascii="Arial" w:cs="Arial" w:eastAsia="Arial" w:hAnsi="Arial"/>
                <w:sz w:val="11"/>
                <w:szCs w:val="11"/>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622,712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622,712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Richard P. Shea</w:t>
            </w:r>
            <w:r>
              <w:rPr>
                <w:rFonts w:ascii="Arial" w:cs="Arial" w:eastAsia="Arial" w:hAnsi="Arial"/>
                <w:sz w:val="11"/>
                <w:szCs w:val="11"/>
                <w:color w:val="auto"/>
              </w:rPr>
              <w:t>(11)</w:t>
            </w:r>
          </w:p>
        </w:tc>
        <w:tc>
          <w:tcPr>
            <w:tcW w:w="740" w:type="dxa"/>
            <w:vAlign w:val="bottom"/>
          </w:tcPr>
          <w:p>
            <w:pPr>
              <w:jc w:val="right"/>
              <w:spacing w:after="0"/>
              <w:rPr>
                <w:sz w:val="20"/>
                <w:szCs w:val="20"/>
                <w:color w:val="auto"/>
              </w:rPr>
            </w:pPr>
            <w:r>
              <w:rPr>
                <w:rFonts w:ascii="Arial" w:cs="Arial" w:eastAsia="Arial" w:hAnsi="Arial"/>
                <w:sz w:val="18"/>
                <w:szCs w:val="18"/>
                <w:color w:val="auto"/>
              </w:rPr>
              <w:t>26,966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26,966</w:t>
            </w:r>
          </w:p>
        </w:tc>
        <w:tc>
          <w:tcPr>
            <w:tcW w:w="1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W. Sledge Jr., M.D.</w:t>
            </w:r>
            <w:r>
              <w:rPr>
                <w:rFonts w:ascii="Arial" w:cs="Arial" w:eastAsia="Arial" w:hAnsi="Arial"/>
                <w:sz w:val="11"/>
                <w:szCs w:val="11"/>
                <w:color w:val="auto"/>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40" w:type="dxa"/>
            <w:vAlign w:val="bottom"/>
            <w:gridSpan w:val="2"/>
          </w:tcPr>
          <w:p>
            <w:pPr>
              <w:ind w:left="440"/>
              <w:spacing w:after="0"/>
              <w:rPr>
                <w:sz w:val="20"/>
                <w:szCs w:val="20"/>
                <w:color w:val="auto"/>
              </w:rPr>
            </w:pPr>
            <w:r>
              <w:rPr>
                <w:rFonts w:ascii="Arial" w:cs="Arial" w:eastAsia="Arial" w:hAnsi="Arial"/>
                <w:sz w:val="18"/>
                <w:szCs w:val="18"/>
                <w:color w:val="auto"/>
              </w:rPr>
              <w:t>All executive officers and directors as a group (14 persons)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5,125,051</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5,125,051</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33.5%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Entities affiliated with BlackRock, Inc.</w:t>
            </w:r>
            <w:r>
              <w:rPr>
                <w:rFonts w:ascii="Arial" w:cs="Arial" w:eastAsia="Arial" w:hAnsi="Arial"/>
                <w:sz w:val="11"/>
                <w:szCs w:val="11"/>
                <w:color w:val="auto"/>
              </w:rPr>
              <w:t>(13)</w:t>
            </w:r>
          </w:p>
        </w:tc>
        <w:tc>
          <w:tcPr>
            <w:tcW w:w="740" w:type="dxa"/>
            <w:vAlign w:val="bottom"/>
          </w:tcPr>
          <w:p>
            <w:pPr>
              <w:jc w:val="right"/>
              <w:spacing w:after="0"/>
              <w:rPr>
                <w:sz w:val="20"/>
                <w:szCs w:val="20"/>
                <w:color w:val="auto"/>
              </w:rPr>
            </w:pPr>
            <w:r>
              <w:rPr>
                <w:rFonts w:ascii="Arial" w:cs="Arial" w:eastAsia="Arial" w:hAnsi="Arial"/>
                <w:sz w:val="18"/>
                <w:szCs w:val="18"/>
                <w:color w:val="auto"/>
              </w:rPr>
              <w:t>714,730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714,730</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Domain Associates</w:t>
            </w:r>
            <w:r>
              <w:rPr>
                <w:rFonts w:ascii="Arial" w:cs="Arial" w:eastAsia="Arial" w:hAnsi="Arial"/>
                <w:sz w:val="11"/>
                <w:szCs w:val="11"/>
                <w:color w:val="auto"/>
              </w:rPr>
              <w:t>(14)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2,538,046</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2,538,046</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r>
              <w:rPr>
                <w:rFonts w:ascii="Arial" w:cs="Arial" w:eastAsia="Arial" w:hAnsi="Arial"/>
                <w:sz w:val="11"/>
                <w:szCs w:val="11"/>
                <w:color w:val="auto"/>
              </w:rPr>
              <w:t>(15)</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1,456,106</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1,456,106</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 Capital</w:t>
            </w:r>
            <w:r>
              <w:rPr>
                <w:rFonts w:ascii="Arial" w:cs="Arial" w:eastAsia="Arial" w:hAnsi="Arial"/>
                <w:sz w:val="11"/>
                <w:szCs w:val="11"/>
                <w:color w:val="auto"/>
              </w:rPr>
              <w:t>(16)</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2,168,691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2,168,691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Delos Investments 1</w:t>
            </w:r>
            <w:r>
              <w:rPr>
                <w:rFonts w:ascii="Arial" w:cs="Arial" w:eastAsia="Arial" w:hAnsi="Arial"/>
                <w:sz w:val="11"/>
                <w:szCs w:val="11"/>
                <w:color w:val="auto"/>
              </w:rPr>
              <w:t>(17)</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1,183,775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1,183,775</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RMI Investments</w:t>
            </w:r>
            <w:r>
              <w:rPr>
                <w:rFonts w:ascii="Arial" w:cs="Arial" w:eastAsia="Arial" w:hAnsi="Arial"/>
                <w:sz w:val="11"/>
                <w:szCs w:val="11"/>
                <w:color w:val="auto"/>
              </w:rPr>
              <w:t>(18)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971,852</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971,852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1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solely of 486,240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solely of 162,079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solely of 308,553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right="400" w:hanging="452"/>
        <w:spacing w:after="0" w:line="255"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Consists solely of 136,415 shares of common stock issuable upon the exercise of stock options within 60 days of February 15, 2016. Mr. Podlesak is a partner of Domain LLC. Mr. Podlesak has no voting or dispositive control over and disclaims beneficial ownership of the shares held by the entities affiliated with Domain LLC listed in footnote 14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solely of 14,400 shares of common stock issuable upon the exercise of stock options within 60 days of February 15, 2016.</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solely of 22,167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(a) 26,967 shares of common stock issuable upon the exercise of stock options within 60 days of February 15, 2016, (b) 1,806,759 shares of common stock held by MPM IV-QP, (c) 240,963 shares of common stock held by MPM Strategic Fund, (d) 69,600 shares of common stock held by MPM Beteiligungs, and (e) 51,369 shares of common stock held by MPM BV4. Dr. Evnin is a member of MPM IV LLC, which is the managing member of MPM IV GP, which is (i) the general partner of each of MPM IV-QP and MPM Strategic Fund, and (ii) the managing limited partner of MPM Beteiligungs. MPM IV LLC is the manager of MPM BV4. Dr. Evnin shares power to vote, acquire, hold and dispose of the shares held by MPM IV-QP, MPM Strategic Fund, MPM Beteiligungs and MPM BV4, or collectively the MPM Entities. Dr. Evnin disclaims beneficial ownership of all shares held by the MPM Entities, except to the extent of his actual pecuniary interest therein.</w:t>
      </w:r>
    </w:p>
    <w:p>
      <w:pPr>
        <w:spacing w:after="0" w:line="4"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 (a) 12,283 shares of common stock and (b) 13,564 shares of common stock held by Domain LLC. Dr. Kamdar is a managing member of Domain LLC, and shares voting and investment power over the shares held by Domain LLC. Dr. Kamdar disclaims beneficial ownership of all shares held by Domain LLC, except to the extent of her actual pecuniary interest therein.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solely of 810,401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of (a) 22,167 shares of common stock issuable upon the exercise of stock options within 60 days of February 15, 2016, (b) 400,371 shares of common stock held by Forward V, (c) 184,539 shares of common stock held by Forward IV, and (d) 15,635 shares of common stock held by Forward IVB. Dr. Royston is a member of Forward V and a managing member of Forward IV Associates, which is the general partner of each of Forward IV and Forward IVB. Forward V, Forward IV and Forward IVB are referred to herein as the Forward Entities. Dr. Royston shares voting and investment power over the shares held by the Forward Entities, and disclaims beneficial ownership of all shares held by the Forward Entities, except to the extent of his actual pecuniary interest therein.</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solely of 26,966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Consists solely of 26,966 shares of common stock issuable upon the exercise of stock options within 60 days of February 15, 2016.</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(a) 668,208 shares of common stock held by BlackRock Health Sciences Opportunities Portfolio, a series of BlackRock Funds, (b) 35,428 shares of common stock held by BlackRock Health Sciences Trust and (c) 11,094 shares of common stock held by BlackRock Health Sciences Master Unit Trust. The registered holders of the referenced shares are funds and accounts under management by investment adviser subsidiaries of BlackRock, Inc. BlackRock, Inc. is the ultimate parent holding company of such investment adviser entities. On behalf of such investment adviser entities, Thomas Callan, as a managing director of such entities, has voting and investment power over the shares held by the funds and accounts which are the registered holders of the referenced shares. Thomas Callan expressly disclaims beneficial ownership of all shares held by such funds and accounts. The address of such funds and accounts, such investment adviser subsidiaries and Thomas Callan is 2929 Arch Street, 16</w:t>
      </w:r>
      <w:r>
        <w:rPr>
          <w:rFonts w:ascii="Arial" w:cs="Arial" w:eastAsia="Arial" w:hAnsi="Arial"/>
          <w:sz w:val="10"/>
          <w:szCs w:val="10"/>
          <w:color w:val="auto"/>
        </w:rPr>
        <w:t>th</w:t>
      </w:r>
      <w:r>
        <w:rPr>
          <w:rFonts w:ascii="Arial" w:cs="Arial" w:eastAsia="Arial" w:hAnsi="Arial"/>
          <w:sz w:val="16"/>
          <w:szCs w:val="16"/>
          <w:color w:val="auto"/>
        </w:rPr>
        <w:t xml:space="preserve"> Floor, Philadelphia, PA 19104.</w:t>
      </w:r>
    </w:p>
    <w:p>
      <w:pPr>
        <w:spacing w:after="0" w:line="4" w:lineRule="exact"/>
        <w:rPr>
          <w:rFonts w:ascii="Arial" w:cs="Arial" w:eastAsia="Arial" w:hAnsi="Arial"/>
          <w:sz w:val="16"/>
          <w:szCs w:val="16"/>
          <w:color w:val="auto"/>
        </w:rPr>
      </w:pPr>
    </w:p>
    <w:p>
      <w:pPr>
        <w:ind w:left="460" w:right="80" w:hanging="452"/>
        <w:spacing w:after="0" w:line="290" w:lineRule="auto"/>
        <w:tabs>
          <w:tab w:leader="none" w:pos="4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Consists of (a) 1,743,854 shares of common stock held by Domain VI, (b) 761,062 shares of common stock held by Domain VIII, (c) 13,925 shares of common stock held by DP VI, (d) 5,641 shares of common stock held by DP VIII, and (e) 13,564 shares of common stock held by Domain LLC. One Palmer Square VI is the general partner of each of Domain VI and DP VI, and One Palmer Square VIII is the general partner of each of Domain VIII and DP VIII. Domain VI, DP VI, Domain VIII, DP VIII and Domain LLC are referred to herein as the Domain Entities. James C. Blair, Brian H. Dovey, Jesse I. Treu, Kathleen K. Schoemaker and Nicole Vitullo, the managing members of One Palmer Square VI, share voting and investment power over the shares held by Domain VI and DP VI. James C. Blair, Brian H. Dovey, Jesse I. Treu, Kathleen 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spacing w:after="0" w:line="251" w:lineRule="auto"/>
        <w:rPr>
          <w:sz w:val="20"/>
          <w:szCs w:val="20"/>
          <w:color w:val="auto"/>
        </w:rPr>
      </w:pPr>
      <w:r>
        <w:rPr>
          <w:rFonts w:ascii="Arial" w:cs="Arial" w:eastAsia="Arial" w:hAnsi="Arial"/>
          <w:sz w:val="18"/>
          <w:szCs w:val="18"/>
          <w:color w:val="auto"/>
        </w:rPr>
        <w:t>Schoemaker, Brian K. Halak and Nicole Vitullo, the managing members of One Palmer Square VIII, share voting and investment power over the shares held by Domain VIII and DP VIII. James C. Blair, Brian H. Dovey, Jesse I. Treu, Kathleen K. Schoemaker, Brian K. Halak, Nicole Vitullo, Nimesh Shah and Dr. Kamdar, the managing members of Domain LLC, share voting and investment power over the shares held by Domain LLC. Each managing member of One Palmer Square VI, One Palmer Square VIII and Domain LLC disclaims beneficial ownership of all shares held by the Domain Entities, except to the extent of each such managing member’s actual pecuniary interest therein. The address for the Domain Entities is One Palmer Square, Suite 515, Princeton, NJ 08542.</w:t>
      </w:r>
    </w:p>
    <w:p>
      <w:pPr>
        <w:spacing w:after="0" w:line="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Consists of (a) 1,153,417 shares of common stock held by Fidelity Select Portfolios: Biotechnology Portfolio, or Fidelity Select Portfolio, (b) 276,047</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shares of common stock held by Fidelity Advisor Series VII: Fidelity Advisor Biotechnology Fund, or Fidelity Advisors, and (c) 26,642 shares of common</w:t>
      </w:r>
    </w:p>
    <w:p>
      <w:pPr>
        <w:spacing w:after="0" w:line="32"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stock held by Fidelity Rutland Square Trust II: Strategic Advisers Small - Mid Cap Fund, or Fidelity Rutland. Fidelity Select Portfolio, Fidelity Advisors and Fidelity Rutland are managed by direct or indirect subsidiaries of FMR LLC. Edward C. Johnson 3d is a Director and the Chairman of FMR LLC and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nor Abigail P. Johnson has the sole power to vote or direct the voting of the shares owned directly by the various investment companies registered under the Investment Company Act, or Fidelity Funds,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address of entities affiliated with Fidelity Select Portfolio and Fidelity Advisors is 245 Summer Street, Boston, MA 02110.</w:t>
      </w:r>
    </w:p>
    <w:p>
      <w:pPr>
        <w:spacing w:after="0" w:line="8"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Consists of (a) 1,806,759 shares of common stock held by MPM IV-QP, (b) 240,963 shares of common stock held by MPM Strategic Fund, (c) 69,600 shares of common stock held by MPM Beteiligungs, and (d) 51,369 shares of common stock held by MPM BV4. MPM IV LLC is the managing member of MPM IV GP, which is (i) the general partner of each of MPM IV-QP and MPM Strategic Fund, and (ii) the managing limited partner of MPM Beteiligungs. MPM IV LLC is the manager of MPM BV4. Dr. Evnin, Ansbert Gadicke, Todd Foley, James Scopa and Vaughn Kailian, members of MPM IV LLC, share power to vote, acquire, hold and dispose of the shares held by the MPM Entities. Each member of MPM IV LLC disclaims beneficial ownership of all shares held by the MPM Entities, except to the extent of each such member’s actual pecuniary interest therein. The address for the MPM Entities is 601 Gateway Blvd., Suite 350, South San Francisco, CA 94080.</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address for Delos Investments 1 is 190 Elgin Avenue, George Town Grand Cayman KY1-9005, Cayman Islands.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address for RMI Investments is 7, Rue Robert Stümper, L-2557, Luxembourg.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Immediately prior to the completion of this offering, our amended and restated certificate of incorporation will authorize us to issue up to 100,000,000 shares of common stock, par value $0.0001 per share and 10,000,000 shares of preferred stock, par value $0.001 per share. As of December 31, 2015, there were outstanding:</w:t>
      </w:r>
    </w:p>
    <w:p>
      <w:pPr>
        <w:spacing w:after="0" w:line="181" w:lineRule="exact"/>
        <w:rPr>
          <w:sz w:val="20"/>
          <w:szCs w:val="20"/>
          <w:color w:val="auto"/>
        </w:rPr>
      </w:pPr>
    </w:p>
    <w:p>
      <w:pPr>
        <w:ind w:left="1000" w:right="120" w:hanging="317"/>
        <w:spacing w:after="0" w:line="259"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12,972,675 shares of our common stock held by approximately 59 stockholders (including 14,684 shares of unvested restricted stock subject to repurchase by us), which gives effect to the conversion of all outstanding shares of our convertible preferred stock into an aggregate of 12,872,551 shares of our common stock upon completion of this offering;</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2,606,195 shares of our common stock subject to outstanding options; and</w:t>
      </w:r>
    </w:p>
    <w:p>
      <w:pPr>
        <w:spacing w:after="0" w:line="90" w:lineRule="exact"/>
        <w:rPr>
          <w:rFonts w:ascii="Arial" w:cs="Arial" w:eastAsia="Arial" w:hAnsi="Arial"/>
          <w:sz w:val="18"/>
          <w:szCs w:val="18"/>
          <w:color w:val="auto"/>
        </w:rPr>
      </w:pPr>
    </w:p>
    <w:p>
      <w:pPr>
        <w:ind w:left="1000" w:right="220" w:hanging="317"/>
        <w:spacing w:after="0" w:line="259"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355,857 shares of our common stock issuable upon the exercise of the Bayer Warrant at an exercise price of $1.54 per share, based upon 19,978,870 shares of our common stock outstanding as of December 31, 2015 on a fully diluted basis immediately following this offering, which warrant is expected to remain outstanding upon completion of this offering.</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description of our capital stock is not complete and is subject to and qualified in its entirety by our amended and restated certificate of incorporation and amended and restated bylaws and by the provisions of applicable Delaware law. Copies of these documents are filed with the SEC as exhibits to our registration statement, of which this prospectus forms a part. The descriptions of our common stock, preferred stock and warrant reflect changes to our capital structure that will occur immediately in connection with the completion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Each holder of common stock is entitled to one vote for each share on all matters submitted to a vote of the stockholders. The affirmative vote of holders of at least 66%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Immediately prior to the completion of this offering, all outstanding shares of our preferred stock will convert into shares of common stock. Upon completion of this offering, our board of directors will have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or other corporate action. We have no current plan to issue any shares of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Warrant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issued the Bayer Warrant to Bayer to purchase such number of shares of our common stock initially equal to 1.75% of the shares of common stock outstanding on a fully diluted basis as of the earlier of the date of exercise or our initial public offering, at an exercise price of $1.54 per share. The Bayer Warrant contains a cashless exercise feature and Bayer may, at its option, exercise the Bayer Warrant in whole or in part at any time prior to expiration upon the earlier of (i) 10 years after our initial public offering or (ii) a consummation of a sale of all or substantially all of our assets or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Holders of 13,259,554 shares of our convertible preferred stock, common stock, and common stock issuable upon exercise of the Bayer Warrant, have the right to demand that we file a registration statement or request that we cover their shares by a registration statement that we otherwise file, as described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any time after 180 days after the completion of this offering, holders of at least 35% of the shares having demand registration rights may request that we register all or a portion of their shares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common stock for sale under the Securities Act. We will effect the registration as requested, unless, in the good faith judgment of our board of directors, such registration would be seriously detrimental to the company and should be delayed. In addition, when we are eligible for the use of Form S-3, or any successor form, holders of at least 20% of the shares having demand registration rights may request that we register all or a portion of their common stock for sale under the Securities Act on Form S-3, or any successor form, so long as the aggregate price, net of underwriting discounts and commissions, to the public in connection with any such offering is more than $1.0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if at any time after this offering we register any shares of our common stock, the holders of all shares having piggyback registration rights are entitled to notice of the registration and to include all or a portion of their shares of common stock in the registration.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the event that any registration in which the holders of registrable shares participate pursuant to the investors’ rights agreement is an underwritten public offering, the number of registrable shares to be included may, in specified circumstances, be limited due to market conditions.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all registration expenses, other than underwriting discounts, selling commissions and stock transfer taxes, and the reasonable fees and expenses of a single special counsel for the selling stockholders, related to any demand, piggyback and Form S-3 registration. The investors’ rights agreement contains customary cross-indemnification provisions, pursuant to which we must indemnify the selling stockholders in the event of material misstatements or omissions in the registration statement attributable to us, and they must indemnify us for material misstatements or omissions in the registration statement attributable to them. The demand, piggyback and Form S-3 registration rights described above will expire, with respect to any particular stockholder, upon the earlier of (i) the date when such stockholder can sell all of its registrable shares in a single transaction pursuant to Rule 144 of the Securities Act, (ii) three years after our initial public offering or (iii) a liquidating transaction as defined in our amended and restated certificate of incorporation, as currently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Immediately Prior to Completion of this Offering</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amended and restated certificate of incorporation and amended and restated bylaws, each to become effective immediately prior to the completion of this offering, will include a number of provisions that may deter or impede hostile takeovers or changes of control or management. These provisions include:</w:t>
      </w:r>
    </w:p>
    <w:p>
      <w:pPr>
        <w:spacing w:after="0" w:line="126" w:lineRule="exact"/>
        <w:rPr>
          <w:sz w:val="20"/>
          <w:szCs w:val="20"/>
          <w:color w:val="auto"/>
        </w:rPr>
      </w:pPr>
    </w:p>
    <w:p>
      <w:pPr>
        <w:ind w:left="1000" w:right="300" w:hanging="317"/>
        <w:spacing w:after="0" w:line="255"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b w:val="1"/>
          <w:bCs w:val="1"/>
          <w:i w:val="1"/>
          <w:iCs w:val="1"/>
          <w:color w:val="auto"/>
        </w:rPr>
        <w:t>Issuance of Undesignated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filing of our amended and restated certificate of incorporation, our board of directors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or to discourage an attempt to obtain control of us by means of a merger, tender offer, proxy contest or otherwise.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100" w:hanging="317"/>
        <w:spacing w:after="0" w:line="25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amended and restated certificate of incorporation provides for a classified board of directors consisting of three classes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62" w:lineRule="exact"/>
        <w:rPr>
          <w:rFonts w:ascii="Arial" w:cs="Arial" w:eastAsia="Arial" w:hAnsi="Arial"/>
          <w:sz w:val="18"/>
          <w:szCs w:val="18"/>
          <w:color w:val="auto"/>
        </w:rPr>
      </w:pPr>
    </w:p>
    <w:p>
      <w:pPr>
        <w:ind w:left="1000" w:right="40" w:hanging="317"/>
        <w:spacing w:after="0" w:line="298"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Board of Directors Vacancies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certificate of incorporation and amended and restated bylaws authorize only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31" w:lineRule="exact"/>
        <w:rPr>
          <w:rFonts w:ascii="Arial" w:cs="Arial" w:eastAsia="Arial" w:hAnsi="Arial"/>
          <w:sz w:val="16"/>
          <w:szCs w:val="16"/>
          <w:color w:val="auto"/>
        </w:rPr>
      </w:pPr>
    </w:p>
    <w:p>
      <w:pPr>
        <w:ind w:left="1000" w:hanging="317"/>
        <w:spacing w:after="0" w:line="298"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Stockholder Action; Special Meetings of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certificate of incorporation provides that our stockholders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spacing w:after="0" w:line="31" w:lineRule="exact"/>
        <w:rPr>
          <w:rFonts w:ascii="Arial" w:cs="Arial" w:eastAsia="Arial" w:hAnsi="Arial"/>
          <w:sz w:val="16"/>
          <w:szCs w:val="16"/>
          <w:color w:val="auto"/>
        </w:rPr>
      </w:pPr>
    </w:p>
    <w:p>
      <w:pPr>
        <w:ind w:left="1000" w:hanging="317"/>
        <w:spacing w:after="0" w:line="294" w:lineRule="auto"/>
        <w:tabs>
          <w:tab w:leader="none" w:pos="100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Advance Notice Requirements for Stockholder Proposals and Director Nominations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bylaws provide advance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71"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26" w:lineRule="exact"/>
        <w:rPr>
          <w:sz w:val="20"/>
          <w:szCs w:val="20"/>
          <w:color w:val="auto"/>
        </w:rPr>
      </w:pPr>
    </w:p>
    <w:p>
      <w:pPr>
        <w:ind w:left="1000" w:right="760" w:hanging="317"/>
        <w:spacing w:after="0" w:line="268"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50" w:lineRule="exact"/>
        <w:rPr>
          <w:rFonts w:ascii="Arial" w:cs="Arial" w:eastAsia="Arial" w:hAnsi="Arial"/>
          <w:sz w:val="18"/>
          <w:szCs w:val="18"/>
          <w:color w:val="auto"/>
        </w:rPr>
      </w:pPr>
    </w:p>
    <w:p>
      <w:pPr>
        <w:jc w:val="both"/>
        <w:ind w:left="1000" w:right="240" w:hanging="317"/>
        <w:spacing w:after="0" w:line="256"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(a) by persons who are directors and also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360"/>
        <w:spacing w:after="0" w:line="268" w:lineRule="auto"/>
        <w:rPr>
          <w:sz w:val="20"/>
          <w:szCs w:val="20"/>
          <w:color w:val="auto"/>
        </w:rPr>
      </w:pPr>
      <w:r>
        <w:rPr>
          <w:rFonts w:ascii="Arial" w:cs="Arial" w:eastAsia="Arial" w:hAnsi="Arial"/>
          <w:sz w:val="18"/>
          <w:szCs w:val="18"/>
          <w:color w:val="auto"/>
        </w:rPr>
        <w:t>and (b) pursuant to employee stock plans in which employee participants do not have the right to determine confidentially whether shares held subject to the plan will be tendered in a tender or exchange offer; and</w:t>
      </w:r>
    </w:p>
    <w:p>
      <w:pPr>
        <w:spacing w:after="0" w:line="51" w:lineRule="exact"/>
        <w:rPr>
          <w:sz w:val="20"/>
          <w:szCs w:val="20"/>
          <w:color w:val="auto"/>
        </w:rPr>
      </w:pPr>
    </w:p>
    <w:p>
      <w:pPr>
        <w:ind w:left="1000" w:right="640" w:hanging="317"/>
        <w:spacing w:after="0" w:line="235"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212" w:lineRule="exact"/>
        <w:rPr>
          <w:sz w:val="20"/>
          <w:szCs w:val="20"/>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0" w:lineRule="exact"/>
        <w:rPr>
          <w:rFonts w:ascii="Arial" w:cs="Arial" w:eastAsia="Arial" w:hAnsi="Arial"/>
          <w:sz w:val="18"/>
          <w:szCs w:val="18"/>
          <w:color w:val="auto"/>
        </w:rPr>
      </w:pPr>
    </w:p>
    <w:p>
      <w:pPr>
        <w:ind w:left="1000" w:right="620" w:hanging="317"/>
        <w:spacing w:after="0" w:line="268"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50" w:lineRule="exact"/>
        <w:rPr>
          <w:rFonts w:ascii="Arial" w:cs="Arial" w:eastAsia="Arial" w:hAnsi="Arial"/>
          <w:sz w:val="18"/>
          <w:szCs w:val="18"/>
          <w:color w:val="auto"/>
        </w:rPr>
      </w:pPr>
    </w:p>
    <w:p>
      <w:pPr>
        <w:ind w:left="1000" w:right="780" w:hanging="317"/>
        <w:spacing w:after="0" w:line="268"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50" w:lineRule="exact"/>
        <w:rPr>
          <w:rFonts w:ascii="Arial" w:cs="Arial" w:eastAsia="Arial" w:hAnsi="Arial"/>
          <w:sz w:val="18"/>
          <w:szCs w:val="18"/>
          <w:color w:val="auto"/>
        </w:rPr>
      </w:pPr>
    </w:p>
    <w:p>
      <w:pPr>
        <w:ind w:left="1000" w:right="400" w:hanging="317"/>
        <w:spacing w:after="0" w:line="268"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the Court of Chancery of the State of Delaware will be the exclusive forum for (1) any derivative action or proceeding brought on our behalf, (2) any action or proceeding commenced by any of our stockholders (including any class action) asserting a breach of fiduciary duty owed, or other wrongdoing, by any director, officer, employee or agent to us or our stockholders, (3) any action or proceeding commenced by any of our stockholders (including any class action) asserting a claim against us arising pursuant to the DGCL or our amended and restated certificate of incorporation or our amended and restated bylaws, (4) any action or proceeding commenced by any of our stockholders (including any class action) to interpret, apply, enforce or determine the validity of our amended and restated certificate of incorporation or our amended and restated bylaws, or (5) any action or proceeding commenced by any of our stockholders (including any class action) asserting a claim against us that is governed by the internal affairs doctrine.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transfer agent and registrar for our common stock is Computershare Trust Company, 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Select Market</w:t>
      </w:r>
    </w:p>
    <w:p>
      <w:pPr>
        <w:spacing w:after="0" w:line="177" w:lineRule="exact"/>
        <w:rPr>
          <w:sz w:val="20"/>
          <w:szCs w:val="20"/>
          <w:color w:val="auto"/>
        </w:rPr>
      </w:pPr>
    </w:p>
    <w:p>
      <w:pPr>
        <w:ind w:left="5580" w:right="999" w:hanging="5117"/>
        <w:spacing w:after="0" w:line="440" w:lineRule="auto"/>
        <w:rPr>
          <w:sz w:val="20"/>
          <w:szCs w:val="20"/>
          <w:color w:val="auto"/>
        </w:rPr>
      </w:pPr>
      <w:r>
        <w:rPr>
          <w:rFonts w:ascii="Arial" w:cs="Arial" w:eastAsia="Arial" w:hAnsi="Arial"/>
          <w:sz w:val="18"/>
          <w:szCs w:val="18"/>
          <w:color w:val="auto"/>
        </w:rPr>
        <w:t>Our common stock has been approved for listing on the NASDAQ Global Select Market under the trading symbol “SNDX.” 169</w:t>
      </w:r>
    </w:p>
    <w:p>
      <w:pPr>
        <w:sectPr>
          <w:pgSz w:w="11900" w:h="16838" w:orient="portrait"/>
          <w:cols w:equalWidth="0" w:num="1">
            <w:col w:w="10219"/>
          </w:cols>
          <w:pgMar w:left="240" w:top="460" w:right="1440"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and warrants, or the anticipation of such sales,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147"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Based on the number of shares of common stock outstanding as of December 31, 2015 (including 14,684 shares of unvested restricted stock subject to repurchase by us), upon completion of this offering, 17,372,675 shares of our common stock will be outstanding. The number of shares outstanding upon completion of this offering assumes no exercise of outstanding options or the Bayer Warrant, and no exercise of the underwriters’ over-allotment option.</w:t>
      </w:r>
    </w:p>
    <w:p>
      <w:pPr>
        <w:spacing w:after="0" w:line="10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12,972,675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addition, 4,962,052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securities for at least six months, including the holding period of any prior owner other than one of our affiliates, is entitled to sell within any three-month period a number of shares that does not exceed the greater of:</w:t>
      </w:r>
    </w:p>
    <w:p>
      <w:pPr>
        <w:spacing w:after="0" w:line="172" w:lineRule="exact"/>
        <w:rPr>
          <w:sz w:val="20"/>
          <w:szCs w:val="20"/>
          <w:color w:val="auto"/>
        </w:rPr>
      </w:pPr>
    </w:p>
    <w:p>
      <w:pPr>
        <w:ind w:left="1000" w:right="80" w:hanging="317"/>
        <w:spacing w:after="0" w:line="259"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173,727 shares, or 180,327 shares if the underwriters exercise their over-allotment option in full, immediately following this offering, based on the number of shares of our common stock outstanding upon completion of this offering; or</w:t>
      </w:r>
    </w:p>
    <w:p>
      <w:pPr>
        <w:spacing w:after="0" w:line="59" w:lineRule="exact"/>
        <w:rPr>
          <w:rFonts w:ascii="Arial" w:cs="Arial" w:eastAsia="Arial" w:hAnsi="Arial"/>
          <w:sz w:val="18"/>
          <w:szCs w:val="18"/>
          <w:color w:val="auto"/>
        </w:rPr>
      </w:pPr>
    </w:p>
    <w:p>
      <w:pPr>
        <w:ind w:left="1000" w:right="320" w:hanging="317"/>
        <w:spacing w:after="0" w:line="268"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Select Market during the four calendar weeks preceding the filing of a Notice of Proposed Sale of Securities pursuant to Rule 144 with respect to the sale.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Upon expiration of the 180-day lock-up period described below, 12,972,675 shares of our common stock will be eligible for sale under Rule 144. We cannot estimate the number of shares of our common stock that our existing stockholders will elect to sell under Rule 144.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along with our directors and executive officers and substantially all of our other stockholders have agreed with the underwriters that, for a period of 180 days following the date of this prospectus, we or they will not offer, sell, contract to sell, pledge, grant any option to purchase, make any short sale or otherwise dispose of any shares of our common stock (including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 shortly after the date of this prospectus, permitting the resale of such shares by non-affiliates in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40"/>
          </w:cols>
          <w:pgMar w:left="240" w:top="460" w:right="3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public market without restriction under the Securities Act and the sale by affiliates in the public market, subject to compliance with the resale provisions of Rule 144. For more information on our equity incentive plans, see the section titled “Executive and Director Compensation—Equity Benefit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Holders of 13,259,554 shares of our convertible preferred stock, common stock, and common stock issuable upon exercise of the Bayer Warrant, have the right to demand that we file a registration statement or request that we cover their shares by a registration statement that we otherwise file. For more information, see the section titled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340"/>
          </w:cols>
          <w:pgMar w:left="240" w:top="459" w:right="3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and does not deal with foreign, state and local consequences that may be relevant to Non-U.S. Holders in light of their particular circumstances, nor does it address U.S. federal tax consequences other than income taxes and estate taxes to the limited extent set forth below.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persons that hold our common stock as part of a “straddle,” “hedge,” “conversion transaction,” “synthetic security” or integrated investment or other risk reduction strategy, partnerships and other pass-through entities, and investors in such pass-through entities.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discussion is for general information only and is not tax advice to any investor in light of their particular circumstances. Persons considering the purchase of our common stock pursuant to this offering should consult their own tax advisors concerning the U.S. federal income and estate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4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that is neither a U.S. Holder, a partnership (or other entity treated as a partnership for U.S. federal income tax purposes regardless of its place of organization or formation), nor an entity that is treated as a disregarded entity for U.S. federal income tax purposes (regardless of its place of organization or formation). A “U.S. Holder” means a beneficial owner of our common stock that is for U.S. federal income tax purposes (a) an individual who is a citizen or resident of the United States, (b) a corporation or other entity treated as a corporation created or organized in or under the laws of the United States, any state thereof or the District of Columbia,</w:t>
      </w:r>
    </w:p>
    <w:p>
      <w:pPr>
        <w:spacing w:after="0" w:line="2" w:lineRule="exact"/>
        <w:rPr>
          <w:sz w:val="20"/>
          <w:szCs w:val="20"/>
          <w:color w:val="auto"/>
        </w:rPr>
      </w:pPr>
    </w:p>
    <w:p>
      <w:pPr>
        <w:ind w:right="100" w:firstLine="8"/>
        <w:spacing w:after="0" w:line="255" w:lineRule="auto"/>
        <w:tabs>
          <w:tab w:leader="none" w:pos="2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 (d) 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Subject to the discussion below, distributions, if any, made on our common stock to a Non-U.S. Holder of our common stock to the extent made out of our current or accumulated earnings and profits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00"/>
          </w:cols>
          <w:pgMar w:left="240" w:top="459" w:right="2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determined under U.S. federal income tax principles) generally will constitute dividends for U.S. tax purposes and will be subject to withholding tax at a 30% rate or such lower rate as may be specified by an applicable income tax treaty. To obtain a reduced rate of withholding under a treaty, a Non-U.S. Holder generally will be required to provide us with a properly executed IRS Form W-8BEN or W-8BEN-E, or other appropriate form, certifying the Non-U.S. Holder’s entitlement to benefits under that treaty.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a Non-U.S. Holder is eligible for a reduced rate of U.S. federal withholding tax under an income tax treaty, the Non-U.S. Holder should contact its tax advisor regarding the possibility of obtaining a refund or credit of any excess amounts withheld by timely filing an appropriate claim for a refund with the IRS.</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graduated rates,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 the extent distributions on our common stock, if any, exceed our current and accumulated earnings and profits, they will constitute a non-taxable return of capital and will first reduce the Non-U.S. Holder’s adjusted basis in our common stock, but not below zero, and then will be treated as gain and taxed in the same manner as gain realized from a sale or other disposition of common stock as described in the next section.</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additional withholding rules that may apply to dividends paid to certain foreign entities, see the discussion below under the heading “Legislation Affecting Taxation of Our Common Stock Held by or Through Foreign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7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Subject to the discussion below,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that such holder maintains in the United States), (b) the Non-U.S. Holder is a nonresident alien individual and is present in the United States for 183 or more days in the taxable year of the disposition and certain other conditions are met, or</w:t>
      </w:r>
    </w:p>
    <w:p>
      <w:pPr>
        <w:spacing w:after="0" w:line="3" w:lineRule="exact"/>
        <w:rPr>
          <w:sz w:val="20"/>
          <w:szCs w:val="20"/>
          <w:color w:val="auto"/>
        </w:rPr>
      </w:pPr>
    </w:p>
    <w:p>
      <w:pPr>
        <w:ind w:right="280" w:firstLine="8"/>
        <w:spacing w:after="0" w:line="261" w:lineRule="auto"/>
        <w:tabs>
          <w:tab w:leader="none" w:pos="2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within the meaning of Code Section 897(c)(2) at any time within the shorter of the five-year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preceding such disposition or such holder’s holding period. In general, we would be a United States real property holding corporation if interests in U.S. real estate comprised (by fair market value) at least half of our business assets. We believe that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14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regular graduated U.S. federal income tax rates, unless a specific treaty exemption applies, and corporate Non-U.S. Holders described in (a) above may be subject to the additional branch profits tax at a 30% rate or such lower rate as may be specified by an applicable income tax treaty. If you are an individual Non-U.S. Holder described in</w:t>
      </w:r>
    </w:p>
    <w:p>
      <w:pPr>
        <w:spacing w:after="0" w:line="1" w:lineRule="exact"/>
        <w:rPr>
          <w:sz w:val="20"/>
          <w:szCs w:val="20"/>
          <w:color w:val="auto"/>
        </w:rPr>
      </w:pPr>
    </w:p>
    <w:p>
      <w:pPr>
        <w:ind w:right="200" w:firstLine="8"/>
        <w:spacing w:after="0" w:line="261" w:lineRule="auto"/>
        <w:tabs>
          <w:tab w:leader="none" w:pos="24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above, you will be required to pay a flat 30% tax on the gain derived from the sale, which gain may be offset by U.S. source capital losses (even though you are not considered a resident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Generally, we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W-8BEN-E or otherwise establishes an exemption. The current backup withholding rate is 28%.</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current U.S. federal income tax law, 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or W-8BEN-Eor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Backup withholding is not an additional tax. A holder subject to backup withholding should contact the holder’s tax advisor regarding the possibility of obtaining a refund or a tax credit and any associated requirements to provide information to the IRS or other relevant tax authority.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Affecting Taxation of Our Common Stock Held by or Through Foreign Entities</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Foreign Account Tax Compliance Act, or FATCA, which was enacted in 2010, imposes a 30% withholding tax on certain types of payments made to “foreign financial institutions” and certain other non-U.S. entities unless certain due diligence, reporting, withholding, and certification requirements are satisfied.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general matter, FATCA imposes a 30% withholding tax on dividends on, and gross proceeds from the sale or other disposition of, our common stock if paid to a foreign entity unless either (i) the foreign entity is a “foreign financial institution” that undertakes certain due diligence, reporting, withholding, and certification obligations, (ii) the foreign entity is not a “foreign financial institution” and identifies certain of its U.S. investors, or (iii) the foreign entity otherwise is excepted under FATCA.</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Pursuant to the delayed effective dates provided for in the final regulations, the required withholding with respect to dividends on our common stock began on July 1, 2014 and the required withholding with respect to gross proceeds from a sale or other disposition of our common stock will begin on January 1, 2017.</w:t>
      </w:r>
    </w:p>
    <w:p>
      <w:pPr>
        <w:spacing w:after="0" w:line="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withholding is required under FATCA on a payment related to our common stock, investors that otherwise would not be subject to withholding (or that otherwise would be entitled to a reduced rate of withholding) generally will be required to seek a refund or credit from the IRS to obtain the benefit of such exemption or reduction (provided that such benefit is available). Prospective investors should consult their tax advisors regarding the effect of FATCA in their particular circumstances.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individual Non-U.S. Holder who is treated as the owner of, or has made certain lifetime transfers of, an interest in our common stock will be required to include the value thereof in his or her gross estate for U.S. federal estate tax purposes, and may be subject to U.S. federal estate tax unless an applicable estate tax treaty provides otherwise, even though such individual was not a citizen or resident of the United States at the time of his or her death.</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PRECEDING DISCUSSION OF U.S. FEDERAL INCOME AND ESTATE TAX CONSIDERATIONS IS FOR GENERAL INFORMATION ONLY. IT IS NOT TAX ADVICE TO ANY INVESTOR IN LIGHT OF THEIR PARTICULAR CIRCUMSTANCES. EACH PROSPECTIVE INVESTOR SHOULD CONSULT ITS OWN TAX ADVISOR REGARDING THE TAX CONSEQUENCES OF PURCHASING, HOLDING AND DISPOSING OF OUR COMMON STOCK, INCLUDING THE CONSEQUENCES OF ANY PROPOSED CHANGE IN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Citigroup Global Markets Inc. are acting as representatives, have severally agreed to purchase, and we have agreed to sell to them, severally, the number of shares indicated below:</w:t>
      </w:r>
    </w:p>
    <w:p>
      <w:pPr>
        <w:spacing w:after="0" w:line="16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Number of</w:t>
            </w:r>
          </w:p>
        </w:tc>
      </w:tr>
      <w:tr>
        <w:trPr>
          <w:trHeight w:val="168"/>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gridSpan w:val="2"/>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4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5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660,000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0"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660,000 shares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680" w:type="dxa"/>
            <w:vAlign w:val="bottom"/>
          </w:tcPr>
          <w:p>
            <w:pPr>
              <w:spacing w:after="0"/>
              <w:rPr>
                <w:sz w:val="14"/>
                <w:szCs w:val="14"/>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No Exercise</w:t>
            </w: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Full 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860" w:type="dxa"/>
            <w:vAlign w:val="bottom"/>
          </w:tcPr>
          <w:p>
            <w:pPr>
              <w:spacing w:after="0"/>
              <w:rPr>
                <w:sz w:val="24"/>
                <w:szCs w:val="24"/>
                <w:color w:val="auto"/>
              </w:rPr>
            </w:pPr>
          </w:p>
        </w:tc>
        <w:tc>
          <w:tcPr>
            <w:tcW w:w="3320" w:type="dxa"/>
            <w:vAlign w:val="bottom"/>
          </w:tcPr>
          <w:p>
            <w:pPr>
              <w:jc w:val="right"/>
              <w:ind w:right="2252"/>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$2,800,000. We have agreed to reimburse the underwriters for expenses relating to clearance of this offering with the Financial Industry Regulatory Authority, Inc. up to $25,000.</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listed for listing on the NASDAQ Global Select Market under the trading symbol “SNDX.”</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all directors and officers and the holders of substantially all of our outstanding stock, stock options and warrants have agreed that, without the prior written consent of Morgan Stanley &amp; Co. LLC and Citigroup Global Markets Inc., on behalf of the underwriters, we and they will not, during the period until and including the 180th day after the date of this prospectus (the “restricted period”), directly or indirectly, offer, sell, pledge, contract to sell (including any short sale), grant any option to purchase or otherwise transfer or dispose of any shares of our common stock (including, without limitation, shares of common stock which may be deemed to be beneficially owned currently or hereafter in accordance with the rules and regulations of the SEC, shares of common stock which may be issued upon exercise of a stock option or warrant and any other security convertible into or exchangeable for common stock), enter into any short sale or any purchase, sale or grant of any right (including, without limitation, any put or call option) with respect to any security (other than a broad-based market basket or index) that includes, relates to or derives any significant part of its value from our common stock, or publicly announce any intention to do so.</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The restrictions described in the immediately preceding paragraph to do not apply to us (i) to the extent that any such actions give effect to the transactions contemplated by the underwriting agreement for this offering, (ii) if we issue shares pursuant to the exercise of warrants outstanding as of the date of this prospectus and described in the registration statement and prospectus, but only if the holders of such shares or warrants agree in writing with the underwriters not to sell, offer, dispose of or otherwise transfer any such shares or warrants during the restricted period, (iii) if we issue shares or options to purchase shares, or issue shares upon exercise of options, pursuant to any stock option, stock bonus or other stock plan or arrangement described in the registration statement or prospectus, but only if the holders of such shares or options agree in writing with the underwriters not to sell, offer, dispose of or otherwise transfer any such shares or options during the restricted period and (iv) issue shares or any options or warrants or other rights to acquire shares or any securities exchangeable or exercisable for or convertible into shares (“Related Securities”), or to acquire other securities or rights ultimately exchangeable or exercisable for, or convertible into, shares in connection with a licensing arrangement, joint venture, acquisition or business combination or other collaboration or strategic transaction;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that</w:t>
      </w:r>
      <w:r>
        <w:rPr>
          <w:rFonts w:ascii="Arial" w:cs="Arial" w:eastAsia="Arial" w:hAnsi="Arial"/>
          <w:sz w:val="15"/>
          <w:szCs w:val="15"/>
          <w:color w:val="auto"/>
        </w:rPr>
        <w:t>, in the case of clause (iv), recipients of such shares or Related Securities agree to be bound by the terms of the lock-up agreement and the sum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aggregate number of shares or Related Securities so issued does not exceed 5% of the total outstanding shares of our common stock.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second preceding paragraph do not apply, in the case of our directors, officers and shareholders, to:</w:t>
      </w:r>
    </w:p>
    <w:p>
      <w:pPr>
        <w:spacing w:after="0" w:line="212" w:lineRule="exact"/>
        <w:rPr>
          <w:sz w:val="20"/>
          <w:szCs w:val="20"/>
          <w:color w:val="auto"/>
        </w:rPr>
      </w:pPr>
    </w:p>
    <w:p>
      <w:pPr>
        <w:ind w:left="1020" w:right="360" w:hanging="566"/>
        <w:spacing w:after="0" w:line="268" w:lineRule="auto"/>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transfer of any or all of the shares of common stock or other securities if the transfer does not trigger any filing or reporting requirement or obligation or result in any other voluntary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spacing w:after="0" w:line="282" w:lineRule="auto"/>
        <w:rPr>
          <w:sz w:val="20"/>
          <w:szCs w:val="20"/>
          <w:color w:val="auto"/>
        </w:rPr>
      </w:pPr>
      <w:r>
        <w:rPr>
          <w:rFonts w:ascii="Arial" w:cs="Arial" w:eastAsia="Arial" w:hAnsi="Arial"/>
          <w:sz w:val="16"/>
          <w:szCs w:val="16"/>
          <w:color w:val="auto"/>
        </w:rPr>
        <w:t xml:space="preserve">or mandatory public disclosure under Section 16(a) of the Exchange Act, and the transfer is: (i) by gift, will or intestacy; (ii) to a trust whose beneficiaries consist exclusively such security holder or the family members of such security holder; (iii) a distribution to partners, members or shareholders of such security holder, or to any corporation, partnership or limited liability company that is an affiliate (within the meaning set forth in Rule 405 as promulgated by the SEC under the Securities Act) of such security holder; or (iv) to us upon the exercise of options to cover tax withholding obligations in connection with such exercise or for the primary purpose of paying the exercise price of options to acquire shares of common stock in each case pursuant to a stock option, stock bonus or other stock plan or arrangement existing as of the date of this prospectus and any shares acquired shall remain subject to the lock-up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the transferee executes an agreement stating that the transferee is receiving and holding the securities subject to the provisions of the lock-up agreement;</w:t>
      </w:r>
    </w:p>
    <w:p>
      <w:pPr>
        <w:spacing w:after="0" w:line="6" w:lineRule="exact"/>
        <w:rPr>
          <w:sz w:val="20"/>
          <w:szCs w:val="20"/>
          <w:color w:val="auto"/>
        </w:rPr>
      </w:pPr>
    </w:p>
    <w:p>
      <w:pPr>
        <w:ind w:left="1020" w:right="100" w:hanging="566"/>
        <w:spacing w:after="0" w:line="250" w:lineRule="auto"/>
        <w:tabs>
          <w:tab w:leader="none" w:pos="10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entering into any plan designed to satisfy the requirements of Rule 10b5-1 under the Exchange Act (other than the entry into such a plan in such a manner as to allow the sale of shares of common stock or other securities, in each case, within the restricted period); </w:t>
      </w:r>
      <w:r>
        <w:rPr>
          <w:rFonts w:ascii="Arial" w:cs="Arial" w:eastAsia="Arial" w:hAnsi="Arial"/>
          <w:sz w:val="18"/>
          <w:szCs w:val="18"/>
          <w:i w:val="1"/>
          <w:iCs w:val="1"/>
          <w:color w:val="auto"/>
        </w:rPr>
        <w:t>provided however</w:t>
      </w:r>
      <w:r>
        <w:rPr>
          <w:rFonts w:ascii="Arial" w:cs="Arial" w:eastAsia="Arial" w:hAnsi="Arial"/>
          <w:sz w:val="18"/>
          <w:szCs w:val="18"/>
          <w:color w:val="auto"/>
        </w:rPr>
        <w:t>, no public announcement or filing under the Exchange Act regarding the establishment of such 10b5-1 Plan shall be required or made during the restricted period; or</w:t>
      </w:r>
    </w:p>
    <w:p>
      <w:pPr>
        <w:spacing w:after="0" w:line="1" w:lineRule="exact"/>
        <w:rPr>
          <w:rFonts w:ascii="Arial" w:cs="Arial" w:eastAsia="Arial" w:hAnsi="Arial"/>
          <w:sz w:val="18"/>
          <w:szCs w:val="18"/>
          <w:color w:val="auto"/>
        </w:rPr>
      </w:pPr>
    </w:p>
    <w:p>
      <w:pPr>
        <w:ind w:left="1020" w:right="60" w:hanging="566"/>
        <w:spacing w:after="0" w:line="288" w:lineRule="auto"/>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(i) exercising any options, warrants or other rights to purchase shares of common stock pursuant to any stock option, stock bonus or other stock plan or any other arrangement existing as of the date of this prospectus (which exercises may be effected on a cashless basis to the extent the instruments representing such options, warrants or other rights permit exercises on a cashless basis) or (ii) the grant by us of stock options or other stock-based awards pursuant to any stock option, stock bonus or other stock plan or arrangement existing as of the date of this prospectus;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any such case, any shares of common stock or other securities acquired remain subject to the lock-up agreement, and</w:t>
      </w:r>
      <w:r>
        <w:rPr>
          <w:rFonts w:ascii="Arial" w:cs="Arial" w:eastAsia="Arial" w:hAnsi="Arial"/>
          <w:sz w:val="16"/>
          <w:szCs w:val="16"/>
          <w:i w:val="1"/>
          <w:iCs w:val="1"/>
          <w:color w:val="auto"/>
        </w:rPr>
        <w:t xml:space="preserve"> provided further</w:t>
      </w:r>
      <w:r>
        <w:rPr>
          <w:rFonts w:ascii="Arial" w:cs="Arial" w:eastAsia="Arial" w:hAnsi="Arial"/>
          <w:sz w:val="16"/>
          <w:szCs w:val="16"/>
          <w:color w:val="auto"/>
        </w:rPr>
        <w:t>, that in the case of clause (i), such exercise does not trigger any filing or reporting requirement or obligation or result in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or mandatory public disclosure under Section 16(a) of the Exchange Act during the restricted period.</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Morgan Stanley &amp; Co. LLC and Citigroup Global Markets Inc., in their sole discretion, may release the common stock and other securities subject to the lock-up agreements described above in whole or in part at any time with or without notice.</w:t>
      </w:r>
    </w:p>
    <w:p>
      <w:pPr>
        <w:spacing w:after="0" w:line="132"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360"/>
          </w:cols>
          <w:pgMar w:left="240" w:top="460" w:right="2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current and prospective revenue and earnings, and certain other current and prospective financial and operating information, and the current and prospective price-earnings ratios, price-revenue ratios and market prices of securities, and certain current and prospective financial and operating information with respect to, companies engaged in activities similar to ours.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4" w:lineRule="exact"/>
        <w:rPr>
          <w:sz w:val="20"/>
          <w:szCs w:val="20"/>
          <w:color w:val="auto"/>
        </w:rPr>
      </w:pPr>
    </w:p>
    <w:p>
      <w:pPr>
        <w:ind w:left="1020" w:hanging="566"/>
        <w:spacing w:after="0"/>
        <w:tabs>
          <w:tab w:leader="none" w:pos="10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 w:lineRule="exact"/>
        <w:rPr>
          <w:rFonts w:ascii="Arial" w:cs="Arial" w:eastAsia="Arial" w:hAnsi="Arial"/>
          <w:sz w:val="18"/>
          <w:szCs w:val="18"/>
          <w:color w:val="auto"/>
        </w:rPr>
      </w:pPr>
    </w:p>
    <w:p>
      <w:pPr>
        <w:ind w:left="1020" w:right="300" w:hanging="566"/>
        <w:spacing w:after="0" w:line="250" w:lineRule="auto"/>
        <w:tabs>
          <w:tab w:leader="none" w:pos="10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 w:lineRule="exact"/>
        <w:rPr>
          <w:rFonts w:ascii="Arial" w:cs="Arial" w:eastAsia="Arial" w:hAnsi="Arial"/>
          <w:sz w:val="18"/>
          <w:szCs w:val="18"/>
          <w:color w:val="auto"/>
        </w:rPr>
      </w:pPr>
    </w:p>
    <w:p>
      <w:pPr>
        <w:ind w:left="1020" w:right="140" w:hanging="566"/>
        <w:spacing w:after="0" w:line="323" w:lineRule="auto"/>
        <w:tabs>
          <w:tab w:leader="none" w:pos="10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9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jc w:val="both"/>
        <w:ind w:left="1020" w:right="180" w:hanging="566"/>
        <w:spacing w:after="0" w:line="284" w:lineRule="auto"/>
        <w:tabs>
          <w:tab w:leader="none" w:pos="10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 w:lineRule="exact"/>
        <w:rPr>
          <w:rFonts w:ascii="Arial" w:cs="Arial" w:eastAsia="Arial" w:hAnsi="Arial"/>
          <w:sz w:val="16"/>
          <w:szCs w:val="16"/>
          <w:color w:val="auto"/>
        </w:rPr>
      </w:pPr>
    </w:p>
    <w:p>
      <w:pPr>
        <w:ind w:left="1020" w:right="400" w:hanging="566"/>
        <w:spacing w:after="0" w:line="261" w:lineRule="auto"/>
        <w:tabs>
          <w:tab w:leader="none" w:pos="10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validity of the shares of our common stock to be issued in this offering will be passed upon for us by our counsel, Hogan Lovells US LLP, Menlo Park, California. Certain legal matters relating to this offering will be passed upon for the underwriters by Cooley LLP, New York, New York.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financial statements as of December 31, 2014 and 2015, and for the years then ended, included in this prospectus, have been audited by Deloitte &amp; Touche LLP, an independent registered public accounting firm, as stated in their report appearing herein and elsewhere in the registration statement. Such consolidated financial statements have been so included in reliance upon the report of such firm given upon their authority as experts in accounting and auditing.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http://www.syndax.com. You may access our annual reports on Form 10-K, quarterly reports on Form 10-Q, current reports on Form 8-K and amendments to those reports, proxy statements and other information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8"/>
            <w:vMerge w:val="restart"/>
          </w:tcPr>
          <w:p>
            <w:pPr>
              <w:spacing w:after="0"/>
              <w:rPr>
                <w:sz w:val="20"/>
                <w:szCs w:val="20"/>
                <w:color w:val="auto"/>
              </w:rPr>
            </w:pPr>
            <w:r>
              <w:rPr>
                <w:rFonts w:ascii="Arial" w:cs="Arial" w:eastAsia="Arial" w:hAnsi="Arial"/>
                <w:sz w:val="18"/>
                <w:szCs w:val="18"/>
                <w:color w:val="auto"/>
              </w:rPr>
              <w:t>Audited consolidated financial statements for the years ended December 31, 2014 and 2015: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20" w:type="dxa"/>
            <w:vAlign w:val="bottom"/>
            <w:gridSpan w:val="8"/>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660" w:type="dxa"/>
            <w:vAlign w:val="bottom"/>
            <w:gridSpan w:val="7"/>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90">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64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7"/>
          </w:tcPr>
          <w:p>
            <w:pPr>
              <w:spacing w:after="0" w:line="196" w:lineRule="exact"/>
              <w:rPr>
                <w:rFonts w:ascii="Arial" w:cs="Arial" w:eastAsia="Arial" w:hAnsi="Arial"/>
                <w:sz w:val="18"/>
                <w:szCs w:val="18"/>
                <w:color w:val="0000EE"/>
              </w:rPr>
            </w:pPr>
            <w:hyperlink w:anchor="page191">
              <w:r>
                <w:rPr>
                  <w:rFonts w:ascii="Arial" w:cs="Arial" w:eastAsia="Arial" w:hAnsi="Arial"/>
                  <w:sz w:val="18"/>
                  <w:szCs w:val="18"/>
                  <w:color w:val="0000EE"/>
                </w:rPr>
                <w:t>Consolidated Statements of Comprehensive Loss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7"/>
          </w:tcPr>
          <w:p>
            <w:pPr>
              <w:spacing w:after="0" w:line="196" w:lineRule="exact"/>
              <w:rPr>
                <w:rFonts w:ascii="Arial" w:cs="Arial" w:eastAsia="Arial" w:hAnsi="Arial"/>
                <w:sz w:val="18"/>
                <w:szCs w:val="18"/>
                <w:color w:val="0000EE"/>
              </w:rPr>
            </w:pPr>
            <w:hyperlink w:anchor="page192">
              <w:r>
                <w:rPr>
                  <w:rFonts w:ascii="Arial" w:cs="Arial" w:eastAsia="Arial" w:hAnsi="Arial"/>
                  <w:sz w:val="18"/>
                  <w:szCs w:val="18"/>
                  <w:color w:val="0000EE"/>
                </w:rPr>
                <w:t>Consolidated Statements of Convertible Preferred Stock and Stockholders’ Deficit</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93">
              <w:r>
                <w:rPr>
                  <w:rFonts w:ascii="Arial" w:cs="Arial" w:eastAsia="Arial" w:hAnsi="Arial"/>
                  <w:sz w:val="18"/>
                  <w:szCs w:val="18"/>
                  <w:color w:val="0000EE"/>
                  <w:w w:val="89"/>
                </w:rPr>
                <w:t>Consolidated Statements of Cash Flows</w:t>
              </w:r>
            </w:hyperlink>
          </w:p>
        </w:tc>
        <w:tc>
          <w:tcPr>
            <w:tcW w:w="3060" w:type="dxa"/>
            <w:vAlign w:val="bottom"/>
            <w:tcBorders>
              <w:top w:val="single" w:sz="8" w:color="0000EE"/>
            </w:tcBorders>
            <w:gridSpan w:val="4"/>
          </w:tcPr>
          <w:p>
            <w:pPr>
              <w:spacing w:after="0"/>
              <w:rPr>
                <w:sz w:val="17"/>
                <w:szCs w:val="17"/>
                <w:color w:val="auto"/>
              </w:rPr>
            </w:pPr>
          </w:p>
        </w:tc>
        <w:tc>
          <w:tcPr>
            <w:tcW w:w="47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660" w:type="dxa"/>
            <w:vAlign w:val="bottom"/>
            <w:gridSpan w:val="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Notes to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40" w:type="dxa"/>
            <w:vAlign w:val="bottom"/>
            <w:gridSpan w:val="2"/>
          </w:tcPr>
          <w:p>
            <w:pPr>
              <w:ind w:left="10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Massachusetts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Syndax Pharmaceuticals, Inc. and subsidiaries (the “Company”) as of December 31, 2014 and 2015, and the related consolidated statements of comprehensive loss, convertible preferred stock and stockholders’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7"/>
          <w:szCs w:val="17"/>
          <w:i w:val="1"/>
          <w:iCs w:val="1"/>
          <w:color w:val="auto"/>
        </w:rPr>
        <w:t>.</w:t>
      </w:r>
      <w:r>
        <w:rPr>
          <w:rFonts w:ascii="Arial" w:cs="Arial" w:eastAsia="Arial" w:hAnsi="Arial"/>
          <w:sz w:val="17"/>
          <w:szCs w:val="17"/>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Syndax Pharmaceuticals, Inc. and subsidiaries as of December 31, 2014 and 2015,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2016 (February 24, 2016 as to the effects of the reverse stock split described in Note 17)</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460" w:right="3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10,009</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23,179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Restricted cash</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Short-term investments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2,082</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63,310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Short-term deposits</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117</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805</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659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12,444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88,007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339</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1,808</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12,816</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89,903</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160"/>
              <w:spacing w:after="0"/>
              <w:rPr>
                <w:sz w:val="20"/>
                <w:szCs w:val="20"/>
                <w:color w:val="auto"/>
              </w:rPr>
            </w:pPr>
            <w:r>
              <w:rPr>
                <w:rFonts w:ascii="Arial" w:cs="Arial" w:eastAsia="Arial" w:hAnsi="Arial"/>
                <w:sz w:val="17"/>
                <w:szCs w:val="17"/>
                <w:b w:val="1"/>
                <w:bCs w:val="1"/>
                <w:color w:val="auto"/>
              </w:rPr>
              <w:t>EQUITY</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Current portion of long-term debt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1,449</w:t>
            </w:r>
          </w:p>
        </w:tc>
        <w:tc>
          <w:tcPr>
            <w:tcW w:w="52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Convertible notes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5,000</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354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1,452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3,543</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2,175</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Current portion of deferred revenue</w:t>
            </w:r>
          </w:p>
        </w:tc>
        <w:tc>
          <w:tcPr>
            <w:tcW w:w="160" w:type="dxa"/>
            <w:vAlign w:val="bottom"/>
          </w:tcPr>
          <w:p>
            <w:pPr>
              <w:spacing w:after="0"/>
              <w:rPr>
                <w:sz w:val="17"/>
                <w:szCs w:val="17"/>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1,220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10,346</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4,847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40" w:type="dxa"/>
            <w:vAlign w:val="bottom"/>
            <w:gridSpan w:val="2"/>
          </w:tcPr>
          <w:p>
            <w:pPr>
              <w:spacing w:after="0"/>
              <w:rPr>
                <w:sz w:val="20"/>
                <w:szCs w:val="20"/>
                <w:color w:val="auto"/>
              </w:rPr>
            </w:pPr>
            <w:r>
              <w:rPr>
                <w:rFonts w:ascii="Arial" w:cs="Arial" w:eastAsia="Arial" w:hAnsi="Arial"/>
                <w:sz w:val="17"/>
                <w:szCs w:val="17"/>
                <w:color w:val="auto"/>
              </w:rPr>
              <w:t>Long-term liabilities:</w:t>
            </w: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Long-term debt, less current portion</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7,435</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Common stock warrant liability</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693</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2,848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revenue, less current portion</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15,440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58</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Total long-term liabilities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8,186</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18,358</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740" w:type="dxa"/>
            <w:vAlign w:val="bottom"/>
            <w:gridSpan w:val="2"/>
          </w:tcPr>
          <w:p>
            <w:pPr>
              <w:spacing w:after="0"/>
              <w:rPr>
                <w:sz w:val="20"/>
                <w:szCs w:val="20"/>
                <w:color w:val="auto"/>
              </w:rPr>
            </w:pPr>
            <w:r>
              <w:rPr>
                <w:rFonts w:ascii="Arial" w:cs="Arial" w:eastAsia="Arial" w:hAnsi="Arial"/>
                <w:sz w:val="17"/>
                <w:szCs w:val="17"/>
                <w:color w:val="auto"/>
              </w:rPr>
              <w:t>Total liabilities</w:t>
            </w: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18,532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23,205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Commitments (Note 14)</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spacing w:after="0"/>
              <w:rPr>
                <w:sz w:val="20"/>
                <w:szCs w:val="20"/>
                <w:color w:val="auto"/>
              </w:rPr>
            </w:pPr>
            <w:r>
              <w:rPr>
                <w:rFonts w:ascii="Arial" w:cs="Arial" w:eastAsia="Arial" w:hAnsi="Arial"/>
                <w:sz w:val="17"/>
                <w:szCs w:val="17"/>
                <w:color w:val="auto"/>
              </w:rPr>
              <w:t>Convertible preferred stock (Note 10)</w:t>
            </w:r>
          </w:p>
        </w:tc>
        <w:tc>
          <w:tcPr>
            <w:tcW w:w="16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146,853</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319,113</w:t>
            </w: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Stockholders’ (deficit) equity:</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20" w:type="dxa"/>
            <w:vAlign w:val="bottom"/>
          </w:tcPr>
          <w:p>
            <w:pPr>
              <w:ind w:left="340"/>
              <w:spacing w:after="0" w:line="185" w:lineRule="exact"/>
              <w:rPr>
                <w:sz w:val="20"/>
                <w:szCs w:val="20"/>
                <w:color w:val="auto"/>
              </w:rPr>
            </w:pPr>
            <w:r>
              <w:rPr>
                <w:rFonts w:ascii="Arial" w:cs="Arial" w:eastAsia="Arial" w:hAnsi="Arial"/>
                <w:sz w:val="17"/>
                <w:szCs w:val="17"/>
                <w:color w:val="auto"/>
                <w:w w:val="96"/>
              </w:rPr>
              <w:t>Series A convertible preferred stock, $0.001 par value, 3,512,194 shares authorized at December 31,</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tcPr>
          <w:p>
            <w:pPr>
              <w:ind w:left="500"/>
              <w:spacing w:after="0"/>
              <w:rPr>
                <w:sz w:val="20"/>
                <w:szCs w:val="20"/>
                <w:color w:val="auto"/>
              </w:rPr>
            </w:pPr>
            <w:r>
              <w:rPr>
                <w:rFonts w:ascii="Arial" w:cs="Arial" w:eastAsia="Arial" w:hAnsi="Arial"/>
                <w:sz w:val="17"/>
                <w:szCs w:val="17"/>
                <w:color w:val="auto"/>
              </w:rPr>
              <w:t>2014 and 2015; 700,435 shares issued and outstanding at December 31, 2014 and 2015</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7,231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7,231</w:t>
            </w: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720" w:type="dxa"/>
            <w:vAlign w:val="bottom"/>
            <w:shd w:val="clear" w:color="auto" w:fill="CCEEFF"/>
          </w:tcPr>
          <w:p>
            <w:pPr>
              <w:ind w:left="340"/>
              <w:spacing w:after="0" w:line="187" w:lineRule="exact"/>
              <w:rPr>
                <w:sz w:val="20"/>
                <w:szCs w:val="20"/>
                <w:color w:val="auto"/>
              </w:rPr>
            </w:pPr>
            <w:r>
              <w:rPr>
                <w:rFonts w:ascii="Arial" w:cs="Arial" w:eastAsia="Arial" w:hAnsi="Arial"/>
                <w:sz w:val="17"/>
                <w:szCs w:val="17"/>
                <w:color w:val="auto"/>
                <w:w w:val="99"/>
              </w:rPr>
              <w:t>Common stock, $0.0001 par value, 9,600,000 and 20,800,000 shares authorized at December 31,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8"/>
              </w:rPr>
              <w:t>2014 and 2015, respectively; 58,517 and 85,440 shares issued and outstanding at December 31,</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2014 and 2015, respectively; 100,000,000 shares authorized; 12,957,991 shares issued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7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outstanding, pro forma (unaudited)</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7"/>
                <w:szCs w:val="17"/>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329,191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tcPr>
          <w:p>
            <w:pPr>
              <w:ind w:left="34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7"/>
                <w:szCs w:val="17"/>
                <w:color w:val="auto"/>
                <w:w w:val="98"/>
              </w:rPr>
              <w:t>(159,801)</w:t>
            </w:r>
          </w:p>
        </w:tc>
        <w:tc>
          <w:tcPr>
            <w:tcW w:w="14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color w:val="auto"/>
                <w:w w:val="98"/>
              </w:rPr>
              <w:t>(259,675)</w:t>
            </w:r>
          </w:p>
        </w:tc>
        <w:tc>
          <w:tcPr>
            <w:tcW w:w="8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(259,675)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7"/>
                <w:szCs w:val="17"/>
                <w:color w:val="auto"/>
              </w:rPr>
              <w:t>Total stockholders’ (deficit) equity</w:t>
            </w:r>
          </w:p>
        </w:tc>
        <w:tc>
          <w:tcPr>
            <w:tcW w:w="1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w w:val="98"/>
              </w:rPr>
              <w:t>(152,569)</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8"/>
              </w:rPr>
              <w:t>(252,415)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69,546</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7"/>
                <w:szCs w:val="17"/>
                <w:color w:val="auto"/>
              </w:rPr>
              <w:t>Total liabilities, convertible preferred stock and stockholders’ (deficit) equity</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12,816</w:t>
            </w:r>
          </w:p>
        </w:tc>
        <w:tc>
          <w:tcPr>
            <w:tcW w:w="20" w:type="dxa"/>
            <w:vAlign w:val="bottom"/>
            <w:tcBorders>
              <w:bottom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89,903</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21,332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21,140</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(21,332)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Total other income (expense)</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(19,828)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 on marketable securities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96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(19,828</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(24,091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(26,357)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(103,845)</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(453.02</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(1,519.27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58,181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0"/>
        </w:trPr>
        <w:tc>
          <w:tcPr>
            <w:tcW w:w="89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 (unaudited)</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Pro forma weighted-average common shares used in net loss per share applicable to common stockholders—basic and</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(unaudited)</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9,597,519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4"/>
            <w:vMerge w:val="restart"/>
          </w:tcPr>
          <w:p>
            <w:pPr>
              <w:jc w:val="center"/>
              <w:ind w:left="268"/>
              <w:spacing w:after="0"/>
              <w:rPr>
                <w:sz w:val="20"/>
                <w:szCs w:val="20"/>
                <w:color w:val="auto"/>
              </w:rPr>
            </w:pPr>
            <w:r>
              <w:rPr>
                <w:rFonts w:ascii="Arial" w:cs="Arial" w:eastAsia="Arial" w:hAnsi="Arial"/>
                <w:sz w:val="14"/>
                <w:szCs w:val="14"/>
                <w:b w:val="1"/>
                <w:bCs w:val="1"/>
                <w:color w:val="auto"/>
                <w:w w:val="89"/>
              </w:rPr>
              <w:t>Series A</w:t>
            </w: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660" w:type="dxa"/>
            <w:vAlign w:val="bottom"/>
          </w:tcPr>
          <w:p>
            <w:pPr>
              <w:spacing w:after="0"/>
              <w:rPr>
                <w:sz w:val="13"/>
                <w:szCs w:val="13"/>
                <w:color w:val="auto"/>
              </w:rPr>
            </w:pPr>
          </w:p>
        </w:tc>
        <w:tc>
          <w:tcPr>
            <w:tcW w:w="1760" w:type="dxa"/>
            <w:vAlign w:val="bottom"/>
            <w:tcBorders>
              <w:right w:val="single" w:sz="8" w:color="auto"/>
            </w:tcBorders>
            <w:gridSpan w:val="5"/>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3"/>
                <w:szCs w:val="13"/>
                <w:color w:val="auto"/>
              </w:rPr>
            </w:pPr>
          </w:p>
        </w:tc>
        <w:tc>
          <w:tcPr>
            <w:tcW w:w="1420" w:type="dxa"/>
            <w:vAlign w:val="bottom"/>
            <w:gridSpan w:val="6"/>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Convertible</w:t>
            </w:r>
          </w:p>
        </w:tc>
        <w:tc>
          <w:tcPr>
            <w:tcW w:w="1080" w:type="dxa"/>
            <w:vAlign w:val="bottom"/>
            <w:gridSpan w:val="4"/>
          </w:tcPr>
          <w:p>
            <w:pPr>
              <w:jc w:val="center"/>
              <w:ind w:left="28"/>
              <w:spacing w:after="0" w:line="158" w:lineRule="exact"/>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760" w:type="dxa"/>
            <w:vAlign w:val="bottom"/>
            <w:tcBorders>
              <w:right w:val="single" w:sz="8" w:color="auto"/>
            </w:tcBorders>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20" w:type="dxa"/>
            <w:vAlign w:val="bottom"/>
          </w:tcPr>
          <w:p>
            <w:pPr>
              <w:spacing w:after="0"/>
              <w:rPr>
                <w:sz w:val="12"/>
                <w:szCs w:val="12"/>
                <w:color w:val="auto"/>
              </w:rPr>
            </w:pPr>
          </w:p>
        </w:tc>
        <w:tc>
          <w:tcPr>
            <w:tcW w:w="142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08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$0.0001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760" w:type="dxa"/>
            <w:vAlign w:val="bottom"/>
            <w:tcBorders>
              <w:right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4"/>
              </w:rPr>
              <w:t>$0.001 Par Value</w:t>
            </w:r>
          </w:p>
        </w:tc>
        <w:tc>
          <w:tcPr>
            <w:tcW w:w="120" w:type="dxa"/>
            <w:vAlign w:val="bottom"/>
          </w:tcPr>
          <w:p>
            <w:pPr>
              <w:spacing w:after="0"/>
              <w:rPr>
                <w:sz w:val="14"/>
                <w:szCs w:val="14"/>
                <w:color w:val="auto"/>
              </w:rPr>
            </w:pPr>
          </w:p>
        </w:tc>
        <w:tc>
          <w:tcPr>
            <w:tcW w:w="14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$0.001 Par Value</w:t>
            </w:r>
          </w:p>
        </w:tc>
        <w:tc>
          <w:tcPr>
            <w:tcW w:w="108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7"/>
              </w:rPr>
              <w:t>Par Value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1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90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2"/>
                <w:szCs w:val="12"/>
                <w:color w:val="auto"/>
              </w:rPr>
            </w:pPr>
          </w:p>
        </w:tc>
        <w:tc>
          <w:tcPr>
            <w:tcW w:w="920" w:type="dxa"/>
            <w:vAlign w:val="bottom"/>
            <w:gridSpan w:val="2"/>
          </w:tcPr>
          <w:p>
            <w:pPr>
              <w:jc w:val="right"/>
              <w:ind w:right="36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BALANCE—January 1, 2014</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6,105,956</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$140,324</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700,435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7,231</w:t>
            </w: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56,573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(135,707)</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(128,475)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1,944</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for convertible preferred stock</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dividends</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6,529</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(4,266)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(19,828)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(19,828)</w:t>
            </w:r>
          </w:p>
        </w:tc>
        <w:tc>
          <w:tcPr>
            <w:tcW w:w="0" w:type="dxa"/>
            <w:vAlign w:val="bottom"/>
          </w:tcPr>
          <w:p>
            <w:pPr>
              <w:spacing w:after="0"/>
              <w:rPr>
                <w:sz w:val="1"/>
                <w:szCs w:val="1"/>
                <w:color w:val="auto"/>
              </w:rPr>
            </w:pPr>
          </w:p>
        </w:tc>
      </w:tr>
      <w:tr>
        <w:trPr>
          <w:trHeight w:val="156"/>
        </w:trPr>
        <w:tc>
          <w:tcPr>
            <w:tcW w:w="2660" w:type="dxa"/>
            <w:vAlign w:val="bottom"/>
          </w:tcPr>
          <w:p>
            <w:pPr>
              <w:spacing w:after="0" w:line="155" w:lineRule="exact"/>
              <w:rPr>
                <w:sz w:val="20"/>
                <w:szCs w:val="20"/>
                <w:color w:val="auto"/>
              </w:rPr>
            </w:pPr>
            <w:r>
              <w:rPr>
                <w:rFonts w:ascii="Arial" w:cs="Arial" w:eastAsia="Arial" w:hAnsi="Arial"/>
                <w:sz w:val="14"/>
                <w:szCs w:val="14"/>
                <w:color w:val="auto"/>
              </w:rPr>
              <w:t>BALANCE—December 31, 2014</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6,105,956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146,853</w:t>
            </w:r>
          </w:p>
        </w:tc>
        <w:tc>
          <w:tcPr>
            <w:tcW w:w="3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700,435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7,231</w:t>
            </w:r>
          </w:p>
        </w:tc>
        <w:tc>
          <w:tcPr>
            <w:tcW w:w="20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58,517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(159,801)</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(152,569)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Issuance of Series B-1 convertible preferred</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in January 2015 in conjunction</w:t>
            </w: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with KHK Agreement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536,049</w:t>
            </w:r>
          </w:p>
        </w:tc>
        <w:tc>
          <w:tcPr>
            <w:tcW w:w="18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7,713</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6"/>
              </w:rPr>
              <w:t>Issuance of Series C-1 convertible preferred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w w:val="97"/>
              </w:rPr>
              <w:t>stock in June 2015, net of issuance costs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60"/>
              <w:spacing w:after="0"/>
              <w:rPr>
                <w:sz w:val="20"/>
                <w:szCs w:val="20"/>
                <w:color w:val="auto"/>
              </w:rPr>
            </w:pPr>
            <w:r>
              <w:rPr>
                <w:rFonts w:ascii="Arial" w:cs="Arial" w:eastAsia="Arial" w:hAnsi="Arial"/>
                <w:sz w:val="14"/>
                <w:szCs w:val="14"/>
                <w:color w:val="auto"/>
              </w:rPr>
              <w:t>of $0.2 million</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1,340,113</w:t>
            </w: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18,526</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2014 Notes into Series C-1</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372,446</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5,211</w:t>
            </w:r>
          </w:p>
        </w:tc>
        <w:tc>
          <w:tcPr>
            <w:tcW w:w="3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w w:val="96"/>
              </w:rPr>
              <w:t>Issuance of Series C-1 convertible preferred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160"/>
              <w:spacing w:after="0" w:line="149" w:lineRule="exact"/>
              <w:rPr>
                <w:sz w:val="20"/>
                <w:szCs w:val="20"/>
                <w:color w:val="auto"/>
              </w:rPr>
            </w:pPr>
            <w:r>
              <w:rPr>
                <w:rFonts w:ascii="Arial" w:cs="Arial" w:eastAsia="Arial" w:hAnsi="Arial"/>
                <w:sz w:val="14"/>
                <w:szCs w:val="14"/>
                <w:color w:val="auto"/>
              </w:rPr>
              <w:t>stock in August 2015, net of issuance</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60"/>
              <w:spacing w:after="0"/>
              <w:rPr>
                <w:sz w:val="20"/>
                <w:szCs w:val="20"/>
                <w:color w:val="auto"/>
              </w:rPr>
            </w:pPr>
            <w:r>
              <w:rPr>
                <w:rFonts w:ascii="Arial" w:cs="Arial" w:eastAsia="Arial" w:hAnsi="Arial"/>
                <w:sz w:val="14"/>
                <w:szCs w:val="14"/>
                <w:color w:val="auto"/>
              </w:rPr>
              <w:t>costs of $0.2 million</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4,377,902</w:t>
            </w:r>
          </w:p>
        </w:tc>
        <w:tc>
          <w:tcPr>
            <w:tcW w:w="180" w:type="dxa"/>
            <w:vAlign w:val="bottom"/>
          </w:tcPr>
          <w:p>
            <w:pPr>
              <w:spacing w:after="0"/>
              <w:rPr>
                <w:sz w:val="14"/>
                <w:szCs w:val="14"/>
                <w:color w:val="auto"/>
              </w:rPr>
            </w:pPr>
          </w:p>
        </w:tc>
        <w:tc>
          <w:tcPr>
            <w:tcW w:w="8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4"/>
                <w:szCs w:val="14"/>
                <w:color w:val="auto"/>
              </w:rPr>
              <w:t>61,084</w:t>
            </w: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convertible preferred stock to</w:t>
            </w: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redemption value</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69,715</w:t>
            </w: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(69,592)</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(69,715)</w:t>
            </w:r>
          </w:p>
        </w:tc>
        <w:tc>
          <w:tcPr>
            <w:tcW w:w="0" w:type="dxa"/>
            <w:vAlign w:val="bottom"/>
          </w:tcPr>
          <w:p>
            <w:pPr>
              <w:spacing w:after="0"/>
              <w:rPr>
                <w:sz w:val="1"/>
                <w:szCs w:val="1"/>
                <w:color w:val="auto"/>
              </w:rPr>
            </w:pPr>
          </w:p>
        </w:tc>
      </w:tr>
      <w:tr>
        <w:trPr>
          <w:trHeight w:val="130"/>
        </w:trPr>
        <w:tc>
          <w:tcPr>
            <w:tcW w:w="2660" w:type="dxa"/>
            <w:vAlign w:val="bottom"/>
          </w:tcPr>
          <w:p>
            <w:pPr>
              <w:spacing w:after="0" w:line="130" w:lineRule="exact"/>
              <w:rPr>
                <w:sz w:val="20"/>
                <w:szCs w:val="20"/>
                <w:color w:val="auto"/>
              </w:rPr>
            </w:pPr>
            <w:r>
              <w:rPr>
                <w:rFonts w:ascii="Arial" w:cs="Arial" w:eastAsia="Arial" w:hAnsi="Arial"/>
                <w:sz w:val="14"/>
                <w:szCs w:val="14"/>
                <w:color w:val="auto"/>
              </w:rPr>
              <w:t>Accretion for convertible preferred stock</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60" w:type="dxa"/>
            <w:vAlign w:val="bottom"/>
          </w:tcPr>
          <w:p>
            <w:pPr>
              <w:ind w:left="160"/>
              <w:spacing w:after="0"/>
              <w:rPr>
                <w:sz w:val="20"/>
                <w:szCs w:val="20"/>
                <w:color w:val="auto"/>
              </w:rPr>
            </w:pPr>
            <w:r>
              <w:rPr>
                <w:rFonts w:ascii="Arial" w:cs="Arial" w:eastAsia="Arial" w:hAnsi="Arial"/>
                <w:sz w:val="14"/>
                <w:szCs w:val="14"/>
                <w:color w:val="auto"/>
              </w:rPr>
              <w:t>dividends</w:t>
            </w:r>
          </w:p>
        </w:tc>
        <w:tc>
          <w:tcPr>
            <w:tcW w:w="9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10,011</w:t>
            </w:r>
          </w:p>
        </w:tc>
        <w:tc>
          <w:tcPr>
            <w:tcW w:w="30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(3,848)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color w:val="auto"/>
              </w:rPr>
              <w:t>(6,163)</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(10,011)</w:t>
            </w: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24,876</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Vesting of restricted stock</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2,047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3,882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3,882</w:t>
            </w:r>
          </w:p>
        </w:tc>
        <w:tc>
          <w:tcPr>
            <w:tcW w:w="0" w:type="dxa"/>
            <w:vAlign w:val="bottom"/>
          </w:tcPr>
          <w:p>
            <w:pPr>
              <w:spacing w:after="0"/>
              <w:rPr>
                <w:sz w:val="1"/>
                <w:szCs w:val="1"/>
                <w:color w:val="auto"/>
              </w:rPr>
            </w:pPr>
          </w:p>
        </w:tc>
      </w:tr>
      <w:tr>
        <w:trPr>
          <w:trHeight w:val="149"/>
        </w:trPr>
        <w:tc>
          <w:tcPr>
            <w:tcW w:w="2660" w:type="dxa"/>
            <w:vAlign w:val="bottom"/>
          </w:tcPr>
          <w:p>
            <w:pPr>
              <w:spacing w:after="0" w:line="149" w:lineRule="exact"/>
              <w:rPr>
                <w:sz w:val="20"/>
                <w:szCs w:val="20"/>
                <w:color w:val="auto"/>
              </w:rPr>
            </w:pPr>
            <w:r>
              <w:rPr>
                <w:rFonts w:ascii="Arial" w:cs="Arial" w:eastAsia="Arial" w:hAnsi="Arial"/>
                <w:sz w:val="14"/>
                <w:szCs w:val="14"/>
                <w:color w:val="auto"/>
              </w:rPr>
              <w:t>Unrealized gain on short-term investments</w:t>
            </w: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90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(24,119)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(24,119)</w:t>
            </w:r>
          </w:p>
        </w:tc>
        <w:tc>
          <w:tcPr>
            <w:tcW w:w="0" w:type="dxa"/>
            <w:vAlign w:val="bottom"/>
          </w:tcPr>
          <w:p>
            <w:pPr>
              <w:spacing w:after="0"/>
              <w:rPr>
                <w:sz w:val="1"/>
                <w:szCs w:val="1"/>
                <w:color w:val="auto"/>
              </w:rPr>
            </w:pPr>
          </w:p>
        </w:tc>
      </w:tr>
      <w:tr>
        <w:trPr>
          <w:trHeight w:val="156"/>
        </w:trPr>
        <w:tc>
          <w:tcPr>
            <w:tcW w:w="2660" w:type="dxa"/>
            <w:vAlign w:val="bottom"/>
          </w:tcPr>
          <w:p>
            <w:pPr>
              <w:spacing w:after="0" w:line="155" w:lineRule="exact"/>
              <w:rPr>
                <w:sz w:val="20"/>
                <w:szCs w:val="20"/>
                <w:color w:val="auto"/>
              </w:rPr>
            </w:pPr>
            <w:r>
              <w:rPr>
                <w:rFonts w:ascii="Arial" w:cs="Arial" w:eastAsia="Arial" w:hAnsi="Arial"/>
                <w:sz w:val="14"/>
                <w:szCs w:val="14"/>
                <w:color w:val="auto"/>
              </w:rPr>
              <w:t>BALANCE—December 31, 2015</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12,732,466</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$ 319,113</w:t>
            </w:r>
          </w:p>
        </w:tc>
        <w:tc>
          <w:tcPr>
            <w:tcW w:w="3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700,435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7,231</w:t>
            </w:r>
          </w:p>
        </w:tc>
        <w:tc>
          <w:tcPr>
            <w:tcW w:w="20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85,440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(259,675</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(252,415)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4"/>
              </w:rPr>
              <w:t>Years Ended December 31,</w:t>
            </w:r>
          </w:p>
        </w:tc>
      </w:tr>
      <w:tr>
        <w:trPr>
          <w:trHeight w:val="142"/>
        </w:trPr>
        <w:tc>
          <w:tcPr>
            <w:tcW w:w="808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(19,828)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(24,119)</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discount and debt issuance costs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Amortization and accretion of investments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3,882</w:t>
            </w: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Change in fair value of derivative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 in fair value of warrants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r>
      <w:tr>
        <w:trPr>
          <w:trHeight w:val="216"/>
        </w:trPr>
        <w:tc>
          <w:tcPr>
            <w:tcW w:w="8080" w:type="dxa"/>
            <w:vAlign w:val="bottom"/>
          </w:tcPr>
          <w:p>
            <w:pPr>
              <w:ind w:left="720"/>
              <w:spacing w:after="0"/>
              <w:rPr>
                <w:sz w:val="20"/>
                <w:szCs w:val="20"/>
                <w:color w:val="auto"/>
              </w:rPr>
            </w:pPr>
            <w:r>
              <w:rPr>
                <w:rFonts w:ascii="Arial" w:cs="Arial" w:eastAsia="Arial" w:hAnsi="Arial"/>
                <w:sz w:val="18"/>
                <w:szCs w:val="18"/>
                <w:color w:val="auto"/>
              </w:rPr>
              <w:t>Write-off of deferred costs associated with postponed IPO</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4,319</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1080"/>
              <w:spacing w:after="0"/>
              <w:rPr>
                <w:sz w:val="20"/>
                <w:szCs w:val="20"/>
                <w:color w:val="auto"/>
              </w:rPr>
            </w:pPr>
            <w:r>
              <w:rPr>
                <w:rFonts w:ascii="Arial" w:cs="Arial" w:eastAsia="Arial" w:hAnsi="Arial"/>
                <w:sz w:val="18"/>
                <w:szCs w:val="18"/>
                <w:color w:val="auto"/>
              </w:rPr>
              <w:t>Deposits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assets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w:t>
            </w:r>
          </w:p>
        </w:tc>
      </w:tr>
      <w:tr>
        <w:trPr>
          <w:trHeight w:val="216"/>
        </w:trPr>
        <w:tc>
          <w:tcPr>
            <w:tcW w:w="8080" w:type="dxa"/>
            <w:vAlign w:val="bottom"/>
          </w:tcPr>
          <w:p>
            <w:pPr>
              <w:ind w:left="1080"/>
              <w:spacing w:after="0"/>
              <w:rPr>
                <w:sz w:val="20"/>
                <w:szCs w:val="20"/>
                <w:color w:val="auto"/>
              </w:rPr>
            </w:pPr>
            <w:r>
              <w:rPr>
                <w:rFonts w:ascii="Arial" w:cs="Arial" w:eastAsia="Arial" w:hAnsi="Arial"/>
                <w:sz w:val="18"/>
                <w:szCs w:val="18"/>
                <w:color w:val="auto"/>
              </w:rPr>
              <w:t>Accounts payable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16,660</w:t>
            </w:r>
          </w:p>
        </w:tc>
      </w:tr>
      <w:tr>
        <w:trPr>
          <w:trHeight w:val="216"/>
        </w:trPr>
        <w:tc>
          <w:tcPr>
            <w:tcW w:w="8080" w:type="dxa"/>
            <w:vAlign w:val="bottom"/>
          </w:tcPr>
          <w:p>
            <w:pPr>
              <w:ind w:left="1080"/>
              <w:spacing w:after="0"/>
              <w:rPr>
                <w:sz w:val="20"/>
                <w:szCs w:val="20"/>
                <w:color w:val="auto"/>
              </w:rPr>
            </w:pPr>
            <w:r>
              <w:rPr>
                <w:rFonts w:ascii="Arial" w:cs="Arial" w:eastAsia="Arial" w:hAnsi="Arial"/>
                <w:sz w:val="18"/>
                <w:szCs w:val="18"/>
                <w:color w:val="auto"/>
              </w:rPr>
              <w:t>Accrued expenses and other liabilities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(1,940)</w:t>
            </w:r>
          </w:p>
        </w:tc>
      </w:tr>
      <w:tr>
        <w:trPr>
          <w:trHeight w:val="27"/>
        </w:trPr>
        <w:tc>
          <w:tcPr>
            <w:tcW w:w="8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(14,393)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Increase in restricted cash</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short-term investments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(102,008)</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Proceeds from sales and maturities of short-term investments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5,286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40,506</w:t>
            </w:r>
          </w:p>
        </w:tc>
      </w:tr>
      <w:tr>
        <w:trPr>
          <w:trHeight w:val="27"/>
        </w:trPr>
        <w:tc>
          <w:tcPr>
            <w:tcW w:w="8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(61,669)</w:t>
            </w:r>
          </w:p>
        </w:tc>
      </w:tr>
      <w:tr>
        <w:trPr>
          <w:trHeight w:val="223"/>
        </w:trPr>
        <w:tc>
          <w:tcPr>
            <w:tcW w:w="80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capital lease obligation</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Proceeds from issuance of convertible preferred stock, net</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87,323</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debt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issuance costs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(1,245)</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Payments on term loans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(9,000)</w:t>
            </w:r>
          </w:p>
        </w:tc>
      </w:tr>
      <w:tr>
        <w:trPr>
          <w:trHeight w:val="27"/>
        </w:trPr>
        <w:tc>
          <w:tcPr>
            <w:tcW w:w="8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12,410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77,267</w:t>
            </w: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13,170</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year</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r>
      <w:tr>
        <w:trPr>
          <w:trHeight w:val="223"/>
        </w:trPr>
        <w:tc>
          <w:tcPr>
            <w:tcW w:w="8080" w:type="dxa"/>
            <w:vAlign w:val="bottom"/>
          </w:tcPr>
          <w:p>
            <w:pPr>
              <w:spacing w:after="0"/>
              <w:rPr>
                <w:sz w:val="20"/>
                <w:szCs w:val="20"/>
                <w:color w:val="auto"/>
              </w:rPr>
            </w:pPr>
            <w:r>
              <w:rPr>
                <w:rFonts w:ascii="Arial" w:cs="Arial" w:eastAsia="Arial" w:hAnsi="Arial"/>
                <w:sz w:val="18"/>
                <w:szCs w:val="18"/>
                <w:color w:val="auto"/>
              </w:rPr>
              <w:t>CASH AND CASH EQUIVALENTS—end of year</w:t>
            </w:r>
          </w:p>
        </w:tc>
        <w:tc>
          <w:tcPr>
            <w:tcW w:w="1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10,009</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23,179</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Interest paid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69,715</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Conversion of convertible notes and accrued interest into Series C-1 convertible preferred stock</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Term loan proceeds allocated to derivative liability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Deferred issuance costs included in accounts payable and accrued expenses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614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accrued expenses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ind w:right="340" w:firstLine="456"/>
        <w:spacing w:after="0" w:line="261" w:lineRule="auto"/>
        <w:rPr>
          <w:sz w:val="20"/>
          <w:szCs w:val="20"/>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color w:val="auto"/>
        </w:rPr>
        <w:t>– Syndax Pharmaceuticals, Inc. (the “Company”) is a clinical stage biopharmaceutical company developing entinostat as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therapy in multiple cancer indications with an initial focus on tumors that have shown sensitivity to immunotherapy, including lung cancer, melanoma, ovarian cancer and triple negative breast cancer. The Company was incorporated under the laws of the State of Delaware on October 11, 2005 (date of inception) and is headquartered in Waltham, Massachusetts.</w:t>
      </w:r>
    </w:p>
    <w:p>
      <w:pPr>
        <w:spacing w:after="0" w:line="180"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Company has prepared the accompanying consolidated financial statements in conformity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 The financial statements have been prepared on a going concern basis, which contemplates the realization of assets and the satisfaction of liabilities in the ordinary course of business. The financial statements do not include any adjustments relating to the recoverability and classification of recorded assets and liabilities that might be necessary should the Company be unable to continue as a going concern.</w:t>
      </w:r>
    </w:p>
    <w:p>
      <w:pPr>
        <w:spacing w:after="0" w:line="1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Management’s Plans </w:t>
      </w:r>
      <w:r>
        <w:rPr>
          <w:rFonts w:ascii="Arial" w:cs="Arial" w:eastAsia="Arial" w:hAnsi="Arial"/>
          <w:sz w:val="18"/>
          <w:szCs w:val="18"/>
          <w:color w:val="auto"/>
        </w:rPr>
        <w:t>– Since its inception, the Company has devoted its efforts principally to research and development and raising capital.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 has financed its operations to date primarily with the proceeds from the sale of convertible preferred stock and the issuance of notes payable including the most recent preferred stock financing in August 2015, which resulted in net proceeds of $61.1 million, as described in Note 10.</w:t>
      </w:r>
    </w:p>
    <w:p>
      <w:pPr>
        <w:spacing w:after="0" w:line="19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long-term success is dependent upon its ability to successfully develop and market entinostat, expand its oncology drug pipeline, earn revenue, obtain additional capital when needed, and ultimately, achieve profitable operations. The Company anticipates that it will be several years before entinostat is approved and the Company begins to generate revenue from sales of entinostat; accordingly, management fully expects to incur substantial losses on the ongoing development of entinostat and does not expect to achieve positive cash flow from operations for the foreseeable future.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management believes that the December 31, 2015 cash and short-term investments balances should enable the Company to maintain its current and essential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at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61"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Reverse Stock Split </w:t>
      </w:r>
      <w:r>
        <w:rPr>
          <w:rFonts w:ascii="Arial" w:cs="Arial" w:eastAsia="Arial" w:hAnsi="Arial"/>
          <w:sz w:val="18"/>
          <w:szCs w:val="18"/>
          <w:color w:val="auto"/>
        </w:rPr>
        <w:t>– On June 3, 2014, the Board of Directors (the “Board”) and the stockholders of the Company approved a 1-for-12.3 reverse stock</w:t>
      </w:r>
      <w:r>
        <w:rPr>
          <w:rFonts w:ascii="Arial" w:cs="Arial" w:eastAsia="Arial" w:hAnsi="Arial"/>
          <w:sz w:val="18"/>
          <w:szCs w:val="18"/>
          <w:b w:val="1"/>
          <w:bCs w:val="1"/>
          <w:color w:val="auto"/>
        </w:rPr>
        <w:t xml:space="preserve"> </w:t>
      </w:r>
      <w:r>
        <w:rPr>
          <w:rFonts w:ascii="Arial" w:cs="Arial" w:eastAsia="Arial" w:hAnsi="Arial"/>
          <w:sz w:val="18"/>
          <w:szCs w:val="18"/>
          <w:color w:val="auto"/>
        </w:rPr>
        <w:t>split of the Company’s outstanding common stock and convertible preferred stock, which was effected on June 3, 2014. Stockholders entitled to fractional shares as a result of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reverse stock split will receive a cash payment in lieu of receiving fractional shares. All of the Company’s historical share and per share information shown in the accompanying financial statements and related notes have been retroactively adjusted to give effect to this reverse stock split.</w:t>
      </w:r>
    </w:p>
    <w:p>
      <w:pPr>
        <w:spacing w:after="0" w:line="143" w:lineRule="exact"/>
        <w:rPr>
          <w:sz w:val="20"/>
          <w:szCs w:val="20"/>
          <w:color w:val="auto"/>
        </w:rPr>
      </w:pPr>
    </w:p>
    <w:p>
      <w:pPr>
        <w:jc w:val="both"/>
        <w:ind w:right="80" w:firstLine="456"/>
        <w:spacing w:after="0" w:line="314"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 In 2011, the Company established a wholly owned subsidiary in the United Kingdom. There have been no activities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this entity to date. In 2014, the Company established a wholly owned U.S. subsidiary, Syndax Securities Corporation. The consolidated financial statements include the accounts of the Company and its wholly owned subsidiaries. All intercompany balances and transactions have been eliminated in consolidation.</w:t>
      </w:r>
    </w:p>
    <w:p>
      <w:pPr>
        <w:spacing w:after="0" w:line="142" w:lineRule="exact"/>
        <w:rPr>
          <w:sz w:val="20"/>
          <w:szCs w:val="20"/>
          <w:color w:val="auto"/>
        </w:rPr>
      </w:pPr>
    </w:p>
    <w:p>
      <w:pPr>
        <w:ind w:right="420" w:firstLine="456"/>
        <w:spacing w:after="0" w:line="295" w:lineRule="auto"/>
        <w:rPr>
          <w:sz w:val="20"/>
          <w:szCs w:val="20"/>
          <w:color w:val="auto"/>
        </w:rPr>
      </w:pPr>
      <w:r>
        <w:rPr>
          <w:rFonts w:ascii="Arial" w:cs="Arial" w:eastAsia="Arial" w:hAnsi="Arial"/>
          <w:sz w:val="16"/>
          <w:szCs w:val="16"/>
          <w:b w:val="1"/>
          <w:bCs w:val="1"/>
          <w:color w:val="auto"/>
        </w:rPr>
        <w:t xml:space="preserve">Unaudited Pro Forma Information </w:t>
      </w:r>
      <w:r>
        <w:rPr>
          <w:rFonts w:ascii="Arial" w:cs="Arial" w:eastAsia="Arial" w:hAnsi="Arial"/>
          <w:sz w:val="16"/>
          <w:szCs w:val="16"/>
          <w:color w:val="auto"/>
        </w:rPr>
        <w:t>– The unaudited pro forma consolidated balance sheet information as of December 31, 2015, reflects (i) the</w:t>
      </w:r>
      <w:r>
        <w:rPr>
          <w:rFonts w:ascii="Arial" w:cs="Arial" w:eastAsia="Arial" w:hAnsi="Arial"/>
          <w:sz w:val="16"/>
          <w:szCs w:val="16"/>
          <w:b w:val="1"/>
          <w:bCs w:val="1"/>
          <w:color w:val="auto"/>
        </w:rPr>
        <w:t xml:space="preserve"> </w:t>
      </w:r>
      <w:r>
        <w:rPr>
          <w:rFonts w:ascii="Arial" w:cs="Arial" w:eastAsia="Arial" w:hAnsi="Arial"/>
          <w:sz w:val="16"/>
          <w:szCs w:val="16"/>
          <w:color w:val="auto"/>
        </w:rPr>
        <w:t>conversion of 700,435 shares of Series A convertible preferred stock (“Series A”) into 140,085 shares of common stock and (ii) the conversion of an aggregate of shares of Series A-1 convertible preferred stock (“Series A-1”), Series B convertible preferred stock (“Series B”), Series B-1 convertible preferred stock (“Series B-1”) and Series C-1 convertible preferred stock (“Series C-1”) into 12,732,466 shares of common stock, which along with the 85,440 shares of outstanding common stock will reflect an aggregate total of 12,957,991 shares of common stock immediately prior to the closing of the proposed initial public offering (“IPO”). Additionally, the common stock warrant liability has been reclassified to additional paid-in capital.</w:t>
      </w:r>
    </w:p>
    <w:p>
      <w:pPr>
        <w:spacing w:after="0" w:line="15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5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Cash equivalents include all highly liquid investments maturing within 90 days or less from the date of purchase.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money market funds, corporate debt securities, and U.S. government agency notes.</w:t>
      </w:r>
    </w:p>
    <w:p>
      <w:pPr>
        <w:spacing w:after="0" w:line="162" w:lineRule="exact"/>
        <w:rPr>
          <w:sz w:val="20"/>
          <w:szCs w:val="20"/>
          <w:color w:val="auto"/>
        </w:rPr>
      </w:pPr>
    </w:p>
    <w:p>
      <w:pPr>
        <w:ind w:right="280" w:firstLine="456"/>
        <w:spacing w:after="0" w:line="347" w:lineRule="auto"/>
        <w:rPr>
          <w:sz w:val="20"/>
          <w:szCs w:val="20"/>
          <w:color w:val="auto"/>
        </w:rPr>
      </w:pPr>
      <w:r>
        <w:rPr>
          <w:rFonts w:ascii="Arial" w:cs="Arial" w:eastAsia="Arial" w:hAnsi="Arial"/>
          <w:sz w:val="16"/>
          <w:szCs w:val="16"/>
          <w:b w:val="1"/>
          <w:bCs w:val="1"/>
          <w:color w:val="auto"/>
        </w:rPr>
        <w:t xml:space="preserve">Restricted Cash </w:t>
      </w:r>
      <w:r>
        <w:rPr>
          <w:rFonts w:ascii="Arial" w:cs="Arial" w:eastAsia="Arial" w:hAnsi="Arial"/>
          <w:sz w:val="16"/>
          <w:szCs w:val="16"/>
          <w:color w:val="auto"/>
        </w:rPr>
        <w:t>– The Company classifies as restricted cash all cash pledged as collateral to secure long-term obligations and all cash whose use is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limited by contractual provisions. Amounts are reported as non-current unless restrictions are expected to be released in the next 12 months.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Investments in marketable securities with maturities of less than one year or where management’s intent is to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to fund current operations or to make them available for current operations. All investments in marketable securities are classified as available-for-sale and are reported at fair value with unrealized gains and losses excluded from earnings and reported net of tax in accumulated other comprehensive income, which is a component of stockholders’ deficit.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 Investments with remaining maturities or that are due within one year from the balance sheet date are classified as current.</w:t>
      </w:r>
    </w:p>
    <w:p>
      <w:pPr>
        <w:spacing w:after="0" w:line="189"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Revision of Interest Income and Interest Expense </w:t>
      </w:r>
      <w:r>
        <w:rPr>
          <w:rFonts w:ascii="Arial" w:cs="Arial" w:eastAsia="Arial" w:hAnsi="Arial"/>
          <w:sz w:val="18"/>
          <w:szCs w:val="18"/>
          <w:color w:val="auto"/>
        </w:rPr>
        <w:t>– The Company has revised its previous presentation of interest income and interest expense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statements of comprehensive loss for the years ended December 31, 2014 and 2015 to correctly reflect $54,000 and $350,000 of amortization and accretion of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Company’s short-term investments in 2014 and 2015, respectively, as interest income rather than interest expense. This revision had no impact on total other income (expense) or net loss.</w:t>
      </w:r>
    </w:p>
    <w:p>
      <w:pPr>
        <w:spacing w:after="0" w:line="16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Operating segments are identified as components of an enterprise about which separate discrete financial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evaluation by the chief operating decision maker in making decisions regarding resource allocation and assessing performance. The Company has one operating segment.</w:t>
      </w:r>
    </w:p>
    <w:p>
      <w:pPr>
        <w:spacing w:after="0" w:line="17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17"/>
          <w:szCs w:val="17"/>
          <w:color w:val="auto"/>
        </w:rPr>
        <w:t>– Other assets consist of deferred issuance costs, long-term security deposits and noncurrent restricted cash. Deferred issuance costs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consist primarily of direct incremental legal and accounting fees relating to the Company’s IPO and issuance of debt. As of December 31, 2014 and 2015, the Company had capitalized deferred IPO issuance costs of $0 and $1.6 million, respectively. Future costs will be deferred until the completion of the IPO, at which time they will be reclassified to additional paid-in capital as a reduction of the IPO proceeds. If the Company terminates its plan for an IPO, any costs deferred will be expensed immediately. In September 2014, the Company determined that it was likely its IPO would be postponed for a period in excess of 90 days. As a result, in accordance with the Securities and Exchange Commission guidance in Staff Accounting Bulletin Topic 5-A, </w:t>
      </w:r>
      <w:r>
        <w:rPr>
          <w:rFonts w:ascii="Arial" w:cs="Arial" w:eastAsia="Arial" w:hAnsi="Arial"/>
          <w:sz w:val="17"/>
          <w:szCs w:val="17"/>
          <w:i w:val="1"/>
          <w:iCs w:val="1"/>
          <w:color w:val="auto"/>
        </w:rPr>
        <w:t>Expenses of Offering,</w:t>
      </w:r>
      <w:r>
        <w:rPr>
          <w:rFonts w:ascii="Arial" w:cs="Arial" w:eastAsia="Arial" w:hAnsi="Arial"/>
          <w:sz w:val="17"/>
          <w:szCs w:val="17"/>
          <w:color w:val="auto"/>
        </w:rPr>
        <w:t xml:space="preserve"> the Company expensed as general and administrative expenses previously deferred IPO costs of $4.3 million.</w:t>
      </w:r>
    </w:p>
    <w:p>
      <w:pPr>
        <w:spacing w:after="0" w:line="176"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deferred debt issuance costs are related to the Company’s term loans and convertible notes and were amortized as interest expense over the period that the related debt was outstanding. For the years ended December 31, 2014 and 2015, amortization of debt issuance costs was $0 and $0.3 million, respectively, and as of December 31, 2014 and 2015, the Company had capitalized debt issuance costs of $0.3 million and $0, respectively.</w:t>
      </w:r>
    </w:p>
    <w:p>
      <w:pPr>
        <w:spacing w:after="0" w:line="143"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Cash and cash equivalents, restricted cash, and short-term investments are financial instruments that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the Company to concentrations of credit risk. Substantially all of the Company’s cash, cash equivalents, and short-term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4" w:lineRule="exact"/>
        <w:rPr>
          <w:sz w:val="20"/>
          <w:szCs w:val="20"/>
          <w:color w:val="auto"/>
        </w:rPr>
      </w:pPr>
    </w:p>
    <w:p>
      <w:pPr>
        <w:jc w:val="both"/>
        <w:ind w:right="180" w:firstLine="456"/>
        <w:spacing w:after="0" w:line="314"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Property and equipment are recorded at cost. Depreciation is recorded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42"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Long-lived assets are reviewed for impairment whenever events or changes in circumstances indicate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180"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 The Company enters into license agreements for the development and commercialization of our product candidate, entinostat.</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form of licenses, obligations to provide research and development services and related materials and participation on certain development and/or commercialization committees with the collaboration partners.</w:t>
      </w:r>
    </w:p>
    <w:p>
      <w:pPr>
        <w:spacing w:after="0" w:line="17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Revenue is recognized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the Company identifies the deliverables included within the agreement and evaluates which deliverables represent separate units of accounting based on the achievement of certain criteria including whether the deliverable has stand-alone value. Upfront payments received in connection with licenses of the Company’s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 The Company periodically reviews its estimated periods of performance based on the progress under each arrangement and accounts for the impact of any changes in estimated periods of performance on a prospective basis.</w:t>
      </w:r>
    </w:p>
    <w:p>
      <w:pPr>
        <w:spacing w:after="0" w:line="166"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At the inception of each agreement that includes milestone payments, the Company evaluates whether each milestone is substantive and at risk to both parties on the basis of the contingent nature of the milestone.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 Non-refundable payments that are contingent upon achievement of a substantive milestone are recognized in their entirety in the period in which the milestone is achieved, assuming all other revenue recognition criteria are met. Other contingent payments in which a portion of the milestone consideration is refundable or adjusts based on future performance or non-performance (e.g., through a penalty or claw-back provision) are not considered to relate solely to past performance, and therefore, not considered substantive. Amounts that are not recognized as revenue due to the uncertainty as to whether they will be retained or because they are expected to be refunded are recorded as a liability. The Company recognizes non-substantive milestone payments over the remaining estimated period of performance once the milestone is achieved. Contingent payments associated with the achievement of specific objectives in certain contracts that are not considered substantive because the Company does not contribute effort to the achievement of such milestones are recognized as revenue upon achievement of the objective, as long as there are no undelivered elements remaining and no continuing performance obligations by the Company, assuming all other revenue recognition criteria are met.</w:t>
      </w:r>
    </w:p>
    <w:p>
      <w:pPr>
        <w:spacing w:after="0" w:line="184"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 Research and development costs are expensed as incurred. Research and development expenses include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w:t>
      </w:r>
    </w:p>
    <w:p>
      <w:pPr>
        <w:spacing w:after="0" w:line="180"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Clinical Trial Costs </w:t>
      </w:r>
      <w:r>
        <w:rPr>
          <w:rFonts w:ascii="Arial" w:cs="Arial" w:eastAsia="Arial" w:hAnsi="Arial"/>
          <w:sz w:val="18"/>
          <w:szCs w:val="18"/>
          <w:color w:val="auto"/>
        </w:rPr>
        <w:t>– Clinical trial costs are a component of research and development expenses. The Company accrues and expenses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performed by third parties based on an evaluation of the progress to completion of specific tasks using data such as patient enrollment, clinical site activations, or other information provided to us by our vendors.</w:t>
      </w:r>
    </w:p>
    <w:p>
      <w:pPr>
        <w:spacing w:after="0" w:line="176" w:lineRule="exact"/>
        <w:rPr>
          <w:sz w:val="20"/>
          <w:szCs w:val="20"/>
          <w:color w:val="auto"/>
        </w:rPr>
      </w:pPr>
    </w:p>
    <w:p>
      <w:pPr>
        <w:ind w:right="20" w:firstLine="456"/>
        <w:spacing w:after="0" w:line="289"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The Company records deferred tax assets and liabilities for the expected future tax consequences of temporary differences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8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Guarantees and Indemnifications </w:t>
      </w:r>
      <w:r>
        <w:rPr>
          <w:rFonts w:ascii="Arial" w:cs="Arial" w:eastAsia="Arial" w:hAnsi="Arial"/>
          <w:sz w:val="18"/>
          <w:szCs w:val="18"/>
          <w:color w:val="auto"/>
        </w:rPr>
        <w:t>– As permitted under Delaware law, the Company indemnifies its officers, directors, and employees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occurrences that happen by reason of the relationship with, or position held at, the Company. The Company has standard indemnification arrangements under office leases (as described in Note 14) that require it to indemnify the landlord against all costs, expenses, fines, suits, claims, demands, liabilities, and actions directly resulting from any breach, violation, or nonperformance of any covenant or condition of the Company’s lease. Through December 31, 2015,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89"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all stock option awards granted to employees and non-employees using a fair value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is measured at the grant date fair value of employee stock option grants and is recognized over the requisite service period of the awards (usually the vesting period) on a straight-line basis, net of estimated forfeitures. Stock option awards to non-employees are subject to periodic revaluation over their vesting terms.</w:t>
      </w:r>
    </w:p>
    <w:p>
      <w:pPr>
        <w:spacing w:after="0" w:line="180" w:lineRule="exact"/>
        <w:rPr>
          <w:sz w:val="20"/>
          <w:szCs w:val="20"/>
          <w:color w:val="auto"/>
        </w:rPr>
      </w:pPr>
    </w:p>
    <w:p>
      <w:pPr>
        <w:ind w:right="520" w:firstLine="456"/>
        <w:spacing w:after="0" w:line="258" w:lineRule="auto"/>
        <w:rPr>
          <w:sz w:val="20"/>
          <w:szCs w:val="20"/>
          <w:color w:val="auto"/>
        </w:rPr>
      </w:pPr>
      <w:r>
        <w:rPr>
          <w:rFonts w:ascii="Arial" w:cs="Arial" w:eastAsia="Arial" w:hAnsi="Arial"/>
          <w:sz w:val="18"/>
          <w:szCs w:val="18"/>
          <w:b w:val="1"/>
          <w:bCs w:val="1"/>
          <w:color w:val="auto"/>
        </w:rPr>
        <w:t xml:space="preserve">Convertible Preferred Stock </w:t>
      </w:r>
      <w:r>
        <w:rPr>
          <w:rFonts w:ascii="Arial" w:cs="Arial" w:eastAsia="Arial" w:hAnsi="Arial"/>
          <w:sz w:val="18"/>
          <w:szCs w:val="18"/>
          <w:color w:val="auto"/>
        </w:rPr>
        <w:t>– The Company has classified certain series of convertible preferred stock as temporary equity in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sheets due to certain change in control events that are outside of the Company’s control, including liquidation, sale, or transfer of control of the Company, as holders of the convertible preferred stock could cause redemption of the shares in these situations. The carrying value of the convertible preferred stock is presented at its maximum redemption value. As of December 31, 2015, the Series A has no liquidation preference and is presented in permanent equity.</w:t>
      </w:r>
    </w:p>
    <w:p>
      <w:pPr>
        <w:spacing w:after="0" w:line="184" w:lineRule="exact"/>
        <w:rPr>
          <w:sz w:val="20"/>
          <w:szCs w:val="20"/>
          <w:color w:val="auto"/>
        </w:rPr>
      </w:pPr>
    </w:p>
    <w:p>
      <w:pPr>
        <w:ind w:right="60" w:firstLine="456"/>
        <w:spacing w:after="0" w:line="314" w:lineRule="auto"/>
        <w:rPr>
          <w:sz w:val="20"/>
          <w:szCs w:val="20"/>
          <w:color w:val="auto"/>
        </w:rPr>
      </w:pPr>
      <w:r>
        <w:rPr>
          <w:rFonts w:ascii="Arial" w:cs="Arial" w:eastAsia="Arial" w:hAnsi="Arial"/>
          <w:sz w:val="16"/>
          <w:szCs w:val="16"/>
          <w:b w:val="1"/>
          <w:bCs w:val="1"/>
          <w:color w:val="auto"/>
        </w:rPr>
        <w:t xml:space="preserve">Debt Discount </w:t>
      </w:r>
      <w:r>
        <w:rPr>
          <w:rFonts w:ascii="Arial" w:cs="Arial" w:eastAsia="Arial" w:hAnsi="Arial"/>
          <w:sz w:val="16"/>
          <w:szCs w:val="16"/>
          <w:color w:val="auto"/>
        </w:rPr>
        <w:t>– The Company has recorded the fair value of the derivative liability related to its term loans as debt discount, which is presented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balance sheets as an offset to the carrying value amount of the debt. Debt discount is amortized to interest expense using the effective interest rate method or a method that approximates the effective interest rate method over the expected period that the debt is expected to be outstanding.</w:t>
      </w:r>
    </w:p>
    <w:p>
      <w:pPr>
        <w:spacing w:after="0" w:line="142"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Derivative Liabilities </w:t>
      </w:r>
      <w:r>
        <w:rPr>
          <w:rFonts w:ascii="Arial" w:cs="Arial" w:eastAsia="Arial" w:hAnsi="Arial"/>
          <w:sz w:val="18"/>
          <w:szCs w:val="18"/>
          <w:color w:val="auto"/>
        </w:rPr>
        <w:t>– The Company records potential payments that would be made to lenders upon certain triggering events as a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liabilities. The derivative liability is initially valued at fair value using a probability-weighted expected return model. Gains and losses arising from changes in fair value recognized in other income (expense) in the consolidated statements of comprehensive loss at each period end while such liabilities are outstanding.</w:t>
      </w:r>
    </w:p>
    <w:p>
      <w:pPr>
        <w:spacing w:after="0" w:line="18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Common Stock Warrants </w:t>
      </w:r>
      <w:r>
        <w:rPr>
          <w:rFonts w:ascii="Arial" w:cs="Arial" w:eastAsia="Arial" w:hAnsi="Arial"/>
          <w:sz w:val="18"/>
          <w:szCs w:val="18"/>
          <w:color w:val="auto"/>
        </w:rPr>
        <w:t>– The Company has recorded common stock warrants issued with license agreements as derivative financial liabilities,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the warrants are not fixed due to potential adjustments in the exercise price and/or the number of shares issuable under the warrants. The common stock warrants are initially recorded at fair value, with gains and losses arising from changes in fair value recognized in other income (expense) in the consolidated statements of comprehensive loss at each period end while such instruments are outstanding. The warrant liabilities were valued using a Black-Scholes option-pricing model.</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 In May 2014, the Financial Accounting Standards Board (“FASB”) issued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ASU 2014-09 supersedes the revenue recognition requirements of FASB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throughout the Accounting Standards Codification, resulting in the creation of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In July 2015, FASB voted to delay the effective date of the standard by one year to the first quarter of 2018 to provide companies sufficient time to implement the standard. Early adoption will be permitted, but not before the first quarter of 2017. The Company is currently evaluating the method by which it will implement this standard and the impact of the adoption of this standard on the Company’s consolidated financial statements.</w:t>
      </w:r>
    </w:p>
    <w:p>
      <w:pPr>
        <w:spacing w:after="0" w:line="164"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In August 2014,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(“ASU 2014-15”). ASU 2014-15 provides guidance on management’s responsibility in evaluating whether there are conditions or events that raise substantial doubt about a company’s ability to continue as a going concern within one year from the date the financial statements are issued, and about related footnote disclosures. ASU 2014-15 is effective for the annual period ending after December 15, 2016, and for annual periods and interim periods thereafter. Early application is permitted. The Company is currently evaluating the impact of adopting ASU 2014-15 on its consolidated financial statements and related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 Attributable to Common Stockholders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years ended December 31, 2014 and 2015, diluted net loss per common share is the same as basic net loss per common share for those periods.</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Numerator—basic and diluted:</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(19,828)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(26,357)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(103,845)</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5"/>
              </w:rPr>
              <w:t>(453.02</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(1,519.27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Weighted-average common shares used to compute net loss per share—basic and diluted</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58,181</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5520"/>
              <w:spacing w:after="0"/>
              <w:rPr>
                <w:sz w:val="20"/>
                <w:szCs w:val="20"/>
                <w:color w:val="auto"/>
              </w:rPr>
            </w:pPr>
            <w:r>
              <w:rPr>
                <w:rFonts w:ascii="Arial" w:cs="Arial" w:eastAsia="Arial" w:hAnsi="Arial"/>
                <w:sz w:val="18"/>
                <w:szCs w:val="18"/>
                <w:color w:val="auto"/>
              </w:rPr>
              <w:t>F-12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14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6,246,041</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12,872,551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831,148</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2,606,195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127,099</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Convertible notes and related accrued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363,294</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unaudited pro forma basic and diluted loss per share attributable to common stockholders for the year ended December 31, 2015 has been computed using the weighted-average number of shares of common stock outstanding after giving pro forma effect to (i) the automatic conversion of all shares of convertible preferred stock into shares of common stock and (ii) the conversion of convertible notes into shares of convertible preferred stock and then converted into shares of common stock as if such conversions had occurred at the beginning of the period presented or the date of original issuance, if later. Upon conversion of the convertible preferred stock into common stock in the event of an IPO, the holders on the convertible preferred stock are not entitled to receive undeclared dividends. Accordingly, the impact of the accretion of accrued but unpaid dividends has been excluded from the determination of net loss attributable to common stockholders as the holders of the convertible preferred stock are not entitled to receive accrued but unpaid dividends upon such conversion. The interest expense associated with the convertible debt has been excluded from the determination of net loss attributable to common stockholders as this expense would not have occurred if the notes had converted at the beginning of the period presented. The gains and losses associated with the changes in the fair value of the common stock warrant have been excluded from the determination of net loss attributable to common stockholders as these re-measurements would not have occurred if the common stock warrant converted at the beginning of the period presented.</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Unaudited pro forma basic and diluted loss per share attributable to common stockholders are computed as follows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8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convertible notes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Change in fair value of common stock warrant liability</w:t>
            </w:r>
          </w:p>
        </w:tc>
        <w:tc>
          <w:tcPr>
            <w:tcW w:w="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stockholders—basic and diluted</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(21,839)</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outstanding—basic and diluted</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Adjustment for assumed effect of conversion of convertible notes into common stock</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assumed effect of conversion of convertible preferred stock</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9,374,058</w:t>
            </w:r>
          </w:p>
        </w:tc>
        <w:tc>
          <w:tcPr>
            <w:tcW w:w="0" w:type="dxa"/>
            <w:vAlign w:val="bottom"/>
          </w:tcPr>
          <w:p>
            <w:pPr>
              <w:spacing w:after="0"/>
              <w:rPr>
                <w:sz w:val="1"/>
                <w:szCs w:val="1"/>
                <w:color w:val="auto"/>
              </w:rPr>
            </w:pPr>
          </w:p>
        </w:tc>
      </w:tr>
      <w:tr>
        <w:trPr>
          <w:trHeight w:val="223"/>
        </w:trPr>
        <w:tc>
          <w:tcPr>
            <w:tcW w:w="9420" w:type="dxa"/>
            <w:vAlign w:val="bottom"/>
            <w:gridSpan w:val="2"/>
          </w:tcPr>
          <w:p>
            <w:pPr>
              <w:spacing w:after="0"/>
              <w:rPr>
                <w:sz w:val="20"/>
                <w:szCs w:val="20"/>
                <w:color w:val="auto"/>
              </w:rPr>
            </w:pPr>
            <w:r>
              <w:rPr>
                <w:rFonts w:ascii="Arial" w:cs="Arial" w:eastAsia="Arial" w:hAnsi="Arial"/>
                <w:sz w:val="18"/>
                <w:szCs w:val="18"/>
                <w:color w:val="auto"/>
                <w:w w:val="97"/>
              </w:rPr>
              <w:t>Pro forma weighted-average number of common shares used to compute pro forma net loss per share—basic and diluted</w:t>
            </w:r>
          </w:p>
        </w:tc>
        <w:tc>
          <w:tcPr>
            <w:tcW w:w="7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9,597,519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share—basic and diluted</w:t>
            </w:r>
          </w:p>
        </w:tc>
        <w:tc>
          <w:tcPr>
            <w:tcW w:w="8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5520"/>
              <w:spacing w:after="0"/>
              <w:rPr>
                <w:sz w:val="20"/>
                <w:szCs w:val="20"/>
                <w:color w:val="auto"/>
              </w:rPr>
            </w:pPr>
            <w:r>
              <w:rPr>
                <w:rFonts w:ascii="Arial" w:cs="Arial" w:eastAsia="Arial" w:hAnsi="Arial"/>
                <w:sz w:val="18"/>
                <w:szCs w:val="18"/>
                <w:color w:val="auto"/>
              </w:rPr>
              <w:t>F-13</w:t>
            </w: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Agreements</w:t>
      </w:r>
    </w:p>
    <w:p>
      <w:pPr>
        <w:spacing w:after="0" w:line="117"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 xml:space="preserve">Merck KGaA – Pfizer Collaboration </w:t>
      </w:r>
      <w:r>
        <w:rPr>
          <w:rFonts w:ascii="Arial" w:cs="Arial" w:eastAsia="Arial" w:hAnsi="Arial"/>
          <w:sz w:val="17"/>
          <w:szCs w:val="17"/>
          <w:color w:val="auto"/>
        </w:rPr>
        <w:t>– On December 31, 2015, the Company entered into a clinical trial collaboration and supply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Ares Trading, S.A., a subsidiary of Merck KGaA, Darmstadt, Germany, and Pfizer, Inc. (the “Alliance”) under which it will conduct a clinical trial evaluating entinostat in combination with an investigational monoclonal antibody, avelumab, in patients with ovarian cancer. Avelumab is being developed collaboratively by the Alliance, which are together treated as a single party for purposes of this agreement. The Company will be the sponsor of the clinical trial. The Alliance will supply avelumab for use in the clinical trial. The Company will share the study costs equally with the Alliance. During the term of the trial or the term of the agreement, whichever is shorter, each party has agreed not to initiate any clinical trial in combination with such party’s drug and a third party drug for the treatment of ovarian cancer if the third party drug has the same target and mechanism of action as the other party’s drug, subject to certain exceptions. 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 Either party may terminate the agreement for the other party’s uncured material breach. In addition, either party may terminate the agreement if it determines that the trial may unreasonably affect patient safety, or if a regulatory authority takes an action that prevents such party from supplying its drug, or if such party decides to discontinue development of its drug. The Alliance may also terminate the agreement if the Company fails to make any changes to the clinical trial protocol that are reasonably requested by the Alliance to address a perceived safety issue.</w:t>
      </w:r>
    </w:p>
    <w:p>
      <w:pPr>
        <w:spacing w:after="0" w:line="18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Kyowa Hakko Kirin Co., Ltd. – </w:t>
      </w:r>
      <w:r>
        <w:rPr>
          <w:rFonts w:ascii="Arial" w:cs="Arial" w:eastAsia="Arial" w:hAnsi="Arial"/>
          <w:sz w:val="17"/>
          <w:szCs w:val="17"/>
          <w:color w:val="auto"/>
        </w:rPr>
        <w:t>On December 19, 2014 (the “Effective Date”), the Company entered into a license agreement (the “KHK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Kyowa Hakko Kirin Co., Ltd. (“KHK”), under which the Company granted KHK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paid the Company $25.0 million upfront, which included a $7.5 million equity investment of 536,049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 shares on the Effective Date based on a share price of $14.39 per share, which resulted in $7.7 million of proceeds allocated to the Series B-1 and the remaining consideration of $17.3 million allocated to the up-front license fee. The fair value of the Series B-1 of $14.39 per share was based on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The Company has concluded that this agreement is within the scope of ASC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w:t>
      </w:r>
    </w:p>
    <w:p>
      <w:pPr>
        <w:spacing w:after="0" w:line="2" w:lineRule="exact"/>
        <w:rPr>
          <w:sz w:val="20"/>
          <w:szCs w:val="20"/>
          <w:color w:val="auto"/>
        </w:rPr>
      </w:pPr>
    </w:p>
    <w:p>
      <w:pPr>
        <w:ind w:right="80" w:firstLine="8"/>
        <w:spacing w:after="0" w:line="253" w:lineRule="auto"/>
        <w:tabs>
          <w:tab w:leader="none" w:pos="21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will be allocated to the license unit of accounting. The arrangement consideration allocated to the license unit of accounting will be recognized as revenue ratably over the Company’s expected services period (currently expected to be through 2029) commencing on the date of the first delivery of the clinical trial materials.</w:t>
      </w:r>
    </w:p>
    <w:p>
      <w:pPr>
        <w:spacing w:after="0" w:line="19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June 2015, the Company began delivering clinical materials to KHK and commenced recognizing revenue from the upfront consideration of $17.3 million. During the year ended December 31, 2015, the Company recognized $0.6 million of revenue associated with the KHK License Agreement. As of December 31, 2015, there was $16.7 million of deferred revenue related to the KHK License Agreement, which is classified as current or long-term in the consolidated balance sheets.</w:t>
      </w:r>
    </w:p>
    <w:p>
      <w:pPr>
        <w:spacing w:after="0" w:line="183" w:lineRule="exact"/>
        <w:rPr>
          <w:sz w:val="20"/>
          <w:szCs w:val="20"/>
          <w:color w:val="auto"/>
        </w:rPr>
      </w:pPr>
    </w:p>
    <w:p>
      <w:pPr>
        <w:jc w:val="both"/>
        <w:ind w:right="120" w:firstLine="456"/>
        <w:spacing w:after="0" w:line="289" w:lineRule="auto"/>
        <w:rPr>
          <w:sz w:val="20"/>
          <w:szCs w:val="20"/>
          <w:color w:val="auto"/>
        </w:rPr>
      </w:pPr>
      <w:r>
        <w:rPr>
          <w:rFonts w:ascii="Arial" w:cs="Arial" w:eastAsia="Arial" w:hAnsi="Arial"/>
          <w:sz w:val="16"/>
          <w:szCs w:val="16"/>
          <w:b w:val="1"/>
          <w:bCs w:val="1"/>
          <w:color w:val="auto"/>
        </w:rPr>
        <w:t xml:space="preserve">Eastern Cooperative Oncology Group </w:t>
      </w:r>
      <w:r>
        <w:rPr>
          <w:rFonts w:ascii="Arial" w:cs="Arial" w:eastAsia="Arial" w:hAnsi="Arial"/>
          <w:sz w:val="16"/>
          <w:szCs w:val="16"/>
          <w:color w:val="auto"/>
        </w:rPr>
        <w:t>– In March 2014, the Company entered into a clinical trial agreement (the “ECOG Agreement”) with Eastern</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payments of up to $1.0 million each that are comprised of milestone payments through the completion of enrollment and time-based payments through the completion of patient monitoring post-enrollment. In addition, the Company is obligated to supply entinostat and placebo to ECOG-ACRIN for use in the clinical trial. As of the effective date of the amendment to the ECOG Agreement, the Company’s aggregate payment obligations under this agreement were approximately $20.6 million; and as of December 31, 2015, the Company’s remaining payment obligations are approximately $18.3 million over an estimated period of approximately seven years.</w:t>
      </w:r>
    </w:p>
    <w:p>
      <w:pPr>
        <w:spacing w:after="0" w:line="193"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into account discussion with applicable personnel and ECOG-ACRIN as to the progress or state of consummation of the clinical trial or the services completed.</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Bayer Pharma AG (formerly known as Bayer Schering Pharma AG) </w:t>
      </w:r>
      <w:r>
        <w:rPr>
          <w:rFonts w:ascii="Arial" w:cs="Arial" w:eastAsia="Arial" w:hAnsi="Arial"/>
          <w:sz w:val="18"/>
          <w:szCs w:val="18"/>
          <w:color w:val="auto"/>
        </w:rPr>
        <w:t>– In March 2007, the Company entered into a license agreement (the “Bayer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which has been fully paid.</w:t>
      </w:r>
    </w:p>
    <w:p>
      <w:pPr>
        <w:spacing w:after="0" w:line="189"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Company’s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$1.54 per share and expires upon the earlier of the 10-year anniversary of the closing of the Company’s IPO or the date of the consummation of a disposition transaction.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warrant is classified as a long-term liability and recorded at fair value with the changes in the fair value recorded in other income (expense). The Company uses the Black-Scholes option-pricing model to determine the fair value of the warrant. The total shares exercisable under the warrant, the fair value associated with the warrant and the Black-Scholes option-pricing model assumptions used to value the shares of common stock issuable pursuant to the warrant are as follows (in thousands, except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Total Shares of</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Estimated</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3"/>
              </w:rPr>
              <w:t>Risk-Free</w:t>
            </w: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Estimated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of</w:t>
            </w: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Estimated</w:t>
            </w: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w:t>
            </w:r>
          </w:p>
        </w:tc>
        <w:tc>
          <w:tcPr>
            <w:tcW w:w="1520" w:type="dxa"/>
            <w:vAlign w:val="bottom"/>
          </w:tcPr>
          <w:p>
            <w:pPr>
              <w:spacing w:after="0"/>
              <w:rPr>
                <w:sz w:val="12"/>
                <w:szCs w:val="12"/>
                <w:color w:val="auto"/>
              </w:rPr>
            </w:pPr>
          </w:p>
        </w:tc>
        <w:tc>
          <w:tcPr>
            <w:tcW w:w="14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Issuable Under</w:t>
            </w: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110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Common</w:t>
            </w:r>
          </w:p>
        </w:tc>
        <w:tc>
          <w:tcPr>
            <w:tcW w:w="1200" w:type="dxa"/>
            <w:vAlign w:val="bottom"/>
            <w:gridSpan w:val="2"/>
            <w:vMerge w:val="continue"/>
          </w:tcPr>
          <w:p>
            <w:pPr>
              <w:spacing w:after="0"/>
              <w:rPr>
                <w:sz w:val="12"/>
                <w:szCs w:val="12"/>
                <w:color w:val="auto"/>
              </w:rPr>
            </w:pPr>
          </w:p>
        </w:tc>
        <w:tc>
          <w:tcPr>
            <w:tcW w:w="11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Dividend</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Life</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of Warrant</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the Warrant</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7"/>
              </w:rPr>
              <w:t>Price</w:t>
            </w:r>
          </w:p>
        </w:tc>
        <w:tc>
          <w:tcPr>
            <w:tcW w:w="2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Stock</w:t>
            </w:r>
          </w:p>
        </w:tc>
        <w:tc>
          <w:tcPr>
            <w:tcW w:w="4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Volatility</w:t>
            </w:r>
          </w:p>
        </w:tc>
        <w:tc>
          <w:tcPr>
            <w:tcW w:w="5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5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5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2015</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277,486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1.54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11.13</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73%</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8.06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completion of the Company’s IPO, the warrant will be reclassified to additional paid-in capital.</w:t>
      </w:r>
    </w:p>
    <w:p>
      <w:pPr>
        <w:spacing w:after="0" w:line="2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University of Colorado </w:t>
      </w:r>
      <w:r>
        <w:rPr>
          <w:rFonts w:ascii="Arial" w:cs="Arial" w:eastAsia="Arial" w:hAnsi="Arial"/>
          <w:sz w:val="18"/>
          <w:szCs w:val="18"/>
          <w:color w:val="auto"/>
        </w:rPr>
        <w:t>– In July 2007, the Company entered into an exclusive option agreement (the “Option Agreement”) with the Regents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of Colorado (“Colorado”), whereby the Company was granted the exclusive 12-month option to license at a future date certain patents owned by Colorado. Under the terms of the Option Agreement, the Company agreed to reimburse Colorado for fees and costs incurred to date and ongoing patent prosecution costs. From September 2008 to December 2010, the Company paid Colorado a total of $0.1 million to extend the option period through December 31, 2010 for certain of the patents, and paid patent prosecution costs on those patents. In April 2013, the Company entered into an exclusive license agreement (the “Colorado Agreement”) with Colorado for certain of the patents owned by Colorado. Under the terms of the Colorado Agreement, the Company will pay Colorado a license fee of $0.2 million, with $0.1 million payable within 30 days of execution of the Colorado Agreement and the balance upon the close of 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financing with proceeds specifically earmarked in writing for the development of a lung cancer indication involving the licensed patents. In each case, the license fee is payable in cash or the equivalent value of shares of the Company’s common stock. Upon the execution of the Colorado Agreement in April 2013, the Company recorded a liability of $0.1 million in research and development expense. In November 2013, the Company issued 16,260 shares of its common stock to University License Equity Holdings, Inc. (“ULEH”), an affiliate of Colorado, to extinguish the liability and recorded additional research and development expense of $0.3 million to reflect the fair value of shares granted to ULEH. Under the Colorado Agreement, the Company is obligated to pay Colorado royalties on net sales, if any, and milestone payments related to the achievement of certain clinical and regulatory goals. As of December 31, 2014, none of these goals had been achieved; and no milestones were payable. The Colorado Agreement was terminated during the first quarter of 2015; and there were no incremental obligations in connection with the termination of the agreement.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and computer equipment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under capital lease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(192)</w:t>
            </w:r>
          </w:p>
        </w:tc>
      </w:tr>
      <w:tr>
        <w:trPr>
          <w:trHeight w:val="223"/>
        </w:trPr>
        <w:tc>
          <w:tcPr>
            <w:tcW w:w="8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Property and equipment under capital leases consist of office equipment with a cost basis of $13,000 and accumulated amortization of $3,000 and $5,000, as of December 31, 2014 and 2015,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jc w:val="both"/>
        <w:ind w:left="1040" w:right="100" w:hanging="1039"/>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years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2014 and 2015.</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Fair Value Measurements Using</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Quoted</w:t>
            </w:r>
          </w:p>
        </w:tc>
        <w:tc>
          <w:tcPr>
            <w:tcW w:w="600" w:type="dxa"/>
            <w:vAlign w:val="bottom"/>
          </w:tcPr>
          <w:p>
            <w:pPr>
              <w:spacing w:after="0"/>
              <w:rPr>
                <w:sz w:val="10"/>
                <w:szCs w:val="10"/>
                <w:color w:val="auto"/>
              </w:rPr>
            </w:pPr>
          </w:p>
        </w:tc>
        <w:tc>
          <w:tcPr>
            <w:tcW w:w="110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3"/>
          </w:tcPr>
          <w:p>
            <w:pPr>
              <w:jc w:val="center"/>
              <w:ind w:left="514"/>
              <w:spacing w:after="0" w:line="149" w:lineRule="exact"/>
              <w:rPr>
                <w:sz w:val="20"/>
                <w:szCs w:val="20"/>
                <w:color w:val="auto"/>
              </w:rPr>
            </w:pPr>
            <w:r>
              <w:rPr>
                <w:rFonts w:ascii="Arial" w:cs="Arial" w:eastAsia="Arial" w:hAnsi="Arial"/>
                <w:sz w:val="14"/>
                <w:szCs w:val="14"/>
                <w:b w:val="1"/>
                <w:bCs w:val="1"/>
                <w:color w:val="auto"/>
                <w:w w:val="92"/>
              </w:rPr>
              <w:t>in Active</w:t>
            </w:r>
          </w:p>
        </w:tc>
        <w:tc>
          <w:tcPr>
            <w:tcW w:w="1700" w:type="dxa"/>
            <w:vAlign w:val="bottom"/>
            <w:gridSpan w:val="4"/>
          </w:tcPr>
          <w:p>
            <w:pPr>
              <w:jc w:val="center"/>
              <w:ind w:left="112"/>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4"/>
              </w:rPr>
              <w:t>(Level 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December 31, 2014</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3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Liability: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Common stock warrant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23,154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9,208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13,946</w:t>
            </w:r>
          </w:p>
        </w:tc>
        <w:tc>
          <w:tcPr>
            <w:tcW w:w="40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63,310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86,464</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9,208</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77,256</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gridSpan w:val="2"/>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Cash equivalents of $4.5 million as of December 31, 2014 and $9.2 million as of December 31, 2015 consisted of money market funds and are classified within Level 1 of the fair value hierarchy because they are valued using quoted market prices in active markets. Cash equivalents of $0.5 million as of December 31, 2014 and $13.9 million as of December 31, 2015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73"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Short-term investments of $2.1 million as of December 31, 2014 and $63.3 million as of December 31, 2015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short-term investments are classified as available-for-sale securities; and as of December 31, 2015, the remaining contractual maturities of the available-for-sale securities were less than one year. At December 31, 2015, the balance in the Company’s accumulated other comprehensive income was comprised solely of activity related to the Company’s available-for-sale securities. There were no realized gains or losses recognized on the sale or maturity of available-for-sale securities during the 12 months ended December 31, 2014 and 2015; and as a result, the Company did not reclassify any amounts out of accumulated other comprehensive income for the same periods. The Company has a limited number of available-for-sale securities in insignificant loss positions as of December 31, 2015, which the Company does not intend to sell and has concluded it will not be required to sell before recovery of the amortized cost for the investment at maturity.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available-for-sale securities (in thousands):</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w w:val="93"/>
              </w:rPr>
              <w:t>Amortized</w:t>
            </w:r>
          </w:p>
        </w:tc>
        <w:tc>
          <w:tcPr>
            <w:tcW w:w="132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Unrealized</w:t>
            </w:r>
          </w:p>
        </w:tc>
        <w:tc>
          <w:tcPr>
            <w:tcW w:w="16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Gains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2"/>
              </w:rPr>
              <w:t>Losses</w:t>
            </w: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December 31, 2014</w:t>
            </w:r>
          </w:p>
        </w:tc>
        <w:tc>
          <w:tcPr>
            <w:tcW w:w="36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2,082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December 31, 2015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28,980</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29,028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34,302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34,282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63,282</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63,310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the derivative liability categorized with Level 3 inputs are as follows (in thousands):</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10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w:t>
            </w:r>
          </w:p>
        </w:tc>
        <w:tc>
          <w:tcPr>
            <w:tcW w:w="10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Balance—January 1, 2014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Initial fair value of derivative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(1,789)</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2014</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Balance—December 31, 2015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See Note 3 for further discussion of the accounting for the Bayer common stock warrant, as well as for a summary of the significant inputs and assumptions used to determine the fair value of the warrant.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derivative liability was recorded at fair value using the following assumptions: weighted-average probability of 75% likelihood of a successful IPO in 0.08 years; 25% to the sale of the Company in 2.0 years; and a market-based discount rate that will increase or decrease each period based on changes in the probability in the future cash flows. A significant fluctuation in the probability would not result in a material increase or decrease in the fair value of the derivative liability.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Prepaid Expenses and Other Current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6"/>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6"/>
              </w:rPr>
              <w:t>2014</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supplies</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Interest receivable on short-term investments</w:t>
            </w: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ind w:left="860"/>
              <w:spacing w:after="0"/>
              <w:rPr>
                <w:sz w:val="20"/>
                <w:szCs w:val="20"/>
                <w:color w:val="auto"/>
              </w:rPr>
            </w:pPr>
            <w:r>
              <w:rPr>
                <w:rFonts w:ascii="Arial" w:cs="Arial" w:eastAsia="Arial" w:hAnsi="Arial"/>
                <w:sz w:val="18"/>
                <w:szCs w:val="18"/>
                <w:color w:val="auto"/>
              </w:rPr>
              <w:t>Total prepaid expenses and other current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00" w:type="dxa"/>
            <w:vAlign w:val="bottom"/>
            <w:gridSpan w:val="2"/>
          </w:tcPr>
          <w:p>
            <w:pPr>
              <w:ind w:left="4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gridSpan w:val="2"/>
          </w:tcPr>
          <w:p>
            <w:pPr>
              <w:jc w:val="right"/>
              <w:ind w:right="4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license fees</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$1,000</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954</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costs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interest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0" w:type="dxa"/>
            <w:vAlign w:val="bottom"/>
            <w:gridSpan w:val="2"/>
          </w:tcPr>
          <w:p>
            <w:pPr>
              <w:ind w:left="860"/>
              <w:spacing w:after="0"/>
              <w:rPr>
                <w:sz w:val="20"/>
                <w:szCs w:val="20"/>
                <w:color w:val="auto"/>
              </w:rPr>
            </w:pPr>
            <w:r>
              <w:rPr>
                <w:rFonts w:ascii="Arial" w:cs="Arial" w:eastAsia="Arial" w:hAnsi="Arial"/>
                <w:sz w:val="18"/>
                <w:szCs w:val="18"/>
                <w:color w:val="auto"/>
              </w:rPr>
              <w:t>Total accrued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3,543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Notes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September 2014, the Company entered into a bridge loan financing with various investors, in which it issued convertible unsecured promissory notes for an aggregate principal amount of $5.0 million (the “2014 Notes”), in two closings. The first closing occurred in September 2014 and $4.9 million was received, and the balance of $0.1 million was received in October 2014. The 2014 Notes accrued interest at 6% per annum and had a maturity date of September 30, 2015 (the “Maturity Date”). The 2014 Notes were convertible upon the occurrence of the certain events during the period that the loans are outstanding. In June 2015, in conjunction with the Series C-1 financing, the outstanding principal of $5.0 million of the 2014 Notes and the related accrued interest of $0.2 million were converted into 372,446 shares of Series C-1 at $14.00 per share, which was the same price paid by Series C-1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Solar Capital, Ltd Term Loan </w:t>
      </w:r>
      <w:r>
        <w:rPr>
          <w:rFonts w:ascii="Arial" w:cs="Arial" w:eastAsia="Arial" w:hAnsi="Arial"/>
          <w:sz w:val="17"/>
          <w:szCs w:val="17"/>
          <w:color w:val="auto"/>
        </w:rPr>
        <w:t>– In June 2014, the Company entered into a loan and security agreement with Solar Capital Ltd. (“Solar”), as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lender, consisting of a $15.0 million senior secured term loan facility. The loan was secured by substantially all of the Company’s existing and after-acquired assets except its intellectual property, but including right of payment with respect to any such intellectual property and all proceeds from the disposition of any such intellectual property. The intellectual property of the Company was subject to a negative pledge. In September and December 2014, the Company amended the term loan facility. The term loan facility had a maturity date of June 13, 2018.</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September 2014, the initial term loan (the “Term A Loan”), in the aggregate principal amount of $5.0 million was funded; and in December 2014, a second term loan (the “Term C Loan”) in the aggregate principal amount of $4.0 million was funded with the following post-closing conditions: pursuant to the KHK License Agreement, the Company was required to receive $7.5 million in net equity proceeds no later than January 9, 2015 and was required to receive $17.5 million in license-related proceeds no later than February 13, 2015, or return the $4.0 million of proceeds from Term Loan C to Solar. The Company achieved the post-closing conditions.</w:t>
      </w:r>
    </w:p>
    <w:p>
      <w:pPr>
        <w:spacing w:after="0" w:line="188"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Company had the option to prepay the term loans provided it paid a prepayment fee equal to 2% of the outstanding principal if paid prior to the one-year anniversary and 1% of the outstanding principal if paid after the one-year anniversary of the funding. In October 2015, the Company prepaid the outstanding balance on the term loans of $8.3 million plus accrued interest of $0.1 million and a final fee and prepayment penalty of $0.4 million. In conjunction with this prepayment, the Company recorded an expense of $0.3 million for the final fee and prepayment penalty and wrote off $0.3 million of unamortized debt discount and deferred issuance costs related to the term loans.</w:t>
      </w:r>
    </w:p>
    <w:p>
      <w:pPr>
        <w:spacing w:after="0" w:line="18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Interest accrued at a floating rate per annum equal to LIBOR plus 8.8%, payable monthly in arrears. The Company was required to make interest-only payments on any term loans funded under the term loan facility until July 1, 2015; and beginning on July 1, 2015, it was required to make payments of principal plus accrued interest in equal monthly installments until the maturity date. In addition, the Company was required to pay a final fee equal to 4% of the amount of term loans funded that was due on the earlier of the maturity date of the term loan facility or upon the occurrence of certain change of control or liquidity events. The Company accrued the final fee of $0.4 million on the outstanding term loans through interest expense using the effective-interest method over the period that the debt was outstanding. The Company incurred $0.3 million of debt issuance costs for this term loan facility.</w:t>
      </w:r>
    </w:p>
    <w:p>
      <w:pPr>
        <w:spacing w:after="0" w:line="165"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Upon the completion of an IPO or upon the occurrence of certain change of control or liquidity events, the Company is required to pay a $0.2 million success fee that will be due on the earlier of the maturity date of the term loan facility or upon the occurrence of certain change of control or liquidity events. The Company has recorded the success fee as a derivative financial liability. The initial fair value of the derivative of $0.1 million has been recorded as a debt discount. The term loans were paid in full in October 2015; however, the liability for the success fee has survived the repayment of the term loans and will be due and payable upon the events described above.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consisted of the following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Preferred</w:t>
            </w:r>
          </w:p>
        </w:tc>
        <w:tc>
          <w:tcPr>
            <w:tcW w:w="37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Issuance</w:t>
            </w: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Preferred</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00" w:type="dxa"/>
            <w:vAlign w:val="bottom"/>
          </w:tcPr>
          <w:p>
            <w:pPr>
              <w:spacing w:after="0"/>
              <w:rPr>
                <w:sz w:val="14"/>
                <w:szCs w:val="14"/>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2014</w:t>
            </w:r>
          </w:p>
        </w:tc>
        <w:tc>
          <w:tcPr>
            <w:tcW w:w="2040" w:type="dxa"/>
            <w:vAlign w:val="bottom"/>
          </w:tcPr>
          <w:p>
            <w:pPr>
              <w:spacing w:after="0"/>
              <w:rPr>
                <w:sz w:val="12"/>
                <w:szCs w:val="12"/>
                <w:color w:val="auto"/>
              </w:rPr>
            </w:pPr>
          </w:p>
        </w:tc>
        <w:tc>
          <w:tcPr>
            <w:tcW w:w="11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5"/>
              </w:rPr>
              <w:t>Shares</w:t>
            </w:r>
          </w:p>
        </w:tc>
        <w:tc>
          <w:tcPr>
            <w:tcW w:w="3720" w:type="dxa"/>
            <w:vAlign w:val="bottom"/>
            <w:gridSpan w:val="2"/>
            <w:vMerge w:val="continue"/>
          </w:tcPr>
          <w:p>
            <w:pPr>
              <w:spacing w:after="0"/>
              <w:rPr>
                <w:sz w:val="12"/>
                <w:szCs w:val="12"/>
                <w:color w:val="auto"/>
              </w:rPr>
            </w:pPr>
          </w:p>
        </w:tc>
        <w:tc>
          <w:tcPr>
            <w:tcW w:w="142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8"/>
              </w:rPr>
              <w:t>Shares Issued</w:t>
            </w:r>
          </w:p>
        </w:tc>
        <w:tc>
          <w:tcPr>
            <w:tcW w:w="9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Designated</w:t>
            </w:r>
          </w:p>
        </w:tc>
        <w:tc>
          <w:tcPr>
            <w:tcW w:w="3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Date</w:t>
            </w: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and Outstanding</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20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3,160,975</w:t>
            </w:r>
          </w:p>
        </w:tc>
        <w:tc>
          <w:tcPr>
            <w:tcW w:w="380" w:type="dxa"/>
            <w:vAlign w:val="bottom"/>
            <w:tcBorders>
              <w:top w:val="single" w:sz="8" w:color="CCEEFF"/>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2013</w:t>
            </w:r>
          </w:p>
        </w:tc>
        <w:tc>
          <w:tcPr>
            <w:tcW w:w="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2,801,745</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44,896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w:t>
            </w:r>
          </w:p>
        </w:tc>
        <w:tc>
          <w:tcPr>
            <w:tcW w:w="3220" w:type="dxa"/>
            <w:vAlign w:val="bottom"/>
            <w:gridSpan w:val="3"/>
          </w:tcPr>
          <w:p>
            <w:pPr>
              <w:ind w:left="2120"/>
              <w:spacing w:after="0"/>
              <w:rPr>
                <w:sz w:val="20"/>
                <w:szCs w:val="20"/>
                <w:color w:val="auto"/>
              </w:rPr>
            </w:pPr>
            <w:r>
              <w:rPr>
                <w:rFonts w:ascii="Arial" w:cs="Arial" w:eastAsia="Arial" w:hAnsi="Arial"/>
                <w:sz w:val="18"/>
                <w:szCs w:val="18"/>
                <w:color w:val="auto"/>
              </w:rPr>
              <w:t>3,382,113</w:t>
            </w:r>
          </w:p>
        </w:tc>
        <w:tc>
          <w:tcPr>
            <w:tcW w:w="37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March and August 2013</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272,240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2,933</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3220" w:type="dxa"/>
            <w:vAlign w:val="bottom"/>
            <w:gridSpan w:val="3"/>
            <w:shd w:val="clear" w:color="auto" w:fill="CCEEFF"/>
          </w:tcPr>
          <w:p>
            <w:pPr>
              <w:ind w:left="2120"/>
              <w:spacing w:after="0"/>
              <w:rPr>
                <w:sz w:val="20"/>
                <w:szCs w:val="20"/>
                <w:color w:val="auto"/>
              </w:rPr>
            </w:pPr>
            <w:r>
              <w:rPr>
                <w:rFonts w:ascii="Arial" w:cs="Arial" w:eastAsia="Arial" w:hAnsi="Arial"/>
                <w:sz w:val="18"/>
                <w:szCs w:val="18"/>
                <w:color w:val="auto"/>
              </w:rPr>
              <w:t>3,965,411</w:t>
            </w:r>
          </w:p>
        </w:tc>
        <w:tc>
          <w:tcPr>
            <w:tcW w:w="37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March, April, July, August and November 2013</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3,031,971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79,239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79,239</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146,853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8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87"/>
              </w:rPr>
              <w:t>3,512,194</w:t>
            </w:r>
          </w:p>
        </w:tc>
        <w:tc>
          <w:tcPr>
            <w:tcW w:w="38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1"/>
              </w:rPr>
              <w:t>March and August 2013</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700,435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720" w:type="dxa"/>
            <w:vAlign w:val="bottom"/>
            <w:gridSpan w:val="2"/>
            <w:vMerge w:val="restart"/>
          </w:tcPr>
          <w:p>
            <w:pPr>
              <w:ind w:left="1160"/>
              <w:spacing w:after="0"/>
              <w:rPr>
                <w:sz w:val="20"/>
                <w:szCs w:val="20"/>
                <w:color w:val="auto"/>
              </w:rPr>
            </w:pPr>
            <w:r>
              <w:rPr>
                <w:rFonts w:ascii="Arial" w:cs="Arial" w:eastAsia="Arial" w:hAnsi="Arial"/>
                <w:sz w:val="18"/>
                <w:szCs w:val="18"/>
                <w:color w:val="auto"/>
              </w:rPr>
              <w:t>F-21</w:t>
            </w: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4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Issuance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4"/>
                <w:szCs w:val="14"/>
                <w:color w:val="auto"/>
              </w:rPr>
            </w:pPr>
          </w:p>
        </w:tc>
        <w:tc>
          <w:tcPr>
            <w:tcW w:w="102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Liquidation</w:t>
            </w:r>
          </w:p>
        </w:tc>
        <w:tc>
          <w:tcPr>
            <w:tcW w:w="20" w:type="dxa"/>
            <w:vAlign w:val="bottom"/>
          </w:tcPr>
          <w:p>
            <w:pPr>
              <w:spacing w:after="0"/>
              <w:rPr>
                <w:sz w:val="14"/>
                <w:szCs w:val="14"/>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2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108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auto"/>
              </w:rPr>
              <w:t>Shares</w:t>
            </w:r>
          </w:p>
        </w:tc>
        <w:tc>
          <w:tcPr>
            <w:tcW w:w="498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20" w:type="dxa"/>
            <w:vAlign w:val="bottom"/>
            <w:gridSpan w:val="3"/>
            <w:vMerge w:val="continue"/>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Designated</w:t>
            </w:r>
          </w:p>
        </w:tc>
        <w:tc>
          <w:tcPr>
            <w:tcW w:w="4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Date</w:t>
            </w: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and Outstanding</w:t>
            </w:r>
          </w:p>
        </w:tc>
        <w:tc>
          <w:tcPr>
            <w:tcW w:w="160" w:type="dxa"/>
            <w:vAlign w:val="bottom"/>
          </w:tcPr>
          <w:p>
            <w:pPr>
              <w:spacing w:after="0"/>
              <w:rPr>
                <w:sz w:val="15"/>
                <w:szCs w:val="15"/>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Preference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10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3,160,975</w:t>
            </w:r>
          </w:p>
        </w:tc>
        <w:tc>
          <w:tcPr>
            <w:tcW w:w="30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2013</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2,801,745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780" w:type="dxa"/>
            <w:vAlign w:val="bottom"/>
          </w:tcPr>
          <w:p>
            <w:pPr>
              <w:ind w:left="80"/>
              <w:spacing w:after="0"/>
              <w:rPr>
                <w:sz w:val="20"/>
                <w:szCs w:val="20"/>
                <w:color w:val="auto"/>
              </w:rPr>
            </w:pPr>
            <w:r>
              <w:rPr>
                <w:rFonts w:ascii="Arial" w:cs="Arial" w:eastAsia="Arial" w:hAnsi="Arial"/>
                <w:sz w:val="18"/>
                <w:szCs w:val="18"/>
                <w:color w:val="auto"/>
                <w:w w:val="84"/>
              </w:rPr>
              <w:t>3,382,113</w:t>
            </w:r>
          </w:p>
        </w:tc>
        <w:tc>
          <w:tcPr>
            <w:tcW w:w="300" w:type="dxa"/>
            <w:vAlign w:val="bottom"/>
          </w:tcPr>
          <w:p>
            <w:pPr>
              <w:spacing w:after="0"/>
              <w:rPr>
                <w:sz w:val="18"/>
                <w:szCs w:val="18"/>
                <w:color w:val="auto"/>
              </w:rPr>
            </w:pPr>
          </w:p>
        </w:tc>
        <w:tc>
          <w:tcPr>
            <w:tcW w:w="4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March and August 2013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272,240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2,933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7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4"/>
              </w:rPr>
              <w:t>3,965,411</w:t>
            </w:r>
          </w:p>
        </w:tc>
        <w:tc>
          <w:tcPr>
            <w:tcW w:w="30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March, April, July, August and November 2013 and January 2015</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3,568,020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96,348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Series C-1</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6,090,481</w:t>
            </w:r>
          </w:p>
        </w:tc>
        <w:tc>
          <w:tcPr>
            <w:tcW w:w="300" w:type="dxa"/>
            <w:vAlign w:val="bottom"/>
          </w:tcPr>
          <w:p>
            <w:pPr>
              <w:spacing w:after="0"/>
              <w:rPr>
                <w:sz w:val="18"/>
                <w:szCs w:val="18"/>
                <w:color w:val="auto"/>
              </w:rPr>
            </w:pPr>
          </w:p>
        </w:tc>
        <w:tc>
          <w:tcPr>
            <w:tcW w:w="4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June and August 2015</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6,090,461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152,015</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319,113</w:t>
            </w:r>
          </w:p>
        </w:tc>
        <w:tc>
          <w:tcPr>
            <w:tcW w:w="0" w:type="dxa"/>
            <w:vAlign w:val="bottom"/>
          </w:tcPr>
          <w:p>
            <w:pPr>
              <w:spacing w:after="0"/>
              <w:rPr>
                <w:sz w:val="1"/>
                <w:szCs w:val="1"/>
                <w:color w:val="auto"/>
              </w:rPr>
            </w:pPr>
          </w:p>
        </w:tc>
      </w:tr>
      <w:tr>
        <w:trPr>
          <w:trHeight w:val="20"/>
        </w:trPr>
        <w:tc>
          <w:tcPr>
            <w:tcW w:w="2220" w:type="dxa"/>
            <w:vAlign w:val="bottom"/>
            <w:gridSpan w:val="3"/>
            <w:vMerge w:val="restart"/>
          </w:tcPr>
          <w:p>
            <w:pPr>
              <w:spacing w:after="0"/>
              <w:rPr>
                <w:sz w:val="20"/>
                <w:szCs w:val="20"/>
                <w:color w:val="auto"/>
              </w:rPr>
            </w:pPr>
            <w:r>
              <w:rPr>
                <w:rFonts w:ascii="Arial" w:cs="Arial" w:eastAsia="Arial" w:hAnsi="Arial"/>
                <w:sz w:val="18"/>
                <w:szCs w:val="18"/>
                <w:color w:val="auto"/>
              </w:rPr>
              <w:t>Series A</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7"/>
              </w:rPr>
              <w:t>3,512,194</w:t>
            </w:r>
          </w:p>
        </w:tc>
        <w:tc>
          <w:tcPr>
            <w:tcW w:w="300" w:type="dxa"/>
            <w:vAlign w:val="bottom"/>
          </w:tcPr>
          <w:p>
            <w:pPr>
              <w:spacing w:after="0" w:line="20" w:lineRule="exact"/>
              <w:rPr>
                <w:sz w:val="1"/>
                <w:szCs w:val="1"/>
                <w:color w:val="auto"/>
              </w:rPr>
            </w:pPr>
          </w:p>
        </w:tc>
        <w:tc>
          <w:tcPr>
            <w:tcW w:w="49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March and August 2013</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700,435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20" w:type="dxa"/>
            <w:vAlign w:val="bottom"/>
            <w:gridSpan w:val="3"/>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4980" w:type="dxa"/>
            <w:vAlign w:val="bottom"/>
            <w:gridSpan w:val="2"/>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the terms of the KHK License Agreement in January 2015, the Company issued 536,049 shares of Series B-1 at an issuance price of $14.39 per share, the fair value of the Series B-1 based on the results of a contemporaneous valuation. On the date of issuance, the Company recorded accretion of $5.4 million to record the convertible preferred stock at its redemption value.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June 2015, the Company issued 1,712,559 shares of Series C-1 for $18.5 million in cash, net of offering costs of $0.2 million, and the conversion of the outstanding principal on the 2014 Notes of $5.0 million and related accrued interest of $0.2 million. On the date of issuance, the Company recorded accretion of $18.2 million to record the convertible preferred stock at its redemption value.</w:t>
      </w:r>
    </w:p>
    <w:p>
      <w:pPr>
        <w:spacing w:after="0" w:line="18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In August 2015, the Company issued 4,377,902 additional shares of Series C-1 for $61.1 million in cash, net of offering costs of $0.2 million. On the date of issuance, the Company recorded accretion of $46.1 million to record the convertible preferred stock at its redemption value.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the various series of convertible preferred stock have the following rights, preferences, and privileges):</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 Holders of shares of convertible preferred stock have full voting rights and powers equal to the rights and powers of holders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with respect to any matters upon which holders of shares of common stock have the right to vote. Holders of shares of convertible preferred stock are entitled to the number of votes equal to the largest number of shares of common stock into which such share of convertible preferred stock could be converted at the record date for determination of the stockholders entitled to vote on such matters. Holders of shares of Series A-1, Series B-1 and Series C-1, voting together as a separate class on an as-converted basis, are entitled to elect four members of the Board. The holders of Series C-1, voting as a separate class, are entitled to elect one member of the Board. Holders of shares of common stock, voting as a separate class, are entitled to elect two members of the Board. Holders of a majority of the outstanding shares of common stock and a majority of the outstanding shares of convertible preferred stock, each voting as a separate class on an as-converted basis, are entitled to elect two members of the Board. Holders of at least 60% of the outstanding shares of convertible preferred stock and a majority of the outstanding shares of common stock, each voting as a separate class on an as-converted basis, are entitled to elect any remaining directors.</w:t>
      </w:r>
    </w:p>
    <w:p>
      <w:pPr>
        <w:spacing w:after="0" w:line="17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Series C-1, Series B-1, Series A-1, and Series B is convertible at the option of the holder into one share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adjustments for dilution, if any, resulting from future stock issuances. Each share of Series A is convertible at the option of the holder into one-fifth of a share of common stock, subject to certain adjustments for dilution, if any, resulting from future stock issuances. The outstanding shares of convertible preferred stock automatically convert into common stock at the then effective</w:t>
      </w:r>
    </w:p>
    <w:p>
      <w:pPr>
        <w:spacing w:after="0" w:line="11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conversion rate upon the earlier of (i) an underwritten public offering of our common stock in which aggregate proceeds are in excess of $30.0 million at a price of at least $14.00 per share, as adjusted for any recapitalization event or (ii) the election of holders of at least 60% of the outstanding shares of convertible preferred stock, voting as a separate class on an as-converted basis.</w:t>
      </w:r>
    </w:p>
    <w:p>
      <w:pPr>
        <w:spacing w:after="0" w:line="181"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Holders of shares of Series C-1, in preference to holders of shares of Series A-1, Series A, Series B-1, Series B, and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whether or not declared by the Board, cumulative dividends at the rate of 8% of the applicable original issue price per share per annum. Such dividends accrue and are cumulative from the date of the issuance of the Series C-1. No such dividends have been declared to date. Holders of shares of Series A-1, in preference to holders of shares of Series A, Series B and common stock, are entitled to receive, whether or not declared by the Board, cumulative dividends at the rate of 8% of the applicable original issue price per share per annum. Such dividends accrue and are cumulative from the date of the issuance of the Series A-1. No such dividends have been declared to date. After payment to the holders of shares of Series C-1, holders of shares of Series B-1, in preference to holders of shares of Series A-1, Series A, Series B, and common stock, are entitled to receive, whether or not declared by the Board, cumulative dividends at the rate of 8% of the applicable original issue price per share per annum. Such dividends accrue and are cumulative from the date of the issuance of the Series B-1. No such dividends have been declared to date. After payment to the holders of shares of Series C-1 and Series B-1, holders of Series A-1, in preference to holders of shares of Series A, Series B and common stock, are entitled to receive, whether or not declared by the Board, cumulative dividends at the rate of 8% of the applicable original issue price per share per annum. Such dividends accrue and are cumulative from the date of the issuance of the Series A-1. No such dividends have been declared to date.</w:t>
      </w:r>
    </w:p>
    <w:p>
      <w:pPr>
        <w:spacing w:after="0" w:line="18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cannot declare dividends on shares of any other class or series of capital stock unless the holders of shares of Series A-1, Series B-1 and Series C-1 first receive, on an as-converted basis, a dividend on each outstanding share of preferred stock in an amount at least equal to the product of (i) the dividend payable on each share of such class or series determined, if applicable, as if all shares of such class or series had been converted into common stock and (ii) the number of shares of common stock issuable upon conversion of a share of the applicable preferred stock, in each case calculated on the record date for determination of holders entitled to receive such dividend. As of December 31, 2015, the Company has recorded cumulative dividends on Series A-1, Series B-1 and Series C-1 of $8.7 million, $8.9 million and $2.9 million, respectively.</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winding-up, sale or merger of the Company, whether voluntarily or involuntarily, each holder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Series C-1 is entitled to receive, in preference to holders of shares of Series A-1, Series A, Series B-1, Series B and common stock, a per share amount equal to the original issue price times a factor of 1.75, plus all accrued but unpaid dividends. After payment has been made to the holders of Series C-1, each holder of shares of Series B-1 is entitled to receive, in preference to holders of Series A-1, Series A, Series B and common stock, a per share amount equal to the original issue price times a factor of 1.75, plus all accrued but unpaid dividends. Each holder of shares of Series A-1 is entitled to receive, in preference to holders of shares of Series A, Series B and common stock, a per share amount equal to the original issue price, plus all accrued but unpaid dividends. Each holder of shares of Series B is entitled to receive, in preference to holders of shares of Series A and common stock, a per share amount equal to the original issue price multiplied by 75%, plus all accrued but unpaid dividends. After the above payments have been made for the full amounts to which they are entitled, any remaining assets will be distributed pro rata among holders of shares of common stock, Series A-1, Series B-1, and Series A, on an as-converted basis. The Series A has no liquidation preferences.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voting, dividend, and liquidation rights of the holders of shares of common stock are subject to and qualified by the rights, powers, and preferences of the holders of shares of convertible preferred stock. Common stock has the following characteristics: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 The holders of each share of common stock is entitled to one vote per share held. The holders of common stock shall be entitled to elect two</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Board.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Common stockholders are entitled to receive dividends, if and when declared by the Board, subject to the rights of holders of all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outstanding having priority rights as to dividends.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After payment to the holders of shares of preferred stock of their liquidation preferences, the holders of shares of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the Company’s assets available for distribution to stockholders, in the event of any voluntary or involuntary liquidation, dissolution, or winding down of the Company or upon the occurrence of a deemed liquidation event.</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Company’s reserved shares of common stock for future issuance related to potential warrant exercise, conversion of the convertible preferred stock, conversion of convertible debt and exercise of stock options are as follows: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140" w:type="dxa"/>
            <w:vAlign w:val="bottom"/>
            <w:gridSpan w:val="4"/>
          </w:tcPr>
          <w:p>
            <w:pPr>
              <w:ind w:lef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1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issuable under Bayer warrant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127,099</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140,085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140,085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Series A-1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2,801,745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2,801,745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272,240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272,240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Series B-1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3,031,971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3,568,020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Series C-1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6,090,461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1,215,160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2,956,955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Convertible notes and related accrued interest</w:t>
            </w:r>
          </w:p>
        </w:tc>
        <w:tc>
          <w:tcPr>
            <w:tcW w:w="780" w:type="dxa"/>
            <w:vAlign w:val="bottom"/>
          </w:tcPr>
          <w:p>
            <w:pPr>
              <w:jc w:val="right"/>
              <w:spacing w:after="0"/>
              <w:rPr>
                <w:sz w:val="20"/>
                <w:szCs w:val="20"/>
                <w:color w:val="auto"/>
              </w:rPr>
            </w:pPr>
            <w:r>
              <w:rPr>
                <w:rFonts w:ascii="Arial" w:cs="Arial" w:eastAsia="Arial" w:hAnsi="Arial"/>
                <w:sz w:val="18"/>
                <w:szCs w:val="18"/>
                <w:color w:val="auto"/>
              </w:rPr>
              <w:t>536,049</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subject to future vesting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100" w:type="dxa"/>
            <w:vAlign w:val="bottom"/>
            <w:shd w:val="clear" w:color="auto" w:fill="CCEEFF"/>
          </w:tcPr>
          <w:p>
            <w:pPr>
              <w:spacing w:after="0"/>
              <w:rPr>
                <w:sz w:val="18"/>
                <w:szCs w:val="18"/>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8,124,349</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16,121,676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January 2007, the Board and the Company’s stockholders adopted the 2007 Stock Plan (the “2007 Plan”). Under the 2007 Plan, incentive stock options, non-statutory stock options, and stock purchase rights may be granted to employees, directors, and consultants. The stock options generally vest over a four-year period, but vesting provisions can vary based on the Board’s discretion and expire ten years from the date of grant. As of December 2014, the maximum number of shares issuable under the 2007 Plan was 1,220,000. During 2015 the Board increased the maximum number of shares to 3,003,374. As of December 31, 2015, there were 350,760 shares available for issuance under the 2007 Plan.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in the consolidated statements of comprehensive loss as follows (in thousands):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2015, there was $9.1 million of unrecognized compensation cost related to employee and non-employee unvested stock options and unvested restricted stock share-based compensation arrangements granted under the 2007 Plan, which is expected to be recognized over a weighted-average remaining service period of 3.2 years. Stock compensation costs have not been capitalized by the Company. 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For options granted to employees in 2014 and 2015, the Company determined the expected term based on an average of expected terms used by a peer group of similar public companies.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accounting guidance for stock-based compensation requires forfeitures to be estimated at the time of grant and revised, if necessary, in subsequent periods if actual forfeitures differ from those estimates.</w:t>
      </w:r>
    </w:p>
    <w:p>
      <w:pPr>
        <w:spacing w:after="0" w:line="16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determining the exercise prices for options granted, the Board has considered the fair value of the common stock as of each grant date. The fair value of the common stock underlying the stock options has been determined by the Board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grant date fair values of options issued to employees and non-employees were estimated using the Black-Scholes option-pricing model with the following assumptions: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Volatility rate</w:t>
            </w:r>
          </w:p>
        </w:tc>
        <w:tc>
          <w:tcPr>
            <w:tcW w:w="5560" w:type="dxa"/>
            <w:vAlign w:val="bottom"/>
            <w:gridSpan w:val="3"/>
          </w:tcPr>
          <w:p>
            <w:pPr>
              <w:jc w:val="right"/>
              <w:ind w:right="700"/>
              <w:spacing w:after="0"/>
              <w:rPr>
                <w:sz w:val="20"/>
                <w:szCs w:val="20"/>
                <w:color w:val="auto"/>
              </w:rPr>
            </w:pPr>
            <w:r>
              <w:rPr>
                <w:rFonts w:ascii="Arial" w:cs="Arial" w:eastAsia="Arial" w:hAnsi="Arial"/>
                <w:sz w:val="18"/>
                <w:szCs w:val="18"/>
                <w:color w:val="auto"/>
              </w:rPr>
              <w:t>70.36%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69.92%</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560" w:type="dxa"/>
            <w:vAlign w:val="bottom"/>
            <w:gridSpan w:val="3"/>
          </w:tcPr>
          <w:p>
            <w:pPr>
              <w:jc w:val="right"/>
              <w:ind w:right="700"/>
              <w:spacing w:after="0"/>
              <w:rPr>
                <w:sz w:val="20"/>
                <w:szCs w:val="20"/>
                <w:color w:val="auto"/>
              </w:rPr>
            </w:pPr>
            <w:r>
              <w:rPr>
                <w:rFonts w:ascii="Arial" w:cs="Arial" w:eastAsia="Arial" w:hAnsi="Arial"/>
                <w:sz w:val="18"/>
                <w:szCs w:val="18"/>
                <w:color w:val="auto"/>
              </w:rPr>
              <w:t>0.00%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60" w:type="dxa"/>
            <w:vAlign w:val="bottom"/>
            <w:gridSpan w:val="3"/>
          </w:tcPr>
          <w:p>
            <w:pPr>
              <w:jc w:val="right"/>
              <w:ind w:right="3780"/>
              <w:spacing w:after="0"/>
              <w:rPr>
                <w:sz w:val="20"/>
                <w:szCs w:val="20"/>
                <w:color w:val="auto"/>
              </w:rPr>
            </w:pPr>
            <w:r>
              <w:rPr>
                <w:rFonts w:ascii="Arial" w:cs="Arial" w:eastAsia="Arial" w:hAnsi="Arial"/>
                <w:sz w:val="18"/>
                <w:szCs w:val="18"/>
                <w:color w:val="auto"/>
              </w:rPr>
              <w:t>F-25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and non-employee option activity under the 2007 Plan is presented below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2"/>
                <w:szCs w:val="12"/>
                <w:color w:val="auto"/>
              </w:rPr>
            </w:pPr>
          </w:p>
        </w:tc>
        <w:tc>
          <w:tcPr>
            <w:tcW w:w="12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Term</w:t>
            </w:r>
          </w:p>
        </w:tc>
        <w:tc>
          <w:tcPr>
            <w:tcW w:w="3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years)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Outstanding—January 1, 2015</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831,148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1,934,134</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8.42</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(41,607)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4.60</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Canceled or forfeited</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(117,480)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4.55</w:t>
            </w: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2,606,195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Exercisable—December 31, 2015</w:t>
            </w:r>
          </w:p>
        </w:tc>
        <w:tc>
          <w:tcPr>
            <w:tcW w:w="1120" w:type="dxa"/>
            <w:vAlign w:val="bottom"/>
            <w:gridSpan w:val="2"/>
          </w:tcPr>
          <w:p>
            <w:pPr>
              <w:spacing w:after="0" w:line="20" w:lineRule="exact"/>
              <w:rPr>
                <w:sz w:val="1"/>
                <w:szCs w:val="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5.62</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5.2</w:t>
            </w:r>
          </w:p>
        </w:tc>
        <w:tc>
          <w:tcPr>
            <w:tcW w:w="420" w:type="dxa"/>
            <w:vAlign w:val="bottom"/>
            <w:gridSpan w:val="2"/>
            <w:vMerge w:val="restart"/>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2"/>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723,379</w:t>
            </w:r>
          </w:p>
        </w:tc>
        <w:tc>
          <w:tcPr>
            <w:tcW w:w="3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exercisable or expected to vest— December 31, 2015</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2,526,040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7.53</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2014 and 2015, was $8.92 and $5.74, respectively. The fair value is being expensed over the vesting period of the options (three to four years) on a straight-line basis as the services are being provided. There were 41,607 options exercised for the year ended December 31, 2015, resulting in total proceeds of $0.2 million, including 16,731 shares subject to repurchase by the Company. In accordance with the Company’s policy, the shares were issued from a pool of shares reserved for issuance under the 2007 Plan.</w:t>
      </w:r>
    </w:p>
    <w:p>
      <w:pPr>
        <w:spacing w:after="0" w:line="18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2007 Plan allows employees to exercise unvested options in exchange for restricted common stock. Such arrangements permit the Company to subsequently repurchase such shares at the exercise price if the vesting conditions are not satisfied. Such an exercise is not substantive for accounting purposes; therefore, the payment received by the Company for the exercise price is recognized as an early exercise liability on the Company’s consolidated balance sheet and will be transferred to common stock and additional paid-in capital as such shares vest. The Company issued 16,731 shares of restricted common stock upon early exercise of stock options during the year ended December 31, 2015 with total proceeds of $0.1 million on the exercise date. As of December 31, 2015, 14,684 unvested shares were legally issued and outstanding and subject to repurchase by the Company. In connection with these unvested shares, the Company has recorded a liability of $0.1 million, of which $42,000 is included in accrued expenses and other current liabilities and $59,000 is included in other long-term liabilities in the Company’s consolidated balance sheet.</w:t>
      </w:r>
    </w:p>
    <w:p>
      <w:pPr>
        <w:spacing w:after="0" w:line="16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September 2014, pursuant to an option exchange program, the Company canceled 265,475 outstanding stock options for 15 employees and directors and 3 consultants. These options had been granted at exercise prices ranging from $15.38 to $47.67. The cancellation of these awards was accompanied by a concurrent grant of 265,475 replacement stock options issued with an exercise price of $6.32 per share and accounted for as a stock award modification. The incremental compensation cost was measured as the excess of the fair value of the modified grants determined over the fair value of the original award immediately before modification. The fair value of common stock used to calculate the incremental compensation cost was $6.32 per share. The unrecognized compensation cost related to the canceled awards and the incremental compensation cost arising from this modification totaled $2.1 million. The canceled and replacement awards were measured based on the fair value share price and the Black-Scholes option-pricing model assumptions at the modification date. Compensation expense of $0.5 million was recognized immediately for the portion of the expense that related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options that were vested on the grant date. The balance of the unrecognized compensation and incremental compensation of $1.6 million will be recognized over the remaining vesting period for the respective replacement awards.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May 2015, the vesting of certain options granted to a terminated employee was accelerated in accordance with the employment agreement, and the Company recognized $0.5 million as compensation expense due to this acceleration in vesting. In addition, as part of the termination agreement, the vesting of certain options granted was accelerated and the exercise period for all of the options was extended. This change in vesting conditions and extension of time to exercise the options was accounted for as a modification of these stock options. The aggregate increase in the fair value of the options of $0.2 million was immediately recognized as compensation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8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12,461</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Capitalized startup and research and development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33,107</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(6,936)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(8,433)</w:t>
            </w:r>
          </w:p>
        </w:tc>
      </w:tr>
      <w:tr>
        <w:trPr>
          <w:trHeight w:val="216"/>
        </w:trPr>
        <w:tc>
          <w:tcPr>
            <w:tcW w:w="20" w:type="dxa"/>
            <w:vAlign w:val="bottom"/>
          </w:tcPr>
          <w:p>
            <w:pPr>
              <w:spacing w:after="0"/>
              <w:rPr>
                <w:sz w:val="18"/>
                <w:szCs w:val="18"/>
                <w:color w:val="auto"/>
              </w:rPr>
            </w:pPr>
          </w:p>
        </w:tc>
        <w:tc>
          <w:tcPr>
            <w:tcW w:w="7320" w:type="dxa"/>
            <w:vAlign w:val="bottom"/>
          </w:tcPr>
          <w:p>
            <w:pPr>
              <w:ind w:left="340"/>
              <w:spacing w:after="0"/>
              <w:rPr>
                <w:sz w:val="20"/>
                <w:szCs w:val="20"/>
                <w:color w:val="auto"/>
              </w:rPr>
            </w:pPr>
            <w:r>
              <w:rPr>
                <w:rFonts w:ascii="Arial" w:cs="Arial" w:eastAsia="Arial" w:hAnsi="Arial"/>
                <w:sz w:val="18"/>
                <w:szCs w:val="18"/>
                <w:color w:val="auto"/>
              </w:rPr>
              <w:t>Accruals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temporary differences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20" w:type="dxa"/>
            <w:vAlign w:val="bottom"/>
          </w:tcPr>
          <w:p>
            <w:pPr>
              <w:ind w:left="700"/>
              <w:spacing w:after="0"/>
              <w:rPr>
                <w:sz w:val="20"/>
                <w:szCs w:val="20"/>
                <w:color w:val="auto"/>
              </w:rPr>
            </w:pPr>
            <w:r>
              <w:rPr>
                <w:rFonts w:ascii="Arial" w:cs="Arial" w:eastAsia="Arial" w:hAnsi="Arial"/>
                <w:sz w:val="18"/>
                <w:szCs w:val="18"/>
                <w:color w:val="auto"/>
              </w:rPr>
              <w:t>Deferred tax assets before valuation allowance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40,775</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47,359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2"/>
              </w:rPr>
              <w:t>(40,775)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(47,359)</w:t>
            </w:r>
          </w:p>
        </w:tc>
      </w:tr>
      <w:tr>
        <w:trPr>
          <w:trHeight w:val="223"/>
        </w:trPr>
        <w:tc>
          <w:tcPr>
            <w:tcW w:w="73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has provided a valuation allowance for the full amount of the net deferred tax assets as the realization of the deferred tax assets is not determined to be more likely than not. The valuation allowance increased by $8.7 million and $6.6 million in 2014 and 2015, respectively, due to the increase in deferred tax assets, primarily due to net operating loss carryforwards and capitalized research and development costs.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2015, the Company had approximately $38.6 million and $27.0 million in federal and state net operating losses, respectively, which expire at various dates from 2016 through 2035. As of December 31, 2015, the Company had federal and state research credits of $1.0 million and $0.7 million, respectively, which begin to expire in 2020.</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Under the Internal Revenue Code provisions,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certain substantial changes in the Company’s ownership, including the sale of the Company or significant changes in ownership due to sales of equity, have limited and may limit in the future, the amount of net operating loss carryforwards which could be used annually to offset future taxable income. As of December 31, 2014 and 2015, the Company had uncertain tax positions of $0.2 million and $0.2 million, respectively, related to capitalized research and development costs and research and development credits, which reduce the deferred tax assets with a corresponding decrease to the valuation allowance. No interest or penalties were recorded for the years ended December 31, 2014 and 2015. The Company expects none of the unrecognized tax benefits to decrease within the next 12 months related to expired statutes or settlement with the taxing authorities. Due to the Company’s valuation allowance as of December 31, 2015, none of the Company’s unrecognized tax benefits, if recognized, would affect the effective tax rate.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benefit—beginning of year</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(439)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benefit—end of year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Company files tax returns in the United States, Massachusetts, California, South Carolina, New Jersey and New York.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76" w:lineRule="exact"/>
        <w:rPr>
          <w:sz w:val="20"/>
          <w:szCs w:val="20"/>
          <w:color w:val="auto"/>
        </w:rPr>
      </w:pPr>
    </w:p>
    <w:p>
      <w:pPr>
        <w:ind w:left="460" w:right="9440" w:hanging="452"/>
        <w:spacing w:after="0" w:line="453" w:lineRule="auto"/>
        <w:tabs>
          <w:tab w:leader="none" w:pos="274"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b w:val="1"/>
          <w:bCs w:val="1"/>
          <w:i w:val="1"/>
          <w:iCs w:val="1"/>
          <w:color w:val="auto"/>
        </w:rPr>
        <w:t>License Agreements</w:t>
      </w:r>
    </w:p>
    <w:p>
      <w:pPr>
        <w:spacing w:after="0" w:line="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NovaMedica – 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Eddingpharm – 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In December 2013, the Company entered into a 40-month lease for office space in Waltham, Massachusetts. The Company also leases office equipment, which is accounted for as a capital lease. The leased assets are included in property and equipment at cost.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annual minimum payments as of December 31, 2015, are as follows (in thousands):</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Operating</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4"/>
              </w:rPr>
              <w:t>Leases</w:t>
            </w:r>
          </w:p>
        </w:tc>
        <w:tc>
          <w:tcPr>
            <w:tcW w:w="860" w:type="dxa"/>
            <w:vAlign w:val="bottom"/>
          </w:tcPr>
          <w:p>
            <w:pPr>
              <w:spacing w:after="0"/>
              <w:rPr>
                <w:sz w:val="14"/>
                <w:szCs w:val="14"/>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years ended December 31,</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2016</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2018</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2020</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 and thereafter</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18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amounts representing interest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Present value of net minimum lease payments</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 expense for operating leases is calculated on a straight-line basis and amounted to $0.1 million for the years ended December 31, 2014 and 2015.</w:t>
      </w:r>
    </w:p>
    <w:p>
      <w:pPr>
        <w:spacing w:after="0" w:line="248"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December 2015, the Company entered into a new 62-month building lease for approximately 4,039 square feet of space in New York, New York, which commenced on January 1, 2016. The lease has monthly lease payments of $18,000 the first 12 months with annual rent escalations thereafter and provides a rent abatement of $18,000 per month for the first two months. The Company also has an option to cancel the lease after three years with the termination fee consisting of three months of rent. In accordance with the lease, in December 2015, the Company entered into a cash-collateralized irrevocable standby letter of credit in the amount of $0.1 million naming the landlord as beneficiary.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years ended December 31, 2014 and 2015, the Company had made $0 and $33,000 contributions to the plan, respectively.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preferred stock.</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June 2015 in conjunction with the Series C-1 financing, the Company issued 1,130,740 shares of Series C-1 convertible preferred stock for total gross proceeds, including 2014 Notes conversion and cash purchase price, of $12.7 million to existing stockholders of the Company; and in August 2015 in conjunction with the Series C-1 financing, the Company issued 474,628 shares of Series C-1 convertible preferred stock for total gross proceeds of $5.3 million to an existing stockholder of the Company. See Note 10 for further discussion.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2014, the Company issued $5.0 million of 2014 Notes to stockholders of the Company. In June 2015, in conjunction with the Series C-1 financing, the outstanding principal of $5.0 million and the related accrued interest of $0.2 million on the 2014 Notes were converted into 465,563 shares of Series C-1. As of December 31, 2015, no amount of principal or related accrued interest on the 2014 Notes was outstanding. As of December 31, 2014, an aggregate of $5.0 million of principal was outstanding under the 2014 Notes and $0.1 million of related accrued interest were held by stockholders of the Company. Interest expense related to the 2014 Notes held by these stockholders was $0.1 million and $0.3 million for the years ended December 31, 2014 and 2015,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 Company has evaluated subsequent events for financial statement purposes occurring through February 22, 2016, the date that these consolidated financial statements were originally issued, and February 24, 2016, the date on which the retrospectively revised consolidated financial statements were reissued (as a result of the reverse stock split discussed below), and determined that no additional subsequent events had occurred that would require recognition in these consolidated financial statements and that all subsequent events that require disclosure have been disclosed.</w:t>
      </w:r>
    </w:p>
    <w:p>
      <w:pPr>
        <w:spacing w:after="0" w:line="17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February 24, 2016, the Company effected a 1-for-1.25 reverse stock split of the Company’s common stock and convertible preferred stock. All share and per share data shown in the accompanying consolidated financial statements and related notes have been retroactively revised to reflect the reverse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677545</wp:posOffset>
            </wp:positionV>
            <wp:extent cx="1715135" cy="4032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7151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4,400,000 Shares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PRELIMINARY PROSPECTUS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Citigroup</w:t>
      </w:r>
    </w:p>
    <w:p>
      <w:pPr>
        <w:spacing w:after="0" w:line="200" w:lineRule="exact"/>
        <w:rPr>
          <w:sz w:val="20"/>
          <w:szCs w:val="20"/>
          <w:color w:val="auto"/>
        </w:rPr>
      </w:pPr>
    </w:p>
    <w:p>
      <w:pPr>
        <w:sectPr>
          <w:pgSz w:w="11900" w:h="16838" w:orient="portrait"/>
          <w:cols w:equalWidth="0" w:num="2">
            <w:col w:w="9360" w:space="720"/>
            <w:col w:w="1340"/>
          </w:cols>
          <w:pgMar w:left="240" w:top="46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Oppenheimer &amp; Co.</w:t>
      </w:r>
    </w:p>
    <w:p>
      <w:pPr>
        <w:spacing w:after="0" w:line="200" w:lineRule="exact"/>
        <w:rPr>
          <w:sz w:val="20"/>
          <w:szCs w:val="20"/>
          <w:color w:val="auto"/>
        </w:rPr>
      </w:pPr>
    </w:p>
    <w:p>
      <w:pPr>
        <w:sectPr>
          <w:pgSz w:w="11900" w:h="16838" w:orient="portrait"/>
          <w:cols w:equalWidth="0" w:num="2">
            <w:col w:w="8600" w:space="720"/>
            <w:col w:w="2100"/>
          </w:cols>
          <w:pgMar w:left="240" w:top="4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 2016</w:t>
      </w:r>
    </w:p>
    <w:p>
      <w:pPr>
        <w:sectPr>
          <w:pgSz w:w="11900" w:h="16838" w:orient="portrait"/>
          <w:cols w:equalWidth="0" w:num="1">
            <w:col w:w="11420"/>
          </w:cols>
          <w:pgMar w:left="240" w:top="460" w:right="23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sets forth the costs and expenses, other than underwriting discounts and commissions, payable in connection with the registration of the common stock hereunder. All amounts are estimates, except the SEC registration fee, the FINRA filing fee and the NASDAQ Global Select Market listing fee.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 registration fee</w:t>
            </w:r>
          </w:p>
        </w:tc>
        <w:tc>
          <w:tcPr>
            <w:tcW w:w="3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FINRA filing fee</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12,644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NASDAQ Global Select Market listing fee</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780,000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1,400,000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Transfer Agent’s fees and expenses</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350,000</w:t>
            </w:r>
          </w:p>
        </w:tc>
      </w:tr>
      <w:tr>
        <w:trPr>
          <w:trHeight w:val="223"/>
        </w:trPr>
        <w:tc>
          <w:tcPr>
            <w:tcW w:w="6760" w:type="dxa"/>
            <w:vAlign w:val="bottom"/>
          </w:tcPr>
          <w:p>
            <w:pPr>
              <w:spacing w:after="0"/>
              <w:rPr>
                <w:sz w:val="20"/>
                <w:szCs w:val="20"/>
                <w:color w:val="auto"/>
              </w:rPr>
            </w:pPr>
            <w:r>
              <w:rPr>
                <w:rFonts w:ascii="Arial" w:cs="Arial" w:eastAsia="Arial" w:hAnsi="Arial"/>
                <w:sz w:val="18"/>
                <w:szCs w:val="18"/>
                <w:color w:val="auto"/>
              </w:rPr>
              <w:t>Miscellaneous</w:t>
            </w: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114,203</w:t>
            </w:r>
          </w:p>
        </w:tc>
        <w:tc>
          <w:tcPr>
            <w:tcW w:w="100" w:type="dxa"/>
            <w:vAlign w:val="bottom"/>
          </w:tcPr>
          <w:p>
            <w:pPr>
              <w:spacing w:after="0"/>
              <w:rPr>
                <w:sz w:val="19"/>
                <w:szCs w:val="19"/>
                <w:color w:val="auto"/>
              </w:rPr>
            </w:pPr>
          </w:p>
        </w:tc>
      </w:tr>
      <w:tr>
        <w:trPr>
          <w:trHeight w:val="216"/>
        </w:trPr>
        <w:tc>
          <w:tcPr>
            <w:tcW w:w="6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2,800,000</w:t>
            </w:r>
          </w:p>
        </w:tc>
      </w:tr>
      <w:tr>
        <w:trPr>
          <w:trHeight w:val="20"/>
        </w:trPr>
        <w:tc>
          <w:tcPr>
            <w:tcW w:w="67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Section 102(b)(7) of the Delaware General Corporation Law, or DGCL, provides that a Delaware corporation, in its certificate of incorporation, may limit the personal liability of a director to the corporation or its stockholders for monetary damages for breach of fiduciary duties as a director, except for liability for any:</w:t>
      </w:r>
    </w:p>
    <w:p>
      <w:pPr>
        <w:spacing w:after="0" w:line="59" w:lineRule="exact"/>
        <w:rPr>
          <w:sz w:val="20"/>
          <w:szCs w:val="20"/>
          <w:color w:val="auto"/>
        </w:rPr>
      </w:pPr>
    </w:p>
    <w:p>
      <w:pPr>
        <w:ind w:left="1000" w:hanging="546"/>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transaction from which the director derived an improper personal benefit;</w:t>
      </w:r>
    </w:p>
    <w:p>
      <w:pPr>
        <w:spacing w:after="0" w:line="90" w:lineRule="exact"/>
        <w:rPr>
          <w:rFonts w:ascii="Arial" w:cs="Arial" w:eastAsia="Arial" w:hAnsi="Arial"/>
          <w:sz w:val="18"/>
          <w:szCs w:val="18"/>
          <w:color w:val="auto"/>
        </w:rPr>
      </w:pPr>
    </w:p>
    <w:p>
      <w:pPr>
        <w:ind w:left="1000" w:hanging="546"/>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act or omission not in good faith or that involved intentional misconduct or a knowing violation of law;</w:t>
      </w:r>
    </w:p>
    <w:p>
      <w:pPr>
        <w:spacing w:after="0" w:line="90" w:lineRule="exact"/>
        <w:rPr>
          <w:rFonts w:ascii="Arial" w:cs="Arial" w:eastAsia="Arial" w:hAnsi="Arial"/>
          <w:sz w:val="18"/>
          <w:szCs w:val="18"/>
          <w:color w:val="auto"/>
        </w:rPr>
      </w:pPr>
    </w:p>
    <w:p>
      <w:pPr>
        <w:ind w:left="1000" w:hanging="546"/>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90" w:lineRule="exact"/>
        <w:rPr>
          <w:rFonts w:ascii="Arial" w:cs="Arial" w:eastAsia="Arial" w:hAnsi="Arial"/>
          <w:sz w:val="18"/>
          <w:szCs w:val="18"/>
          <w:color w:val="auto"/>
        </w:rPr>
      </w:pPr>
    </w:p>
    <w:p>
      <w:pPr>
        <w:ind w:left="1000" w:hanging="546"/>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breach of the director’s duty of loyalty to the corporation or its stockholders.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Section 145(a) of the DGCL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that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 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 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amended and restated certificate of incorporation and our amended and restated bylaws, each of which will become effective immediately prior to the completion of this offering, provide for the indemnification of our directors and officers to the fullest extent permitted under the DGCL.</w:t>
      </w:r>
    </w:p>
    <w:p>
      <w:pPr>
        <w:spacing w:after="0" w:line="8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11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intend to enter into an underwriting agreement, which provides for indemnification by the underwriters of us, our officers and directors, for certain liabilities, including liabilities arising under the Securities Act of 1933, as amended, or the Securities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undertakings set out in response to Item 17 herein.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lists set forth information regarding all securities sold or granted by us within the past three years that were not registered under the Securities Act (after giving effect to a 1-for-1.25 reverse stock split of our common stock and convertible preferred stock to be effected prior to the completion of this offering), and the consideration, if any, received by us for such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of Capital Stock</w:t>
      </w:r>
    </w:p>
    <w:p>
      <w:pPr>
        <w:spacing w:after="0" w:line="96" w:lineRule="exact"/>
        <w:rPr>
          <w:sz w:val="20"/>
          <w:szCs w:val="20"/>
          <w:color w:val="auto"/>
        </w:rPr>
      </w:pPr>
    </w:p>
    <w:p>
      <w:pPr>
        <w:ind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March 2013, all outstanding shares of our Series A convertible preferred stock were recapitalized in a stock split whereby the holders of Series A convertible preferred stock received 10 shares of Series A convertible preferred stock for every one share owned. Each share of our Series A convertible preferred stock will convert into one-fifth of one share of our common stock upon completion of this offering.</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March 2013, 3,151,962 shares of our Series A convertible preferred stock were converted into shares of our Series A-1 convertible preferred stock.</w:t>
      </w:r>
    </w:p>
    <w:p>
      <w:pPr>
        <w:spacing w:after="0" w:line="194" w:lineRule="exact"/>
        <w:rPr>
          <w:rFonts w:ascii="Arial" w:cs="Arial" w:eastAsia="Arial" w:hAnsi="Arial"/>
          <w:sz w:val="16"/>
          <w:szCs w:val="16"/>
          <w:color w:val="auto"/>
        </w:rPr>
      </w:pPr>
    </w:p>
    <w:p>
      <w:pPr>
        <w:ind w:right="60" w:firstLine="464"/>
        <w:spacing w:after="0" w:line="323" w:lineRule="auto"/>
        <w:tabs>
          <w:tab w:leader="none" w:pos="705" w:val="left"/>
        </w:tabs>
        <w:numPr>
          <w:ilvl w:val="0"/>
          <w:numId w:val="114"/>
        </w:numPr>
        <w:rPr>
          <w:rFonts w:ascii="Arial" w:cs="Arial" w:eastAsia="Arial" w:hAnsi="Arial"/>
          <w:sz w:val="15"/>
          <w:szCs w:val="15"/>
          <w:color w:val="auto"/>
        </w:rPr>
      </w:pPr>
      <w:r>
        <w:rPr>
          <w:rFonts w:ascii="Arial" w:cs="Arial" w:eastAsia="Arial" w:hAnsi="Arial"/>
          <w:sz w:val="15"/>
          <w:szCs w:val="15"/>
          <w:color w:val="auto"/>
        </w:rPr>
        <w:t>In March, April, August and November 2013, we issued and sold, in a series of closings to 18 accredited investors, an aggregate of 2,828,325 shares of our Series B-1 convertible preferred stock in exchange for convertible debt, accrued interest and cash at a price per share of $14.00 and an aggregate of 118,522 shares of our Series B convertible preferred stock in exchange for convertible debt and accrued interest at a price per share of $14.00, for net proceeds of $20.6 million. Each share of our Series B-1 and Series B convertible preferred stock will convert into one share of our common stock upon completion of this offering.</w:t>
      </w:r>
    </w:p>
    <w:p>
      <w:pPr>
        <w:spacing w:after="0" w:line="97" w:lineRule="exact"/>
        <w:rPr>
          <w:rFonts w:ascii="Arial" w:cs="Arial" w:eastAsia="Arial" w:hAnsi="Arial"/>
          <w:sz w:val="15"/>
          <w:szCs w:val="15"/>
          <w:color w:val="auto"/>
        </w:rPr>
      </w:pPr>
    </w:p>
    <w:p>
      <w:pPr>
        <w:ind w:right="440" w:firstLine="464"/>
        <w:spacing w:after="0" w:line="306"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July and November 2013, we issued and sold, in a series of closings to an accredited investor, an aggregate of 357,364 shares of our Series B-1 convertible preferred stock in exchange for cash at a price per share of $14.00, for gross proceeds of $5.0 million. Each share of our Series B-1 convertible preferred stock will convert into one share of our common stock upon completion of this offering.</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August 2013, 350,217 shares of our Series A-1 convertible preferred stock were converted into shares of our Series A convertible preferred stock.</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August 2013, 153,718 shares of our Series B-1 convertible preferred stock were converted into shares of our Series B convertible preferred stock.</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November 2013, we issued 16,260 shares of our common stock to an investor as consideration for license and option rights granted to us.</w:t>
      </w:r>
    </w:p>
    <w:p>
      <w:pPr>
        <w:spacing w:after="0" w:line="194" w:lineRule="exact"/>
        <w:rPr>
          <w:rFonts w:ascii="Arial" w:cs="Arial" w:eastAsia="Arial" w:hAnsi="Arial"/>
          <w:sz w:val="16"/>
          <w:szCs w:val="16"/>
          <w:color w:val="auto"/>
        </w:rPr>
      </w:pPr>
    </w:p>
    <w:p>
      <w:pPr>
        <w:ind w:right="240" w:firstLine="464"/>
        <w:spacing w:after="0" w:line="268"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March 2014, we issued 1,944 shares of our common stock at a price per share of $3.08 to one of our former employees pursuant to the exercise of stock options under our 2007 Plan for an aggregate purchase price of $5,980.</w:t>
      </w:r>
    </w:p>
    <w:p>
      <w:pPr>
        <w:spacing w:after="0" w:line="131"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January 2015, we issued and sold, in one closing to an accredited investor, 536,049 shares of our Series B-1 convertible preferred stock in exchange for cash at a price per share of $14.00, for gross proceeds of $7.5 million. Each share of our Series B-1 convertible preferred stock will convert into one share of our common stock upon completion of this offering.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May 2015, we issued 650 shares of our common stock at a price per share of $3.08 to one of our former employees pursuant to the exercise of stock options under our 2007 Plan for an aggregate purchase price of $2,000.</w:t>
      </w:r>
    </w:p>
    <w:p>
      <w:pPr>
        <w:spacing w:after="0" w:line="131" w:lineRule="exact"/>
        <w:rPr>
          <w:rFonts w:ascii="Arial" w:cs="Arial" w:eastAsia="Arial" w:hAnsi="Arial"/>
          <w:sz w:val="18"/>
          <w:szCs w:val="18"/>
          <w:color w:val="auto"/>
        </w:rPr>
      </w:pPr>
    </w:p>
    <w:p>
      <w:pPr>
        <w:ind w:right="280" w:firstLine="464"/>
        <w:spacing w:after="0" w:line="268" w:lineRule="auto"/>
        <w:tabs>
          <w:tab w:leader="none" w:pos="78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June 2015, we issued 3,318 shares of our common stock at a price per share of $3.08 to one of our former employees pursuant to the exercise of stock options under our 2007 Plan for an aggregate purchase price of $10,205.</w:t>
      </w:r>
    </w:p>
    <w:p>
      <w:pPr>
        <w:spacing w:after="0" w:line="131" w:lineRule="exact"/>
        <w:rPr>
          <w:rFonts w:ascii="Arial" w:cs="Arial" w:eastAsia="Arial" w:hAnsi="Arial"/>
          <w:sz w:val="18"/>
          <w:szCs w:val="18"/>
          <w:color w:val="auto"/>
        </w:rPr>
      </w:pPr>
    </w:p>
    <w:p>
      <w:pPr>
        <w:ind w:right="100" w:firstLine="464"/>
        <w:spacing w:after="0" w:line="306" w:lineRule="auto"/>
        <w:tabs>
          <w:tab w:leader="none" w:pos="79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June 2015, we issued and sold, in one closing to 12 accredited investors, an aggregate of 1,712,559 shares of our Series C-1 convertible preferred stock in exchange for convertible debt, accrued interest and cash at a price per share of $14.00, for gross proceeds of $18.7 million. Each share of our Series C-1 convertible preferred stock will convert into one share of our common stock upon completion of this offering.</w:t>
      </w:r>
    </w:p>
    <w:p>
      <w:pPr>
        <w:spacing w:after="0" w:line="106" w:lineRule="exact"/>
        <w:rPr>
          <w:rFonts w:ascii="Arial" w:cs="Arial" w:eastAsia="Arial" w:hAnsi="Arial"/>
          <w:sz w:val="16"/>
          <w:szCs w:val="16"/>
          <w:color w:val="auto"/>
        </w:rPr>
      </w:pPr>
    </w:p>
    <w:p>
      <w:pPr>
        <w:ind w:right="20"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July 2015, we issued 11,393 shares of our common stock at a price per share of $0.00154 to one of our consultants pursuant to the exercise of stock options under our 2007 Plan for an aggregate purchase price of $18.</w:t>
      </w:r>
    </w:p>
    <w:p>
      <w:pPr>
        <w:spacing w:after="0" w:line="131" w:lineRule="exact"/>
        <w:rPr>
          <w:rFonts w:ascii="Arial" w:cs="Arial" w:eastAsia="Arial" w:hAnsi="Arial"/>
          <w:sz w:val="18"/>
          <w:szCs w:val="18"/>
          <w:color w:val="auto"/>
        </w:rPr>
      </w:pPr>
    </w:p>
    <w:p>
      <w:pPr>
        <w:ind w:firstLine="464"/>
        <w:spacing w:after="0" w:line="259"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August 2015, we issued and sold, in one closing to 19 accredited investors, an aggregate of 4,377,902 shares of our Series C-1 convertible preferred stock for cash at a price per share of $14.00, for gross proceeds of $61.3 million. Each share of our Series C-1 convertible preferred stock will convert into one share of our common stock upon completion of this offering.</w:t>
      </w:r>
    </w:p>
    <w:p>
      <w:pPr>
        <w:spacing w:after="0" w:line="140" w:lineRule="exact"/>
        <w:rPr>
          <w:rFonts w:ascii="Arial" w:cs="Arial" w:eastAsia="Arial" w:hAnsi="Arial"/>
          <w:sz w:val="18"/>
          <w:szCs w:val="18"/>
          <w:color w:val="auto"/>
        </w:rPr>
      </w:pPr>
    </w:p>
    <w:p>
      <w:pPr>
        <w:ind w:right="60"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September 2015, we issued 10,167 shares of our common stock at a price per share of $6.35 to one of our current directors pursuant to the exercise of stock options under our 2007 Plan for an aggregate purchase price of $64,562.</w:t>
      </w:r>
    </w:p>
    <w:p>
      <w:pPr>
        <w:spacing w:after="0" w:line="131" w:lineRule="exact"/>
        <w:rPr>
          <w:rFonts w:ascii="Arial" w:cs="Arial" w:eastAsia="Arial" w:hAnsi="Arial"/>
          <w:sz w:val="18"/>
          <w:szCs w:val="18"/>
          <w:color w:val="auto"/>
        </w:rPr>
      </w:pPr>
    </w:p>
    <w:p>
      <w:pPr>
        <w:ind w:right="60"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September 2015, we issued 14,400 shares of our common stock at a price per share of $7.20 to one of our current directors pursuant to the exercise of stock options under our 2007 Plan for an aggregate purchase price of $103,680.</w:t>
      </w:r>
    </w:p>
    <w:p>
      <w:pPr>
        <w:spacing w:after="0" w:line="131" w:lineRule="exact"/>
        <w:rPr>
          <w:rFonts w:ascii="Arial" w:cs="Arial" w:eastAsia="Arial" w:hAnsi="Arial"/>
          <w:sz w:val="18"/>
          <w:szCs w:val="18"/>
          <w:color w:val="auto"/>
        </w:rPr>
      </w:pPr>
    </w:p>
    <w:p>
      <w:pPr>
        <w:ind w:right="60"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December 2015, we issued 1,246 shares of our common stock at a price per share of $6.32 to one of our former employees pursuant to the exercise of stock options under our 2007 Plan for an aggregate purchase price of $7,868.</w:t>
      </w:r>
    </w:p>
    <w:p>
      <w:pPr>
        <w:spacing w:after="0" w:line="131" w:lineRule="exact"/>
        <w:rPr>
          <w:rFonts w:ascii="Arial" w:cs="Arial" w:eastAsia="Arial" w:hAnsi="Arial"/>
          <w:sz w:val="18"/>
          <w:szCs w:val="18"/>
          <w:color w:val="auto"/>
        </w:rPr>
      </w:pPr>
    </w:p>
    <w:p>
      <w:pPr>
        <w:ind w:right="100"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December 2015, we issued 98 shares of our common stock at a price per share of $6.35 to one of our former employees pursuant to the exercise of stock options under our 2007 Plan for an aggregate purchase price of $625.</w:t>
      </w:r>
    </w:p>
    <w:p>
      <w:pPr>
        <w:spacing w:after="0" w:line="131" w:lineRule="exact"/>
        <w:rPr>
          <w:rFonts w:ascii="Arial" w:cs="Arial" w:eastAsia="Arial" w:hAnsi="Arial"/>
          <w:sz w:val="18"/>
          <w:szCs w:val="18"/>
          <w:color w:val="auto"/>
        </w:rPr>
      </w:pPr>
    </w:p>
    <w:p>
      <w:pPr>
        <w:ind w:firstLine="464"/>
        <w:spacing w:after="0" w:line="268" w:lineRule="auto"/>
        <w:tabs>
          <w:tab w:leader="none" w:pos="79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December 2015, we issued 335 shares of our common stock at a price per share of $7.20 to one of our former employees pursuant to the exercise of stock options under our 2007 Plan for an aggregate purchase price of $2,414.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Financings and Warrants</w:t>
      </w:r>
    </w:p>
    <w:p>
      <w:pPr>
        <w:spacing w:after="0" w:line="96" w:lineRule="exact"/>
        <w:rPr>
          <w:sz w:val="20"/>
          <w:szCs w:val="20"/>
          <w:color w:val="auto"/>
        </w:rPr>
      </w:pPr>
    </w:p>
    <w:p>
      <w:pPr>
        <w:ind w:firstLine="464"/>
        <w:spacing w:after="0" w:line="256" w:lineRule="auto"/>
        <w:tabs>
          <w:tab w:leader="none" w:pos="79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Between December 2011 and June 2012, in connection with a bridge loan financing, we issued convertible promissory notes to 15 accredited investors for an aggregate principal amount of $8.7 million. The convertible promissory notes accrued interest at a rate of 8% per annum and had a maturity date of December 31, 2012. In March 2013, these notes converted into 61,191 shares of our Series B convertible preferred stock and 608,312 shares of our Series B-1 convertible preferred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64"/>
        <w:spacing w:after="0" w:line="259" w:lineRule="auto"/>
        <w:tabs>
          <w:tab w:leader="none" w:pos="7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Between December 2011 and June 2012, in connection with a bridge loan financing, we granted warrants to purchase shares of our common stock to 15 accredited investors at an exercise price of $38.44 per share for an aggregate purchase price of $8,711. In March 2013, these warrants were canceled pursuant to the warrant cancellation agreement.</w:t>
      </w:r>
    </w:p>
    <w:p>
      <w:pPr>
        <w:spacing w:after="0" w:line="140" w:lineRule="exact"/>
        <w:rPr>
          <w:rFonts w:ascii="Arial" w:cs="Arial" w:eastAsia="Arial" w:hAnsi="Arial"/>
          <w:sz w:val="18"/>
          <w:szCs w:val="18"/>
          <w:color w:val="auto"/>
        </w:rPr>
      </w:pPr>
    </w:p>
    <w:p>
      <w:pPr>
        <w:ind w:right="80" w:firstLine="464"/>
        <w:spacing w:after="0" w:line="335" w:lineRule="auto"/>
        <w:tabs>
          <w:tab w:leader="none" w:pos="793" w:val="left"/>
        </w:tabs>
        <w:numPr>
          <w:ilvl w:val="0"/>
          <w:numId w:val="117"/>
        </w:numPr>
        <w:rPr>
          <w:rFonts w:ascii="Arial" w:cs="Arial" w:eastAsia="Arial" w:hAnsi="Arial"/>
          <w:sz w:val="15"/>
          <w:szCs w:val="15"/>
          <w:color w:val="auto"/>
        </w:rPr>
      </w:pPr>
      <w:r>
        <w:rPr>
          <w:rFonts w:ascii="Arial" w:cs="Arial" w:eastAsia="Arial" w:hAnsi="Arial"/>
          <w:sz w:val="15"/>
          <w:szCs w:val="15"/>
          <w:color w:val="auto"/>
        </w:rPr>
        <w:t>In October 2012, in connection with a bridge loan financing, we issued convertible promissory notes to 12 accredited investors for an aggregate principal amount of $750,000. The convertible promissory notes accrued interest at a rate of 8% per annum and had a maturity date of October 9, 2013. In March 2013, these notes converted into 5,536 shares of our Series B convertible preferred stock and 49,830 shares of our Series B-1 convertible preferred stock.</w:t>
      </w:r>
    </w:p>
    <w:p>
      <w:pPr>
        <w:spacing w:after="0" w:line="88" w:lineRule="exact"/>
        <w:rPr>
          <w:rFonts w:ascii="Arial" w:cs="Arial" w:eastAsia="Arial" w:hAnsi="Arial"/>
          <w:sz w:val="15"/>
          <w:szCs w:val="15"/>
          <w:color w:val="auto"/>
        </w:rPr>
      </w:pPr>
    </w:p>
    <w:p>
      <w:pPr>
        <w:ind w:right="180" w:firstLine="464"/>
        <w:spacing w:after="0" w:line="335" w:lineRule="auto"/>
        <w:tabs>
          <w:tab w:leader="none" w:pos="793"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Between November 2012 and January 2013, in connection with a bridge loan financing, we issued convertible promissory notes to 12 accredited investors for an aggregate principal amount of $2.2 million. The convertible promissory notes accrued interest at a rate of 8% per annum and had maturity dates ranging from November 19, 2013 to January 18, 2014. In March 2013, these notes converted into 157,045 shares of our Series B-1 convertible preferred stock.</w:t>
      </w:r>
    </w:p>
    <w:p>
      <w:pPr>
        <w:spacing w:after="0" w:line="88" w:lineRule="exact"/>
        <w:rPr>
          <w:rFonts w:ascii="Arial" w:cs="Arial" w:eastAsia="Arial" w:hAnsi="Arial"/>
          <w:sz w:val="15"/>
          <w:szCs w:val="15"/>
          <w:color w:val="auto"/>
        </w:rPr>
      </w:pPr>
    </w:p>
    <w:p>
      <w:pPr>
        <w:ind w:firstLine="464"/>
        <w:spacing w:after="0" w:line="259" w:lineRule="auto"/>
        <w:tabs>
          <w:tab w:leader="none" w:pos="7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February 2013, in connection with a bridge loan financing, we issued convertible promissory notes to 12 accredited investors for an aggregate principal amount of $45,000. The convertible promissory notes accrued interest at a rate of 8% per annum and had a maturity date of February 20, 2014. In March 2013, these notes converted into 3,227 shares of our Series B-1 convertible preferred stock.</w:t>
      </w:r>
    </w:p>
    <w:p>
      <w:pPr>
        <w:spacing w:after="0" w:line="140" w:lineRule="exact"/>
        <w:rPr>
          <w:rFonts w:ascii="Arial" w:cs="Arial" w:eastAsia="Arial" w:hAnsi="Arial"/>
          <w:sz w:val="18"/>
          <w:szCs w:val="18"/>
          <w:color w:val="auto"/>
        </w:rPr>
      </w:pPr>
    </w:p>
    <w:p>
      <w:pPr>
        <w:ind w:right="200" w:firstLine="464"/>
        <w:spacing w:after="0" w:line="268" w:lineRule="auto"/>
        <w:tabs>
          <w:tab w:leader="none" w:pos="79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March 2013, convertible promissory notes we issued in August 2010 converted into 51,794 shares of our Series B convertible preferred stock and 466,149 shares of our Series B-1 convertible preferred stock.</w:t>
      </w:r>
    </w:p>
    <w:p>
      <w:pPr>
        <w:spacing w:after="0" w:line="131" w:lineRule="exact"/>
        <w:rPr>
          <w:rFonts w:ascii="Arial" w:cs="Arial" w:eastAsia="Arial" w:hAnsi="Arial"/>
          <w:sz w:val="18"/>
          <w:szCs w:val="18"/>
          <w:color w:val="auto"/>
        </w:rPr>
      </w:pPr>
    </w:p>
    <w:p>
      <w:pPr>
        <w:ind w:right="60" w:firstLine="464"/>
        <w:spacing w:after="0" w:line="306" w:lineRule="auto"/>
        <w:tabs>
          <w:tab w:leader="none" w:pos="79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September and October 2014, in connection with a bridge loan financing, we issued convertible unsecured promissory notes to 11 accredited investors for an aggregate principal amount of $5,000,000. The convertible unsecured promissory notes accrued interest at 6% per annum and had a maturity date of September 30, 2015. In June 2015, these notes converted into 372,446 shares of our Series C-1 convertible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Stock Options</w:t>
      </w:r>
    </w:p>
    <w:p>
      <w:pPr>
        <w:spacing w:after="0" w:line="96" w:lineRule="exact"/>
        <w:rPr>
          <w:sz w:val="20"/>
          <w:szCs w:val="20"/>
          <w:color w:val="auto"/>
        </w:rPr>
      </w:pPr>
    </w:p>
    <w:p>
      <w:pPr>
        <w:ind w:right="80" w:firstLine="464"/>
        <w:spacing w:after="0" w:line="332" w:lineRule="auto"/>
        <w:tabs>
          <w:tab w:leader="none" w:pos="79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Between February 26, 2013 and February 26, 2016, we have granted stock options to purchase an aggregate of 3,207,383 shares of our common stock with exercise prices ranging from $0.00154 to $21.07 per share, to our employees, consultants and directors pursuant to our 2007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Act Exemptions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deemed the offers, sales and issuances of the securities described in paragraphs (1) through (26) above to be exempt from registration under the Securities Act, in reliance on Section 4(a)(2) of the Securities Act, including Regulation D and Rules 504 and 506 promulgated thereunder, relative to transactions by an issuer not involving a public offering. We deemed some of the grants of stock options described in paragraph (27) above to be exempt from registration under the Securities Act, in reliance on Section 4(a)(2) of the Securities Act, including Regulation D and Rule 506 promulgated thereunder, relating to transactions by an issuer not involving any public offering. All purchasers of securities in transactions exempt from registration pursuant to Regulation D represented to us that they were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accredited investors and were acquiring the shares for investment purposes only and not with a view to, or for sale in connection with, any distribution thereof and that they could bear the risks of the investment and could hold the securities for an indefinite period of time. The purchasers received written disclosures that the securities had not been registered under the Securities Act and that any resale must be made pursuant to a registration statement or an available exemption from such registration.</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deemed the grants of stock options described in paragraph (27) above, except to the extent described above as exempt pursuant to Section 4(a)(2) of the Securities Act, to be exempt from registration under the Securities Act in reliance on Rule 701 of the Securities Act as offers and sales of securities under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of the foregoing securities are deemed restricted securities for purposes of the Securities Act. The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1000" w:hanging="403"/>
        <w:spacing w:after="0"/>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See the Index to Exhibits attached to this registration statement, which is incorporated by reference herein.</w:t>
      </w:r>
    </w:p>
    <w:p>
      <w:pPr>
        <w:spacing w:after="0" w:line="90" w:lineRule="exact"/>
        <w:rPr>
          <w:sz w:val="20"/>
          <w:szCs w:val="20"/>
          <w:color w:val="auto"/>
        </w:rPr>
      </w:pPr>
    </w:p>
    <w:p>
      <w:pPr>
        <w:ind w:left="1000" w:hanging="413"/>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left="1040" w:right="220"/>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notes thereto.</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90" w:lineRule="exact"/>
        <w:rPr>
          <w:sz w:val="20"/>
          <w:szCs w:val="20"/>
          <w:color w:val="auto"/>
        </w:rPr>
      </w:pPr>
    </w:p>
    <w:p>
      <w:pPr>
        <w:ind w:left="1000" w:right="380" w:hanging="413"/>
        <w:spacing w:after="0" w:line="268"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registrant will provide to the underwriters at the closing as specified in the underwriting agreement, certificates in such denominations and registered in such names as required by the underwriters to permit prompt delivery to each purchaser.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240" w:hanging="413"/>
        <w:spacing w:after="0" w:line="286" w:lineRule="auto"/>
        <w:tabs>
          <w:tab w:leader="none" w:pos="10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w:t>
      </w:r>
    </w:p>
    <w:p>
      <w:pPr>
        <w:ind w:left="1000"/>
        <w:spacing w:after="0"/>
        <w:rPr>
          <w:rFonts w:ascii="Arial" w:cs="Arial" w:eastAsia="Arial" w:hAnsi="Arial"/>
          <w:sz w:val="16"/>
          <w:szCs w:val="16"/>
          <w:color w:val="auto"/>
        </w:rPr>
      </w:pPr>
      <w:r>
        <w:rPr>
          <w:rFonts w:ascii="Arial" w:cs="Arial" w:eastAsia="Arial" w:hAnsi="Arial"/>
          <w:sz w:val="16"/>
          <w:szCs w:val="16"/>
          <w:color w:val="auto"/>
        </w:rPr>
        <w:t>(4) or 497(h) under the Securities Act shall be deemed to be part of this registration statement as of the time it was declared effective.</w:t>
      </w:r>
    </w:p>
    <w:p>
      <w:pPr>
        <w:spacing w:after="0" w:line="106" w:lineRule="exact"/>
        <w:rPr>
          <w:rFonts w:ascii="Arial" w:cs="Arial" w:eastAsia="Arial" w:hAnsi="Arial"/>
          <w:sz w:val="16"/>
          <w:szCs w:val="16"/>
          <w:color w:val="auto"/>
        </w:rPr>
      </w:pPr>
    </w:p>
    <w:p>
      <w:pPr>
        <w:ind w:left="1000" w:hanging="413"/>
        <w:spacing w:after="0" w:line="259"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amendment to the registration statement on Form S-1 to be signed on its behalf by the undersigned, thereunto duly authorized, in the City of Waltham, in the Commonwealth of Massachusetts, on this 26</w:t>
      </w:r>
      <w:r>
        <w:rPr>
          <w:rFonts w:ascii="Arial" w:cs="Arial" w:eastAsia="Arial" w:hAnsi="Arial"/>
          <w:sz w:val="11"/>
          <w:szCs w:val="11"/>
          <w:color w:val="auto"/>
        </w:rPr>
        <w:t>th</w:t>
      </w:r>
      <w:r>
        <w:rPr>
          <w:rFonts w:ascii="Arial" w:cs="Arial" w:eastAsia="Arial" w:hAnsi="Arial"/>
          <w:sz w:val="18"/>
          <w:szCs w:val="18"/>
          <w:color w:val="auto"/>
        </w:rPr>
        <w:t xml:space="preserve"> day of February, 2016.</w:t>
      </w:r>
    </w:p>
    <w:p>
      <w:pPr>
        <w:spacing w:after="0" w:line="5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31"/>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Briggs W. Morrison, M.D.</w:t>
            </w:r>
          </w:p>
        </w:tc>
      </w:tr>
      <w:tr>
        <w:trPr>
          <w:trHeight w:val="208"/>
        </w:trPr>
        <w:tc>
          <w:tcPr>
            <w:tcW w:w="54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Briggs W. Morrison, M.D.</w:t>
            </w:r>
          </w:p>
        </w:tc>
      </w:tr>
      <w:tr>
        <w:trPr>
          <w:trHeight w:val="222"/>
        </w:trPr>
        <w:tc>
          <w:tcPr>
            <w:tcW w:w="540" w:type="dxa"/>
            <w:vAlign w:val="bottom"/>
          </w:tcPr>
          <w:p>
            <w:pPr>
              <w:spacing w:after="0"/>
              <w:rPr>
                <w:sz w:val="19"/>
                <w:szCs w:val="19"/>
                <w:color w:val="auto"/>
              </w:rPr>
            </w:pP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15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amendment to the registration statement has been signed by the following persons on behalf of the registrant and in the capacities and on the dates indicated:</w:t>
      </w:r>
    </w:p>
    <w:p>
      <w:pPr>
        <w:spacing w:after="0" w:line="168" w:lineRule="exact"/>
        <w:rPr>
          <w:sz w:val="20"/>
          <w:szCs w:val="20"/>
          <w:color w:val="auto"/>
        </w:rPr>
      </w:pPr>
    </w:p>
    <w:p>
      <w:pPr>
        <w:ind w:left="1940"/>
        <w:spacing w:after="0"/>
        <w:tabs>
          <w:tab w:leader="none" w:pos="6960" w:val="left"/>
          <w:tab w:leader="none" w:pos="104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w w:val="91"/>
              </w:rPr>
              <w:t>/s/ Briggs W. Morrison, M.D.</w:t>
            </w:r>
          </w:p>
        </w:tc>
        <w:tc>
          <w:tcPr>
            <w:tcW w:w="120" w:type="dxa"/>
            <w:vAlign w:val="bottom"/>
          </w:tcPr>
          <w:p>
            <w:pPr>
              <w:spacing w:after="0"/>
              <w:rPr>
                <w:sz w:val="19"/>
                <w:szCs w:val="19"/>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Chief Executive Officer and Director</w:t>
            </w:r>
          </w:p>
        </w:tc>
      </w:tr>
      <w:tr>
        <w:trPr>
          <w:trHeight w:val="218"/>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92"/>
              </w:rPr>
              <w:t>Briggs W. Morrison, M.D.</w:t>
            </w:r>
          </w:p>
        </w:tc>
        <w:tc>
          <w:tcPr>
            <w:tcW w:w="120" w:type="dxa"/>
            <w:vAlign w:val="bottom"/>
          </w:tcPr>
          <w:p>
            <w:pPr>
              <w:spacing w:after="0"/>
              <w:rPr>
                <w:sz w:val="18"/>
                <w:szCs w:val="18"/>
                <w:color w:val="auto"/>
              </w:rPr>
            </w:pPr>
          </w:p>
        </w:tc>
        <w:tc>
          <w:tcPr>
            <w:tcW w:w="4220" w:type="dxa"/>
            <w:vAlign w:val="bottom"/>
          </w:tcPr>
          <w:p>
            <w:pPr>
              <w:jc w:val="center"/>
              <w:ind w:left="732"/>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437"/>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w w:val="90"/>
              </w:rPr>
              <w:t>/s/ Allan L. Shaw</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88"/>
              </w:rPr>
              <w:t>Chief Financial Officer, Secretary and Treasurer</w:t>
            </w:r>
          </w:p>
        </w:tc>
      </w:tr>
      <w:tr>
        <w:trPr>
          <w:trHeight w:val="218"/>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92"/>
              </w:rPr>
              <w:t>Allan L. Shaw</w:t>
            </w:r>
          </w:p>
        </w:tc>
        <w:tc>
          <w:tcPr>
            <w:tcW w:w="120" w:type="dxa"/>
            <w:vAlign w:val="bottom"/>
          </w:tcPr>
          <w:p>
            <w:pPr>
              <w:spacing w:after="0"/>
              <w:rPr>
                <w:sz w:val="18"/>
                <w:szCs w:val="18"/>
                <w:color w:val="auto"/>
              </w:rPr>
            </w:pPr>
          </w:p>
        </w:tc>
        <w:tc>
          <w:tcPr>
            <w:tcW w:w="4220" w:type="dxa"/>
            <w:vAlign w:val="bottom"/>
          </w:tcPr>
          <w:p>
            <w:pPr>
              <w:jc w:val="center"/>
              <w:ind w:left="752"/>
              <w:spacing w:after="0" w:line="202" w:lineRule="exact"/>
              <w:rPr>
                <w:sz w:val="20"/>
                <w:szCs w:val="20"/>
                <w:color w:val="auto"/>
              </w:rPr>
            </w:pPr>
            <w:r>
              <w:rPr>
                <w:rFonts w:ascii="Arial" w:cs="Arial" w:eastAsia="Arial" w:hAnsi="Arial"/>
                <w:sz w:val="18"/>
                <w:szCs w:val="18"/>
                <w:color w:val="auto"/>
                <w:w w:val="90"/>
              </w:rPr>
              <w:t>(Principal Financial and Accounting Officer)</w:t>
            </w: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89"/>
              </w:rPr>
              <w:t>Chairman of the Board</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86"/>
              </w:rPr>
              <w:t>Dennis G. Podlesak</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89"/>
              </w:rPr>
              <w:t>Henry Chen</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87"/>
              </w:rPr>
              <w:t>Fabrice Egros, Ph.D.</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90"/>
              </w:rPr>
              <w:t>Luke Evnin, Ph.D.</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89"/>
              </w:rPr>
              <w:t>Kim P. Kamdar, Ph.D.</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92"/>
              </w:rPr>
              <w:t>Ivor Royston, M.D.</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83"/>
              </w:rPr>
              <w:t>Richard P. Shea</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438"/>
        </w:trPr>
        <w:tc>
          <w:tcPr>
            <w:tcW w:w="4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jc w:val="center"/>
              <w:ind w:right="37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220" w:type="dxa"/>
            <w:vAlign w:val="bottom"/>
          </w:tcPr>
          <w:p>
            <w:pPr>
              <w:jc w:val="center"/>
              <w:ind w:left="752"/>
              <w:spacing w:after="0"/>
              <w:rPr>
                <w:sz w:val="20"/>
                <w:szCs w:val="20"/>
                <w:color w:val="auto"/>
              </w:rPr>
            </w:pPr>
            <w:r>
              <w:rPr>
                <w:rFonts w:ascii="Arial" w:cs="Arial" w:eastAsia="Arial" w:hAnsi="Arial"/>
                <w:sz w:val="18"/>
                <w:szCs w:val="18"/>
                <w:color w:val="auto"/>
                <w:w w:val="91"/>
              </w:rPr>
              <w:t>Director</w:t>
            </w:r>
          </w:p>
        </w:tc>
      </w:tr>
      <w:tr>
        <w:trPr>
          <w:trHeight w:val="217"/>
        </w:trPr>
        <w:tc>
          <w:tcPr>
            <w:tcW w:w="460" w:type="dxa"/>
            <w:vAlign w:val="bottom"/>
          </w:tcPr>
          <w:p>
            <w:pPr>
              <w:spacing w:after="0"/>
              <w:rPr>
                <w:sz w:val="18"/>
                <w:szCs w:val="18"/>
                <w:color w:val="auto"/>
              </w:rPr>
            </w:pPr>
          </w:p>
        </w:tc>
        <w:tc>
          <w:tcPr>
            <w:tcW w:w="4000" w:type="dxa"/>
            <w:vAlign w:val="bottom"/>
          </w:tcPr>
          <w:p>
            <w:pPr>
              <w:jc w:val="center"/>
              <w:ind w:right="372"/>
              <w:spacing w:after="0"/>
              <w:rPr>
                <w:sz w:val="20"/>
                <w:szCs w:val="20"/>
                <w:color w:val="auto"/>
              </w:rPr>
            </w:pPr>
            <w:r>
              <w:rPr>
                <w:rFonts w:ascii="Arial" w:cs="Arial" w:eastAsia="Arial" w:hAnsi="Arial"/>
                <w:sz w:val="18"/>
                <w:szCs w:val="18"/>
                <w:color w:val="auto"/>
                <w:w w:val="87"/>
              </w:rPr>
              <w:t>George W. Sledge Jr., M.D.</w:t>
            </w: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65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91"/>
              </w:rPr>
              <w:t>/s/ Briggs W. Morrison, M.D.</w:t>
            </w:r>
          </w:p>
        </w:tc>
        <w:tc>
          <w:tcPr>
            <w:tcW w:w="120" w:type="dxa"/>
            <w:vAlign w:val="bottom"/>
            <w:tcBorders>
              <w:bottom w:val="single" w:sz="8" w:color="auto"/>
            </w:tcBorders>
          </w:tcPr>
          <w:p>
            <w:pPr>
              <w:spacing w:after="0"/>
              <w:rPr>
                <w:sz w:val="24"/>
                <w:szCs w:val="24"/>
                <w:color w:val="auto"/>
              </w:rPr>
            </w:pPr>
          </w:p>
        </w:tc>
        <w:tc>
          <w:tcPr>
            <w:tcW w:w="4220" w:type="dxa"/>
            <w:vAlign w:val="bottom"/>
          </w:tcPr>
          <w:p>
            <w:pPr>
              <w:spacing w:after="0"/>
              <w:rPr>
                <w:sz w:val="24"/>
                <w:szCs w:val="24"/>
                <w:color w:val="auto"/>
              </w:rPr>
            </w:pPr>
          </w:p>
        </w:tc>
      </w:tr>
      <w:tr>
        <w:trPr>
          <w:trHeight w:val="202"/>
        </w:trPr>
        <w:tc>
          <w:tcPr>
            <w:tcW w:w="460" w:type="dxa"/>
            <w:vAlign w:val="bottom"/>
          </w:tcPr>
          <w:p>
            <w:pPr>
              <w:spacing w:after="0"/>
              <w:rPr>
                <w:sz w:val="17"/>
                <w:szCs w:val="17"/>
                <w:color w:val="auto"/>
              </w:rPr>
            </w:pPr>
          </w:p>
        </w:tc>
        <w:tc>
          <w:tcPr>
            <w:tcW w:w="400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2"/>
              </w:rPr>
              <w:t>Briggs W. Morrison, M.D.</w:t>
            </w:r>
          </w:p>
        </w:tc>
        <w:tc>
          <w:tcPr>
            <w:tcW w:w="12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222"/>
        </w:trPr>
        <w:tc>
          <w:tcPr>
            <w:tcW w:w="460" w:type="dxa"/>
            <w:vAlign w:val="bottom"/>
          </w:tcPr>
          <w:p>
            <w:pPr>
              <w:spacing w:after="0"/>
              <w:rPr>
                <w:sz w:val="19"/>
                <w:szCs w:val="19"/>
                <w:color w:val="auto"/>
              </w:rPr>
            </w:pPr>
          </w:p>
        </w:tc>
        <w:tc>
          <w:tcPr>
            <w:tcW w:w="4000" w:type="dxa"/>
            <w:vAlign w:val="bottom"/>
          </w:tcPr>
          <w:p>
            <w:pPr>
              <w:jc w:val="center"/>
              <w:ind w:left="92"/>
              <w:spacing w:after="0"/>
              <w:rPr>
                <w:sz w:val="20"/>
                <w:szCs w:val="20"/>
                <w:color w:val="auto"/>
              </w:rPr>
            </w:pPr>
            <w:r>
              <w:rPr>
                <w:rFonts w:ascii="Arial" w:cs="Arial" w:eastAsia="Arial" w:hAnsi="Arial"/>
                <w:sz w:val="18"/>
                <w:szCs w:val="18"/>
                <w:color w:val="auto"/>
                <w:w w:val="92"/>
              </w:rPr>
              <w:t>Attorney-in-Fact</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26, 2016</w:t>
      </w:r>
    </w:p>
    <w:p>
      <w:pPr>
        <w:sectPr>
          <w:pgSz w:w="11900" w:h="16838" w:orient="portrait"/>
          <w:cols w:equalWidth="0" w:num="2">
            <w:col w:w="9200" w:space="720"/>
            <w:col w:w="1500"/>
          </w:cols>
          <w:pgMar w:left="240" w:top="459" w:right="23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40" w:type="dxa"/>
            <w:vAlign w:val="bottom"/>
            <w:gridSpan w:val="3"/>
          </w:tcPr>
          <w:p>
            <w:pPr>
              <w:ind w:left="320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22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9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4140" w:type="dxa"/>
            <w:vAlign w:val="bottom"/>
          </w:tcPr>
          <w:p>
            <w:pPr>
              <w:spacing w:after="0"/>
              <w:rPr>
                <w:sz w:val="14"/>
                <w:szCs w:val="14"/>
                <w:color w:val="auto"/>
              </w:rPr>
            </w:pPr>
          </w:p>
        </w:tc>
      </w:tr>
      <w:tr>
        <w:trPr>
          <w:trHeight w:val="316"/>
        </w:trPr>
        <w:tc>
          <w:tcPr>
            <w:tcW w:w="720" w:type="dxa"/>
            <w:vAlign w:val="bottom"/>
            <w:gridSpan w:val="2"/>
          </w:tcPr>
          <w:p>
            <w:pPr>
              <w:spacing w:after="0"/>
              <w:rPr>
                <w:sz w:val="20"/>
                <w:szCs w:val="20"/>
                <w:color w:val="auto"/>
              </w:rPr>
            </w:pPr>
            <w:r>
              <w:rPr>
                <w:rFonts w:ascii="Arial" w:cs="Arial" w:eastAsia="Arial" w:hAnsi="Arial"/>
                <w:sz w:val="18"/>
                <w:szCs w:val="18"/>
                <w:color w:val="auto"/>
              </w:rPr>
              <w:t>1.1#</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Fourteenth Amended and Restated Certificate of Incorporation, as currently in effect.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3.3#</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Amended and Restated Certificate of Incorporation to be in effect immediately prior to the completion of this offering.</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3.4#</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Amended and Restated Bylaws to be in effect immediately prior to the completion of this offering.</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Specimen Common Stock Certificate.</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4.2#</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w w:val="88"/>
              </w:rPr>
              <w:t>Form of Warrant to purchase Common Stock issued pursuant to the Warrant Agreement by and between the company and Bayer Schering</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Pharma AG, dated as of March 26, 2007.</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Opinion of Hogan Lovells US LLP.</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w w:val="87"/>
              </w:rPr>
              <w:t>Third Amended and Restated Investors’ Rights Agreement by and among the company and the parties thereto, dated as of August 21,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Warrant Agreement by and between the company and Bayer Schering Pharma AG, dated as of March 26, 2007.</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 Amendment, dated as of March 8, 2013.</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 Amendment, dated as of July 10, 2013.</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 Amendment, dated as of January 23, 2014.</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 Amendment, dated as of December 17, 2014.</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 Amendment, dated as of May 28,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2007</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Stock Plan Amendment, dated as of August 20,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Form of Incentive Stock Option Agreement under 2007 Stock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Form of Non-Statutory Stock Option Agreement under 2007 Stock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2015</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Omnibus Incentive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Form of Incentive Stock Option Agreement under 2015 Omnibus Incentive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Form of Non-Qualified Option Agreement under 2015 Omnibus Incentive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920" w:type="dxa"/>
            <w:vAlign w:val="bottom"/>
          </w:tcPr>
          <w:p>
            <w:pPr>
              <w:ind w:left="540"/>
              <w:spacing w:after="0"/>
              <w:rPr>
                <w:sz w:val="20"/>
                <w:szCs w:val="20"/>
                <w:color w:val="auto"/>
              </w:rPr>
            </w:pPr>
            <w:r>
              <w:rPr>
                <w:rFonts w:ascii="Arial" w:cs="Arial" w:eastAsia="Arial" w:hAnsi="Arial"/>
                <w:sz w:val="18"/>
                <w:szCs w:val="18"/>
                <w:color w:val="auto"/>
                <w:w w:val="89"/>
              </w:rPr>
              <w:t>2015</w:t>
            </w:r>
          </w:p>
        </w:tc>
        <w:tc>
          <w:tcPr>
            <w:tcW w:w="9440" w:type="dxa"/>
            <w:vAlign w:val="bottom"/>
            <w:gridSpan w:val="3"/>
          </w:tcPr>
          <w:p>
            <w:pPr>
              <w:ind w:left="20"/>
              <w:spacing w:after="0"/>
              <w:rPr>
                <w:sz w:val="20"/>
                <w:szCs w:val="20"/>
                <w:color w:val="auto"/>
              </w:rPr>
            </w:pPr>
            <w:r>
              <w:rPr>
                <w:rFonts w:ascii="Arial" w:cs="Arial" w:eastAsia="Arial" w:hAnsi="Arial"/>
                <w:sz w:val="18"/>
                <w:szCs w:val="18"/>
                <w:color w:val="auto"/>
              </w:rPr>
              <w:t>Employee Stock Purchase Plan.</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w w:val="95"/>
              </w:rPr>
              <w:t>Executive Employment Agreement by and between the company and Briggs W. Morrison, M.D., dated as of September 30,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w w:val="99"/>
              </w:rPr>
              <w:t>Executive Employment Agreement by and between the company and Michael A. Metzger, dated as of September 30,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w w:val="93"/>
              </w:rPr>
              <w:t>Executive Employment Agreement by and between the Company and Michael L. Meyers, M.D., Ph.D., dated as of October 1,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360" w:type="dxa"/>
            <w:vAlign w:val="bottom"/>
            <w:gridSpan w:val="4"/>
          </w:tcPr>
          <w:p>
            <w:pPr>
              <w:ind w:left="540"/>
              <w:spacing w:after="0"/>
              <w:rPr>
                <w:sz w:val="20"/>
                <w:szCs w:val="20"/>
                <w:color w:val="auto"/>
              </w:rPr>
            </w:pPr>
            <w:r>
              <w:rPr>
                <w:rFonts w:ascii="Arial" w:cs="Arial" w:eastAsia="Arial" w:hAnsi="Arial"/>
                <w:sz w:val="18"/>
                <w:szCs w:val="18"/>
                <w:color w:val="auto"/>
              </w:rPr>
              <w:t>Offer Letter by and between the company and Arlene Morris, dated as of March 18, 2012.</w:t>
            </w:r>
          </w:p>
        </w:tc>
      </w:tr>
    </w:tbl>
    <w:p>
      <w:pPr>
        <w:sectPr>
          <w:pgSz w:w="11900" w:h="16838" w:orient="portrait"/>
          <w:cols w:equalWidth="0" w:num="1">
            <w:col w:w="11080"/>
          </w:cols>
          <w:pgMar w:left="240" w:top="459" w:right="5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40" w:type="dxa"/>
            <w:vAlign w:val="bottom"/>
          </w:tcPr>
          <w:p>
            <w:pPr>
              <w:spacing w:after="0"/>
              <w:rPr>
                <w:sz w:val="14"/>
                <w:szCs w:val="14"/>
                <w:color w:val="auto"/>
              </w:rPr>
            </w:pPr>
          </w:p>
        </w:tc>
      </w:tr>
      <w:tr>
        <w:trPr>
          <w:trHeight w:val="161"/>
        </w:trPr>
        <w:tc>
          <w:tcPr>
            <w:tcW w:w="2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02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4440" w:type="dxa"/>
            <w:vAlign w:val="bottom"/>
          </w:tcPr>
          <w:p>
            <w:pPr>
              <w:spacing w:after="0"/>
              <w:rPr>
                <w:sz w:val="14"/>
                <w:szCs w:val="14"/>
                <w:color w:val="auto"/>
              </w:rPr>
            </w:pPr>
          </w:p>
        </w:tc>
      </w:tr>
      <w:tr>
        <w:trPr>
          <w:trHeight w:val="316"/>
        </w:trPr>
        <w:tc>
          <w:tcPr>
            <w:tcW w:w="7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6"/>
              </w:rPr>
              <w:t>General Release and Post-Separation Consulting Agreement by and between the company and Arlene Morris, dated May 13,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Form of Indemnification Agreement by and between the company and each of its directors and officers.</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8"/>
              </w:rPr>
              <w:t>License, Development and Commercialization Agreement by and between the company and Bayer Schering Pharma AG, dated as of March 26,</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2007.</w:t>
            </w:r>
          </w:p>
        </w:tc>
        <w:tc>
          <w:tcPr>
            <w:tcW w:w="12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9"/>
              </w:rPr>
              <w:t>First Amendment to the License, Development and Commercialization Agreement by and between the company and Bayer Pharma AG, dated</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as of October 13, 2012.</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1"/>
              </w:rPr>
              <w:t>Second Amendment to the License, Development and Commercialization Agreement by and between the company and Bayer Pharma AG,</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dated as of February 1, 2013.</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8"/>
              </w:rPr>
              <w:t>Third Amendment to the License, Development and Commercialization Agreement by and between the company and Bayer Pharma AG, dated</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as of October 9, 2013.</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Letter Agreement by and between the company and Bayer Pharma AG, dated as of September 18, 2014.</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Clinical Trial Agreement by and between the company and Eastern Cooperative Oncology Group, dated as of March 14, 2014.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9"/>
              </w:rPr>
              <w:t>Amendment No. 1 to Clinical Trial Agreement by and between the company and ECOG-ACRIN Cancer Research Group, dated as of January</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30, 2015.</w:t>
            </w:r>
          </w:p>
        </w:tc>
        <w:tc>
          <w:tcPr>
            <w:tcW w:w="12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3"/>
              </w:rPr>
              <w:t>Loan and Security Agreement by and among the company, Solar Capital Ltd. and the Lenders listed therein, dated as of June 13, 2014.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0"/>
              </w:rPr>
              <w:t>First Amendment to Loan and Security Agreement by and among the company, Solar Capital Ltd. and the Lenders listed therein, dated as of</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September 25, 2014.</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8"/>
              </w:rPr>
              <w:t>Second Amendment to Loan and Security Agreement by and among the company, Solar Capital Ltd. and the Lenders listed therein, dated as of</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December 31, 2014.</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0"/>
              </w:rPr>
              <w:t>Clinical Trial Collaboration and Supply Agreement by and between the company and MSD International GmbH, dated as of March 27, 2015.</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8"/>
              </w:rPr>
              <w:t>License, Development and Commercialization Agreement by and between the company and Kyowa Hakko Kirin Co., Ltd., dated December 19,</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2014.</w:t>
            </w:r>
          </w:p>
        </w:tc>
        <w:tc>
          <w:tcPr>
            <w:tcW w:w="12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Side Letter by and between the company and Kyowa Hakko Kirin Co., Ltd., dated December 19, 2014.</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10.35†#</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Combination Study Collaboration Agreement by and between the company and Genentech, Inc. dated August 24, 2015.</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10.36†#</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9"/>
              </w:rPr>
              <w:t>Clinical Trial Collaboration and Supply Agreement by and between the company, Pfizer Inc. and Ares Trading S.A., dated as of December 31,</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2015.</w:t>
            </w:r>
          </w:p>
        </w:tc>
        <w:tc>
          <w:tcPr>
            <w:tcW w:w="12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10.37†#</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89"/>
              </w:rPr>
              <w:t>Amendment No. 2 to Clinical Trial Agreement by and between the company and ECOG-ACRIN Cancer Research Group, dated as of July 31,</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20" w:type="dxa"/>
            <w:vAlign w:val="bottom"/>
          </w:tcPr>
          <w:p>
            <w:pPr>
              <w:ind w:left="540"/>
              <w:spacing w:after="0"/>
              <w:rPr>
                <w:sz w:val="20"/>
                <w:szCs w:val="20"/>
                <w:color w:val="auto"/>
              </w:rPr>
            </w:pPr>
            <w:r>
              <w:rPr>
                <w:rFonts w:ascii="Arial" w:cs="Arial" w:eastAsia="Arial" w:hAnsi="Arial"/>
                <w:sz w:val="18"/>
                <w:szCs w:val="18"/>
                <w:color w:val="auto"/>
              </w:rPr>
              <w:t>2015.</w:t>
            </w:r>
          </w:p>
        </w:tc>
        <w:tc>
          <w:tcPr>
            <w:tcW w:w="12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10.38†#</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0"/>
              </w:rPr>
              <w:t>First Amendment to Clinical Trial Collaboration and Supply Agreement by and between the company and MSD International GmbH, dated as</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of August 13, 2015.</w:t>
            </w: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10.39†#</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w w:val="90"/>
              </w:rPr>
              <w:t>Amendment #1 to License, Development and Commercialization Agreement by and between the company and Kyowa Hakko Kirin Co., Ltd.,</w:t>
            </w:r>
          </w:p>
        </w:tc>
      </w:tr>
      <w:tr>
        <w:trPr>
          <w:trHeight w:val="222"/>
        </w:trPr>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dated September 18, 2015.</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10.40+#</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Executive Employment Agreement by and between the Company and Allan L. Shaw, dated as of January 15, 2016.</w:t>
            </w:r>
          </w:p>
        </w:tc>
      </w:tr>
      <w:tr>
        <w:trPr>
          <w:trHeight w:val="324"/>
        </w:trPr>
        <w:tc>
          <w:tcPr>
            <w:tcW w:w="720" w:type="dxa"/>
            <w:vAlign w:val="bottom"/>
            <w:gridSpan w:val="2"/>
          </w:tcPr>
          <w:p>
            <w:pPr>
              <w:spacing w:after="0"/>
              <w:rPr>
                <w:sz w:val="20"/>
                <w:szCs w:val="20"/>
                <w:color w:val="auto"/>
              </w:rPr>
            </w:pPr>
            <w:r>
              <w:rPr>
                <w:rFonts w:ascii="Arial" w:cs="Arial" w:eastAsia="Arial" w:hAnsi="Arial"/>
                <w:sz w:val="18"/>
                <w:szCs w:val="18"/>
                <w:color w:val="auto"/>
              </w:rPr>
              <w:t>21.1#</w:t>
            </w:r>
          </w:p>
        </w:tc>
        <w:tc>
          <w:tcPr>
            <w:tcW w:w="10660" w:type="dxa"/>
            <w:vAlign w:val="bottom"/>
            <w:gridSpan w:val="3"/>
          </w:tcPr>
          <w:p>
            <w:pPr>
              <w:ind w:left="540"/>
              <w:spacing w:after="0"/>
              <w:rPr>
                <w:sz w:val="20"/>
                <w:szCs w:val="20"/>
                <w:color w:val="auto"/>
              </w:rPr>
            </w:pPr>
            <w:r>
              <w:rPr>
                <w:rFonts w:ascii="Arial" w:cs="Arial" w:eastAsia="Arial" w:hAnsi="Arial"/>
                <w:sz w:val="18"/>
                <w:szCs w:val="18"/>
                <w:color w:val="auto"/>
              </w:rPr>
              <w:t>Subsidiaries of the company.</w:t>
            </w:r>
          </w:p>
        </w:tc>
      </w:tr>
    </w:tbl>
    <w:p>
      <w:pPr>
        <w:sectPr>
          <w:pgSz w:w="11900" w:h="16838" w:orient="portrait"/>
          <w:cols w:equalWidth="0" w:num="1">
            <w:col w:w="11380"/>
          </w:cols>
          <w:pgMar w:left="240" w:top="460" w:right="2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00" w:type="dxa"/>
            <w:vAlign w:val="bottom"/>
          </w:tcPr>
          <w:p>
            <w:pPr>
              <w:spacing w:after="0"/>
              <w:rPr>
                <w:sz w:val="14"/>
                <w:szCs w:val="14"/>
                <w:color w:val="auto"/>
              </w:rPr>
            </w:pPr>
          </w:p>
        </w:tc>
        <w:tc>
          <w:tcPr>
            <w:tcW w:w="1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Exhibit Description</w:t>
            </w:r>
          </w:p>
        </w:tc>
        <w:tc>
          <w:tcPr>
            <w:tcW w:w="20" w:type="dxa"/>
            <w:vAlign w:val="bottom"/>
          </w:tcPr>
          <w:p>
            <w:pPr>
              <w:spacing w:after="0"/>
              <w:rPr>
                <w:sz w:val="14"/>
                <w:szCs w:val="14"/>
                <w:color w:val="auto"/>
              </w:rPr>
            </w:pPr>
          </w:p>
        </w:tc>
      </w:tr>
      <w:tr>
        <w:trPr>
          <w:trHeight w:val="316"/>
        </w:trPr>
        <w:tc>
          <w:tcPr>
            <w:tcW w:w="540" w:type="dxa"/>
            <w:vAlign w:val="bottom"/>
            <w:gridSpan w:val="2"/>
          </w:tcPr>
          <w:p>
            <w:pPr>
              <w:spacing w:after="0"/>
              <w:rPr>
                <w:sz w:val="20"/>
                <w:szCs w:val="20"/>
                <w:color w:val="auto"/>
              </w:rPr>
            </w:pPr>
            <w:r>
              <w:rPr>
                <w:rFonts w:ascii="Arial" w:cs="Arial" w:eastAsia="Arial" w:hAnsi="Arial"/>
                <w:sz w:val="18"/>
                <w:szCs w:val="18"/>
                <w:color w:val="auto"/>
              </w:rPr>
              <w:t>23.1</w:t>
            </w:r>
          </w:p>
        </w:tc>
        <w:tc>
          <w:tcPr>
            <w:tcW w:w="6420" w:type="dxa"/>
            <w:vAlign w:val="bottom"/>
            <w:gridSpan w:val="3"/>
          </w:tcPr>
          <w:p>
            <w:pPr>
              <w:ind w:left="7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23.2#</w:t>
            </w:r>
          </w:p>
        </w:tc>
        <w:tc>
          <w:tcPr>
            <w:tcW w:w="6420" w:type="dxa"/>
            <w:vAlign w:val="bottom"/>
            <w:gridSpan w:val="3"/>
          </w:tcPr>
          <w:p>
            <w:pPr>
              <w:ind w:left="720"/>
              <w:spacing w:after="0"/>
              <w:rPr>
                <w:sz w:val="20"/>
                <w:szCs w:val="20"/>
                <w:color w:val="auto"/>
              </w:rPr>
            </w:pPr>
            <w:r>
              <w:rPr>
                <w:rFonts w:ascii="Arial" w:cs="Arial" w:eastAsia="Arial" w:hAnsi="Arial"/>
                <w:sz w:val="18"/>
                <w:szCs w:val="18"/>
                <w:color w:val="auto"/>
              </w:rPr>
              <w:t>Consent of Hogan Lovells US LLP (included in Exhibit 5.1).</w:t>
            </w:r>
          </w:p>
        </w:tc>
      </w:tr>
      <w:tr>
        <w:trPr>
          <w:trHeight w:val="324"/>
        </w:trPr>
        <w:tc>
          <w:tcPr>
            <w:tcW w:w="540" w:type="dxa"/>
            <w:vAlign w:val="bottom"/>
            <w:gridSpan w:val="2"/>
          </w:tcPr>
          <w:p>
            <w:pPr>
              <w:spacing w:after="0"/>
              <w:rPr>
                <w:sz w:val="20"/>
                <w:szCs w:val="20"/>
                <w:color w:val="auto"/>
              </w:rPr>
            </w:pPr>
            <w:r>
              <w:rPr>
                <w:rFonts w:ascii="Arial" w:cs="Arial" w:eastAsia="Arial" w:hAnsi="Arial"/>
                <w:sz w:val="18"/>
                <w:szCs w:val="18"/>
                <w:color w:val="auto"/>
              </w:rPr>
              <w:t>24.1#</w:t>
            </w:r>
          </w:p>
        </w:tc>
        <w:tc>
          <w:tcPr>
            <w:tcW w:w="6420" w:type="dxa"/>
            <w:vAlign w:val="bottom"/>
            <w:gridSpan w:val="3"/>
          </w:tcPr>
          <w:p>
            <w:pPr>
              <w:ind w:left="720"/>
              <w:spacing w:after="0"/>
              <w:rPr>
                <w:sz w:val="20"/>
                <w:szCs w:val="20"/>
                <w:color w:val="auto"/>
              </w:rPr>
            </w:pPr>
            <w:r>
              <w:rPr>
                <w:rFonts w:ascii="Arial" w:cs="Arial" w:eastAsia="Arial" w:hAnsi="Arial"/>
                <w:sz w:val="18"/>
                <w:szCs w:val="18"/>
                <w:color w:val="auto"/>
                <w:w w:val="88"/>
              </w:rPr>
              <w:t>Power of Attorney (included on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15" w:lineRule="exact"/>
        <w:rPr>
          <w:sz w:val="20"/>
          <w:szCs w:val="20"/>
          <w:color w:val="auto"/>
        </w:rPr>
      </w:pPr>
    </w:p>
    <w:p>
      <w:pPr>
        <w:ind w:left="460" w:hanging="452"/>
        <w:spacing w:after="0"/>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Registrant has requested confidential treatment for certain portions of this exhibit. This exhibit omits the information subject to this confidentiality request.</w:t>
      </w:r>
    </w:p>
    <w:p>
      <w:pPr>
        <w:spacing w:after="0" w:line="242" w:lineRule="exact"/>
        <w:rPr>
          <w:sz w:val="20"/>
          <w:szCs w:val="20"/>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Previously filed.</w:t>
      </w:r>
    </w:p>
    <w:p>
      <w:pPr>
        <w:sectPr>
          <w:pgSz w:w="11900" w:h="16838" w:orient="portrait"/>
          <w:cols w:equalWidth="0" w:num="1">
            <w:col w:w="11420"/>
          </w:cols>
          <w:pgMar w:left="240" w:top="460"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FOURTEENTH AMENDED AND RESTATED 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Syndax Pharmaceuticals, Inc., a corporation organized and existing under the laws of the State of Delaware, hereby certifies as follows:</w:t>
      </w:r>
    </w:p>
    <w:p>
      <w:pPr>
        <w:spacing w:after="0" w:line="225"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name of this corporation is Syndax Pharmaceuticals, Inc. This corporation was originally incorporated under the same name, and the original Certificate of Incorporation of this corporation was filed with the Secretary of State of the State of Delaware on October 11, 2005. An Amended and Restated Certificate of Incorporation or Certificate of Amendment to the Certificate of Incorporation of this corporation was filed with the Secretary of State of the State of Delaware on March 29, 2007, November 21, 2008, January 22, 2010, August 2, 2010, December 20, 2011, June 28, 2012, October 9, 2012, November 19, 2012, December 28, 2012, January 18, 2013, March 8, 2013, July 11, 2013, November 18, 2013, June 3, 2014, September 17, 2014, December 17, 2014, May 28, 2015 and August 20, 2015, all under its present name.</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text of the Thirteenth Amended and Restated Certificate of Incorporation, as amended, is hereby amended and restated in its entirety to read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Syndax Pharmaceuticals,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address of this corporation’s registered office in the State of Delaware is 2711 Centerville Road, Suite 400, City of Wilmington, 19808, County of New Castle, Delaware. The name of its registered agent at such address is Corporation Service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General Corporation Law of the State of Delaware.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Effective upon the filing of this Fourteenth Amended and Restated Certificate of Incorporation, (i) each one (1) issued and outstanding share of Common Stock automatically and without any action on the part of the respective holders thereof, shall be changed, reclassified and combined into and shall constitute 1/1.25 fully paid and nonassessable shares of Common Stock and (ii) each one (1) issued and outstanding share of Preferred Stock automatically and without any action on the part of the respective holders thereof, shall be changed, reclassified and combined into and shall constitute 1/1.25 fully paid and nonassessable shares of the same series of Preferred Stock (together, the “</w:t>
      </w:r>
      <w:r>
        <w:rPr>
          <w:rFonts w:ascii="Arial" w:cs="Arial" w:eastAsia="Arial" w:hAnsi="Arial"/>
          <w:sz w:val="17"/>
          <w:szCs w:val="17"/>
          <w:u w:val="single" w:color="auto"/>
          <w:color w:val="auto"/>
        </w:rPr>
        <w:t>Reverse Stock Split</w:t>
      </w:r>
      <w:r>
        <w:rPr>
          <w:rFonts w:ascii="Arial" w:cs="Arial" w:eastAsia="Arial" w:hAnsi="Arial"/>
          <w:sz w:val="17"/>
          <w:szCs w:val="17"/>
          <w:color w:val="auto"/>
        </w:rPr>
        <w:t>”); provided further, that if the Reverse Stock Split would result in any fractional share, this corporation shall, in lieu of issuing any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30" w:name="page231"/>
    <w:bookmarkEnd w:id="230"/>
    <w:p>
      <w:pPr>
        <w:ind w:right="1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fractional share, pay the holder thereof an amount in cash equal to the fair market value of such fractional share on the effective date of the Reverse Stock Split as determined by this corporation’s board of directors. The Reverse Stock Split shall occur whether or not the certificates representing such shares of Common Stock or Preferred Stock are surrendered to this corporation or its transfer agent; provided, however, that this corporation shall not be obligated to issue certificates evidencing the shares resulting from the Reverse Stock Split unless either the certificates evidencing such shares of Common Stock or Preferred Stock are delivered to this corporation or its transfer agent, or the holder notifies this corporation or its transfer agent that such certificates have been lost, stolen or destroyed and executes an agreement satisfactory to this corporation to indemnify this corporation from any loss incurred by it in connection with such certificates. Notwithstanding the foregoing, the par value of each share of this corporation’s outstanding Common Stock and Preferred Stock will not be adjusted in connection with the Reverse Stock Split. All share amounts, dollar amounts and other provisions in this Fourteenth Amended and Restated Certificate of Incorporation have been appropriately adjusted to reflect the Reverse Stock Split, and no further adjustments shall be made to the share amounts, dollar amounts and other provisions, except in the case of any stock splits, reverse splits, recapitalization and the like occurring after the effective time of the Reverse Stock Split.</w:t>
      </w:r>
    </w:p>
    <w:p>
      <w:pPr>
        <w:spacing w:after="0" w:line="18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corporation is authorized to issue two classes of stock to be designated, respectively, “Common Stock” and “Preferred Stock.” The total number of shares which this corporation is authorized to issue is Forty Million Nine Hundred Eleven Thousand One Hundred Seventy-Four (40,911,174) shares. Twenty Million Eight Hundred Thousand (20,800,000) shares shall be Common Stock with a par value of $0.0001 per share and Twenty Million One Hundred Eleven Thousand One Hundred Seventy-Four (20,111,174) shares shall be Preferred Stock with a par value of $0.001 per share, Three Million Five Hundred Twelve Thousand One Hundred Ninety-Four (3,512,194) of which shall be designated Series A Preferred Stock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Three Million One Hundred Sixty Thousand Nine Hundred Seventy-Five (3,160,975) of which shall be designated Series A-1 Preferred Stock (“</w:t>
      </w: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Three Million Three Hundred Eighty-Two Thousand One Hundred Thirteen (3,382,113) of which shall be designated Series B Preferred Stock (“</w:t>
      </w:r>
      <w:r>
        <w:rPr>
          <w:rFonts w:ascii="Arial" w:cs="Arial" w:eastAsia="Arial" w:hAnsi="Arial"/>
          <w:sz w:val="16"/>
          <w:szCs w:val="16"/>
          <w:u w:val="single" w:color="auto"/>
          <w:color w:val="auto"/>
        </w:rPr>
        <w:t>Series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Stock</w:t>
      </w:r>
      <w:r>
        <w:rPr>
          <w:rFonts w:ascii="Arial" w:cs="Arial" w:eastAsia="Arial" w:hAnsi="Arial"/>
          <w:sz w:val="16"/>
          <w:szCs w:val="16"/>
          <w:color w:val="auto"/>
        </w:rPr>
        <w:t>”), Three Million Nine Hundred Sixty-Five Thousand Four Hundred Eleven (3,965,411) of which shall be designated Series B-1 Preferred Stock (“</w:t>
      </w:r>
      <w:r>
        <w:rPr>
          <w:rFonts w:ascii="Arial" w:cs="Arial" w:eastAsia="Arial" w:hAnsi="Arial"/>
          <w:sz w:val="16"/>
          <w:szCs w:val="16"/>
          <w:u w:val="single" w:color="auto"/>
          <w:color w:val="auto"/>
        </w:rPr>
        <w:t>Series B-1 Preferred Stock</w:t>
      </w:r>
      <w:r>
        <w:rPr>
          <w:rFonts w:ascii="Arial" w:cs="Arial" w:eastAsia="Arial" w:hAnsi="Arial"/>
          <w:sz w:val="16"/>
          <w:szCs w:val="16"/>
          <w:color w:val="auto"/>
        </w:rPr>
        <w:t>”) and Six Million Ninety Thousand Four Hundred Eighty-One (6,090,481) of which shall be designated as Series C-1 Preferred Stock (“</w:t>
      </w:r>
      <w:r>
        <w:rPr>
          <w:rFonts w:ascii="Arial" w:cs="Arial" w:eastAsia="Arial" w:hAnsi="Arial"/>
          <w:sz w:val="16"/>
          <w:szCs w:val="16"/>
          <w:u w:val="single" w:color="auto"/>
          <w:color w:val="auto"/>
        </w:rPr>
        <w:t>Series C-1 Preferred Stock</w:t>
      </w:r>
      <w:r>
        <w:rPr>
          <w:rFonts w:ascii="Arial" w:cs="Arial" w:eastAsia="Arial" w:hAnsi="Arial"/>
          <w:sz w:val="16"/>
          <w:szCs w:val="16"/>
          <w:color w:val="auto"/>
        </w:rPr>
        <w:t>” and, collectively with the Series A Preferred Stock, Series A-1 Preferred Stock, Series B Preferred Stock and Series B-1 Preferred Stock, the “</w:t>
      </w:r>
      <w:r>
        <w:rPr>
          <w:rFonts w:ascii="Arial" w:cs="Arial" w:eastAsia="Arial" w:hAnsi="Arial"/>
          <w:sz w:val="16"/>
          <w:szCs w:val="16"/>
          <w:u w:val="single" w:color="auto"/>
          <w:color w:val="auto"/>
        </w:rPr>
        <w:t>Preferred Stock</w:t>
      </w:r>
      <w:r>
        <w:rPr>
          <w:rFonts w:ascii="Arial" w:cs="Arial" w:eastAsia="Arial" w:hAnsi="Arial"/>
          <w:sz w:val="16"/>
          <w:szCs w:val="16"/>
          <w:color w:val="auto"/>
        </w:rPr>
        <w:t>”). This corporation shall from time to time in accordance with the laws of the State of Delaware increase the authorized amount of its Common Stock if at any time the number of shares of Common Stock remaining unissued and available for issuance upon conversion of the Preferred Stock shall not be sufficient to permit conversion of the Preferred Stock. Subject to the provisions herein, the number of authorized shares of Common Stock may be increased or decreased (but not below the number of shares thereof then outstanding) by the affirmative vote of the holders of shares of stock of this corporation representing a majority of the votes represented by all outstanding shares of stock of this corporation entitled to vote, irrespective of the provisions of Section 242(b)(2) of the Delaware General Corporation Law.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31" w:name="page232"/>
    <w:bookmarkEnd w:id="23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relative rights, preferences, privileges and restrictions granted to or imposed upon the respective classes and series of the shares of capital stock or the holders thereof are as follows:</w:t>
      </w:r>
    </w:p>
    <w:p>
      <w:pPr>
        <w:spacing w:after="0" w:line="170" w:lineRule="exact"/>
        <w:rPr>
          <w:sz w:val="20"/>
          <w:szCs w:val="20"/>
          <w:color w:val="auto"/>
        </w:rPr>
      </w:pPr>
    </w:p>
    <w:p>
      <w:pPr>
        <w:ind w:left="640" w:hanging="176"/>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6" w:lineRule="auto"/>
        <w:tabs>
          <w:tab w:leader="none" w:pos="1157"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Series C-1 Preferred Stock</w:t>
      </w:r>
      <w:r>
        <w:rPr>
          <w:rFonts w:ascii="Arial" w:cs="Arial" w:eastAsia="Arial" w:hAnsi="Arial"/>
          <w:sz w:val="16"/>
          <w:szCs w:val="16"/>
          <w:color w:val="auto"/>
        </w:rPr>
        <w:t xml:space="preserve">. Prior and in preference to any declaration or payment of any dividends to the holders of shares of Series A-1 Preferred Stock, Series A Preferred Stock, Series B-1 Preferred Stock, Series B Preferred Stock, Common Stock, or any other class of capital stock of this corporation, the holders of shares of the Series C-1 Preferred Stock shall be entitled to receive cumulative dividends on each outstanding share of Series C-1 Preferred Stock, whether or not declared by the board of directors of this corporation,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out of any assets legally available therefor (payable other than in Common Stock or other securities and rights convertible into or entitling the holder thereof to receive, directly or indirectly, additional shares of Common Stock of this corporation), at the rate of eight percent (8%) of the applicable Original Issue Price (as defined herein) per share per annum. Such dividends shall accrue and be cumulative from the date of issuance of the shares of Series C-1 Preferred Stock, whether or not earned or declared by the board of directors of this corporation. With respect to accrued and unpaid dividends on shares of Series C-1 Preferred Stock issued and outstanding immediately prior to the Reverse Stock Split (“</w:t>
      </w:r>
      <w:r>
        <w:rPr>
          <w:rFonts w:ascii="Arial" w:cs="Arial" w:eastAsia="Arial" w:hAnsi="Arial"/>
          <w:sz w:val="16"/>
          <w:szCs w:val="16"/>
          <w:u w:val="single" w:color="auto"/>
          <w:color w:val="auto"/>
        </w:rPr>
        <w:t>Pre-Split Series C-1 Shares</w:t>
      </w:r>
      <w:r>
        <w:rPr>
          <w:rFonts w:ascii="Arial" w:cs="Arial" w:eastAsia="Arial" w:hAnsi="Arial"/>
          <w:sz w:val="16"/>
          <w:szCs w:val="16"/>
          <w:color w:val="auto"/>
        </w:rPr>
        <w:t>”), pursuant to the Reverse Stock Split such accrued and unpaid dividends on the Pre-Split Series C-1 Shares shall be allocated to the shares of Series C-1 Preferred Stock into which such Pre-Split Series C-1 Shares were changed, reclassified and combined into as a result of the Reverse Stock Split. In the event that the board of directors of this corporation declares a dividend, the amount of which is insufficient to permit payment of the full aforesaid dividends, such dividends will be paid ratably to each holder in proportion to the dividend amounts to which each holder of Series C-1 Preferred Stock is entitled. Any dividend payment made on shares of Series C-1 Preferred Stock shall first be credited against the dividends accumulated with respect to the earliest dividend period for which dividends have not been paid.</w:t>
      </w:r>
    </w:p>
    <w:p>
      <w:pPr>
        <w:spacing w:after="0" w:line="171" w:lineRule="exact"/>
        <w:rPr>
          <w:rFonts w:ascii="Arial" w:cs="Arial" w:eastAsia="Arial" w:hAnsi="Arial"/>
          <w:sz w:val="16"/>
          <w:szCs w:val="16"/>
          <w:color w:val="auto"/>
        </w:rPr>
      </w:pPr>
    </w:p>
    <w:p>
      <w:pPr>
        <w:ind w:firstLine="921"/>
        <w:spacing w:after="0" w:line="288" w:lineRule="auto"/>
        <w:tabs>
          <w:tab w:leader="none" w:pos="1168"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t>Series B-1 Preferred Stock</w:t>
      </w:r>
      <w:r>
        <w:rPr>
          <w:rFonts w:ascii="Arial" w:cs="Arial" w:eastAsia="Arial" w:hAnsi="Arial"/>
          <w:sz w:val="16"/>
          <w:szCs w:val="16"/>
          <w:color w:val="auto"/>
        </w:rPr>
        <w:t xml:space="preserve">. Prior and in preference to any declaration or payment of any dividends to the holders of shares of Series A-1 Preferred Stock, Series A Preferred Stock, Series B Preferred Stock, Common Stock, or any other class of capital stock of this corporation (other than dividends for holders of Series C-1 Preferred Stock pursuant to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which shall be paid first), the holders of shares of the Series B-1 Preferred Stock shall be entitled to receive cumulative dividends on each outstanding share of Series B-1 Preferred Stock, whether or not declared by the board of directors of this corporation,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out of any assets legally available therefor (payable other than in Common Stock or other securities and rights convertible into or entitling the holder thereof to receive, directly or indirectly, additional shares of Common Stock of this corporation), at the rate of eight percent (8%) of the applicable Original Issue Price (as defined herein) per share per annum. Such dividends shall accrue and be cumulative from the date of issuance of the shares of Series B-1 Preferred Stock, whether or not earned or declared by the board of directors of this corporation. With respect to accrued and unpaid dividends on shares of Series B-1 Preferred Stock issued and outstanding immediately prior to the Reverse Stock Split (“</w:t>
      </w:r>
      <w:r>
        <w:rPr>
          <w:rFonts w:ascii="Arial" w:cs="Arial" w:eastAsia="Arial" w:hAnsi="Arial"/>
          <w:sz w:val="16"/>
          <w:szCs w:val="16"/>
          <w:u w:val="single" w:color="auto"/>
          <w:color w:val="auto"/>
        </w:rPr>
        <w:t>Pre-Split Series B-1</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pursuant to the Reverse Stock Split such accrued and unpaid dividends on the Pre-Split Series B-1</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0" w:right="299" w:bottom="1440" w:gutter="0" w:footer="0" w:header="0"/>
        </w:sectPr>
      </w:pPr>
    </w:p>
    <w:bookmarkStart w:id="232" w:name="page233"/>
    <w:bookmarkEnd w:id="232"/>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shall be allocated to the shares of Series B-1 Preferred Stock into which such Pre-Split Series B-1 Shares were changed, reclassified and combined into as a result of the Reverse Stock Split. In the event that the board of directors of this corporation declares a dividend, the amount of which is insufficient to permit payment of the full aforesaid dividends, such dividends will be paid ratably to each holder in proportion to the dividend amounts to which each holder of Series B-1 Preferred Stock is entitled. Any dividend payment made on shares of Series B-1 Preferred Stock shall first be credited against the dividends accumulated with respect to the earliest dividend period for which dividends have not been paid.</w:t>
      </w:r>
    </w:p>
    <w:p>
      <w:pPr>
        <w:spacing w:after="0" w:line="173" w:lineRule="exact"/>
        <w:rPr>
          <w:sz w:val="20"/>
          <w:szCs w:val="20"/>
          <w:color w:val="auto"/>
        </w:rPr>
      </w:pPr>
    </w:p>
    <w:p>
      <w:pPr>
        <w:ind w:firstLine="921"/>
        <w:spacing w:after="0" w:line="286" w:lineRule="auto"/>
        <w:tabs>
          <w:tab w:leader="none" w:pos="1157"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Series A-1 Preferred Stock</w:t>
      </w:r>
      <w:r>
        <w:rPr>
          <w:rFonts w:ascii="Arial" w:cs="Arial" w:eastAsia="Arial" w:hAnsi="Arial"/>
          <w:sz w:val="16"/>
          <w:szCs w:val="16"/>
          <w:color w:val="auto"/>
        </w:rPr>
        <w:t xml:space="preserve">. Prior and in preference to any declaration or payment of any dividends to the holders of shares of Series A Preferred Stock, Series B Preferred Stock, Common Stock, or any other class of capital stock of this corporation (other than dividends for holders of Series C-1 Preferred Stock and Series B-1 Preferred Stock pursuant to </w:t>
      </w:r>
      <w:r>
        <w:rPr>
          <w:rFonts w:ascii="Arial" w:cs="Arial" w:eastAsia="Arial" w:hAnsi="Arial"/>
          <w:sz w:val="16"/>
          <w:szCs w:val="16"/>
          <w:u w:val="single" w:color="auto"/>
          <w:color w:val="auto"/>
        </w:rPr>
        <w:t>Sections 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1(b)</w:t>
      </w:r>
      <w:r>
        <w:rPr>
          <w:rFonts w:ascii="Arial" w:cs="Arial" w:eastAsia="Arial" w:hAnsi="Arial"/>
          <w:sz w:val="16"/>
          <w:szCs w:val="16"/>
          <w:color w:val="auto"/>
        </w:rPr>
        <w:t xml:space="preserve">, respectively, which shall be paid first), the holders of shares of the Series A-1 Preferred Stock shall be entitled to receive cumulative dividends on each outstanding share of Series A-1 Preferred Stock, whether or not declared by the board of directors of this corporation,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out of any assets legally available therefor (payable other than in Common Stock or other securities and rights convertible into or entitling the holder thereof to receive, directly or indirectly, additional shares of Common Stock of this corporation), at the rate of eight percent (8%) of the applicable Original Issue Price (as defined herein) per share per annum. Such dividends shall accrue and be cumulative from the date of issuance of the shares of Series A-1 Preferred Stock, whether or not earned or declared by the board of directors of this corporation. With respect to accrued and unpaid dividends on shares of Series A-1 Preferred Stock issued and outstanding immediately prior to the Reverse Stock Split (“</w:t>
      </w:r>
      <w:r>
        <w:rPr>
          <w:rFonts w:ascii="Arial" w:cs="Arial" w:eastAsia="Arial" w:hAnsi="Arial"/>
          <w:sz w:val="16"/>
          <w:szCs w:val="16"/>
          <w:u w:val="single" w:color="auto"/>
          <w:color w:val="auto"/>
        </w:rPr>
        <w:t>Pre-Split Series A-1 Shares</w:t>
      </w:r>
      <w:r>
        <w:rPr>
          <w:rFonts w:ascii="Arial" w:cs="Arial" w:eastAsia="Arial" w:hAnsi="Arial"/>
          <w:sz w:val="16"/>
          <w:szCs w:val="16"/>
          <w:color w:val="auto"/>
        </w:rPr>
        <w:t>”), pursuant to the Reverse Stock Split such accrued and unpaid dividends on the Pre-Split Series A-1 Shares shall be allocated to the shares of Series A-1 Preferred Stock into which such Pre-Split Series A-1 Shares were changed, reclassified and combined into as a result of the Reverse Stock Split. In the event that the board of directors of this corporation declares a dividend, the amount of which is insufficient to permit payment of the full aforesaid dividends, such dividends will be paid ratably to each holder in proportion to the dividend amounts to which each holder of Series A-1 Preferred Stock is entitled. Any dividend payment made on shares of Series A-1 Preferred Stock shall first be credited against the dividends accumulated with respect to the earliest dividend period for which dividends have not been paid.</w:t>
      </w:r>
    </w:p>
    <w:p>
      <w:pPr>
        <w:spacing w:after="0" w:line="168" w:lineRule="exact"/>
        <w:rPr>
          <w:rFonts w:ascii="Arial" w:cs="Arial" w:eastAsia="Arial" w:hAnsi="Arial"/>
          <w:sz w:val="16"/>
          <w:szCs w:val="16"/>
          <w:color w:val="auto"/>
        </w:rPr>
      </w:pPr>
    </w:p>
    <w:p>
      <w:pPr>
        <w:ind w:right="40" w:firstLine="921"/>
        <w:spacing w:after="0" w:line="290" w:lineRule="auto"/>
        <w:tabs>
          <w:tab w:leader="none" w:pos="116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This corporation shall not declare, pay or set aside any dividends on shares of any other class or series of capital stock of this corporation (other than dividends on shares of Common Stock payable in shares of Common Stock) unless (in addition to the obtaining of any consents required elsewhere in this Fourteenth Amended and Restated Certificate of Incorporation) the holders of shares of Series A-1 Preferred Stock, Series B-1 Preferred Stock and Series C-1 Preferred Stock (together, the “</w:t>
      </w:r>
      <w:r>
        <w:rPr>
          <w:rFonts w:ascii="Arial" w:cs="Arial" w:eastAsia="Arial" w:hAnsi="Arial"/>
          <w:sz w:val="16"/>
          <w:szCs w:val="16"/>
          <w:u w:val="single" w:color="auto"/>
          <w:color w:val="auto"/>
        </w:rPr>
        <w:t>Prime Preferred Stock</w:t>
      </w:r>
      <w:r>
        <w:rPr>
          <w:rFonts w:ascii="Arial" w:cs="Arial" w:eastAsia="Arial" w:hAnsi="Arial"/>
          <w:sz w:val="16"/>
          <w:szCs w:val="16"/>
          <w:color w:val="auto"/>
        </w:rPr>
        <w:t>”) then outstanding shall first receive, or simultaneously receive, a dividend on each outstanding share of Prime Preferred Stock in an amount at least equal to the product of (i) the dividend payable on each share of such class or series determined, if applicable, as if all shares of such class or series had been converted into Common Stock and (ii) the number of shares of Common Stock issuable upon conversion of a share of the applicable Prime Preferred Stock, in each case calculated on the record date for determination of holders entitled to receive such dividend. The “</w:t>
      </w:r>
      <w:r>
        <w:rPr>
          <w:rFonts w:ascii="Arial" w:cs="Arial" w:eastAsia="Arial" w:hAnsi="Arial"/>
          <w:sz w:val="16"/>
          <w:szCs w:val="16"/>
          <w:u w:val="single" w:color="auto"/>
          <w:color w:val="auto"/>
        </w:rPr>
        <w:t>Original Issue Price</w:t>
      </w:r>
      <w:r>
        <w:rPr>
          <w:rFonts w:ascii="Arial" w:cs="Arial" w:eastAsia="Arial" w:hAnsi="Arial"/>
          <w:sz w:val="16"/>
          <w:szCs w:val="16"/>
          <w:color w:val="auto"/>
        </w:rPr>
        <w:t>” of each series of the Preferred Stock shall be Thirteen Dollars and Nine Thousand Nine Hundred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33" w:name="page234"/>
    <w:bookmarkEnd w:id="23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Thirteen Ten-Thousandths of a Cent ($13.9913) per share (as adjusted for stock splits, stock dividends, recapitalization and similar events occurring after the effective time of the Reverse Stock Split).</w:t>
      </w:r>
    </w:p>
    <w:p>
      <w:pPr>
        <w:spacing w:after="0" w:line="170" w:lineRule="exact"/>
        <w:rPr>
          <w:sz w:val="20"/>
          <w:szCs w:val="20"/>
          <w:color w:val="auto"/>
        </w:rPr>
      </w:pPr>
    </w:p>
    <w:p>
      <w:pPr>
        <w:ind w:left="640" w:hanging="176"/>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Preferred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69" w:lineRule="auto"/>
        <w:tabs>
          <w:tab w:leader="none" w:pos="1698"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In the event of any Liquidating Transaction (as defined below), either voluntarily or involuntarily, the holders of Series C-1 Preferred Stock shall be entitled to receive, prior and in preference to any distribution of any of the assets or surplus funds of this corporation (or distribution of consideration in connection with a Liquidating Transaction) to the holders of Series A-1 Preferred Stock, Series A Preferred Stock, Series B-1 Preferred Stock, Series B Preferred Stock and Common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 amount equal to 1.75 multiplied by the applicable Original Issue Price per share for each share of Series C-1 Preferred Stock then so held, plus a further amount equal to any accrued but unpaid dividends on such shares. All of the preferential amounts to be paid to the holders of the Series C-1 Preferred Stock under this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A-1 Preferred Stock Series A Preferred Stock, Series B-1 Preferred Stock, Series B Preferred Stock or Common Stock in connection with such Liquidating Transaction. If, upon such Liquidating Transaction the assets of this corporation are insufficient to provide for the cash payment of the full aforesaid preferential amounts to the holders of the Series C-1 Preferred Stock, such assets as are available shall be distributed ratably among the holders of the Series C-1 Preferred Stock in proportion to the full preferential amount each such holder is otherwise entitled to receive.</w:t>
      </w:r>
    </w:p>
    <w:p>
      <w:pPr>
        <w:spacing w:after="0" w:line="182" w:lineRule="exact"/>
        <w:rPr>
          <w:rFonts w:ascii="Arial" w:cs="Arial" w:eastAsia="Arial" w:hAnsi="Arial"/>
          <w:sz w:val="17"/>
          <w:szCs w:val="17"/>
          <w:color w:val="auto"/>
        </w:rPr>
      </w:pPr>
    </w:p>
    <w:p>
      <w:pPr>
        <w:ind w:right="40" w:firstLine="1492"/>
        <w:spacing w:after="0" w:line="269" w:lineRule="auto"/>
        <w:tabs>
          <w:tab w:leader="none" w:pos="1748" w:val="left"/>
        </w:tabs>
        <w:numPr>
          <w:ilvl w:val="2"/>
          <w:numId w:val="128"/>
        </w:numPr>
        <w:rPr>
          <w:rFonts w:ascii="Arial" w:cs="Arial" w:eastAsia="Arial" w:hAnsi="Arial"/>
          <w:sz w:val="17"/>
          <w:szCs w:val="17"/>
          <w:color w:val="auto"/>
        </w:rPr>
      </w:pPr>
      <w:r>
        <w:rPr>
          <w:rFonts w:ascii="Arial" w:cs="Arial" w:eastAsia="Arial" w:hAnsi="Arial"/>
          <w:sz w:val="17"/>
          <w:szCs w:val="17"/>
          <w:color w:val="auto"/>
        </w:rPr>
        <w:t xml:space="preserve">After payment has been made to the holders of the Series C-1 Preferred Stock of the full amounts to which they are entitled as provided in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above, the remaining assets of this corporation available for distribution to the stockholders shall be distributed pro rata among the holders of Series B-1 Preferred Stock, prior and in preference to any distribution of any of the assets or surplus funds of this corporation (or distribution of consideration in connection with a Liquidating Transaction) to the holders of Series A-1 Preferred Stock, Series A Preferred Stock, Series B Preferred Stock and Common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 amount equal to 1.75 multiplied by the applicable Original Issue Price per share for each share of Series B-1 Preferred Stock then so held, plus a further amount equal to any accrued but unpaid dividends on such shares. All of the preferential amounts to be paid to the holders of the Series B-1 Preferred Stock under this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A-1 Preferred Stock, Series A Preferred Stock, Series B Preferred Stock or Common Stock in connection with such Liquidating Transaction. If, upon such Liquidating Transaction the assets of this corporation are insufficient to provide for the cash payment of the full aforesaid preferential amounts to the holders of the Series B-1 Preferred Stock, such assets as are available shall be distributed ratably among the holders of the Series B-1 Preferred Stock in proportion to the full preferential amount each such holder is otherwise entitled to receive.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34" w:name="page235"/>
    <w:bookmarkEnd w:id="234"/>
    <w:p>
      <w:pPr>
        <w:ind w:left="-40" w:firstLine="1492"/>
        <w:spacing w:after="0" w:line="269" w:lineRule="auto"/>
        <w:tabs>
          <w:tab w:leader="none" w:pos="17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payment has been made to the holders of the Series C-1 Preferred Stock and Series B-1 Preferred Stock of the full amounts to which they are entitled as provided in </w:t>
      </w:r>
      <w:r>
        <w:rPr>
          <w:rFonts w:ascii="Arial" w:cs="Arial" w:eastAsia="Arial" w:hAnsi="Arial"/>
          <w:sz w:val="17"/>
          <w:szCs w:val="17"/>
          <w:u w:val="single" w:color="auto"/>
          <w:color w:val="auto"/>
        </w:rPr>
        <w:t>Sections 2(a)(i)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2(a)(ii)</w:t>
      </w:r>
      <w:r>
        <w:rPr>
          <w:rFonts w:ascii="Arial" w:cs="Arial" w:eastAsia="Arial" w:hAnsi="Arial"/>
          <w:sz w:val="17"/>
          <w:szCs w:val="17"/>
          <w:color w:val="auto"/>
        </w:rPr>
        <w:t xml:space="preserve"> above, respectively, the remaining assets of this corporation available for distribution to the stockholders shall be distributed pro rata among the holders of Series A-1 Preferred Stock, prior and in preference to any distribution of any of the assets or surplus funds of this corporation (or distribution of consideration in connection with a Liquidating Transaction) to the holders of Series A Preferred Stock, Series B Preferred Stock and Common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 amount equal to the applicable Original Issue Price per share for each share of Series A-1 Preferred Stock then so held, plus a further amount equal to any accrued but unpaid dividends on such shares. All of the preferential amounts to be paid to the holders of the Series A-1 Preferred Stock under this </w:t>
      </w:r>
      <w:r>
        <w:rPr>
          <w:rFonts w:ascii="Arial" w:cs="Arial" w:eastAsia="Arial" w:hAnsi="Arial"/>
          <w:sz w:val="17"/>
          <w:szCs w:val="17"/>
          <w:u w:val="single" w:color="auto"/>
          <w:color w:val="auto"/>
        </w:rPr>
        <w:t>Section 2(a)(iii)</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 Preferred Stock, Series B Preferred Stock or Common Stock in connection with such Liquidating Transaction. If, upon such Liquidating Transaction the assets of this corporation are insufficient to provide for the cash payment of the full aforesaid preferential amounts to the holders of the Series A-1 Preferred Stock, such assets as are available shall be distributed ratably among the holders of the Series A-1 Preferred Stock in proportion to the full preferential amount each such holder is otherwise entitled to receive.</w:t>
      </w:r>
    </w:p>
    <w:p>
      <w:pPr>
        <w:spacing w:after="0" w:line="179" w:lineRule="exact"/>
        <w:rPr>
          <w:rFonts w:ascii="Arial" w:cs="Arial" w:eastAsia="Arial" w:hAnsi="Arial"/>
          <w:sz w:val="17"/>
          <w:szCs w:val="17"/>
          <w:color w:val="auto"/>
        </w:rPr>
      </w:pPr>
    </w:p>
    <w:p>
      <w:pPr>
        <w:ind w:left="-40" w:right="60" w:firstLine="1492"/>
        <w:spacing w:after="0" w:line="268" w:lineRule="auto"/>
        <w:tabs>
          <w:tab w:leader="none" w:pos="174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After payment has been made to the holders of the Prime Preferred Stock of the full amounts to which they are entitled as provided in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2(a)(iii)</w:t>
      </w:r>
      <w:r>
        <w:rPr>
          <w:rFonts w:ascii="Arial" w:cs="Arial" w:eastAsia="Arial" w:hAnsi="Arial"/>
          <w:sz w:val="17"/>
          <w:szCs w:val="17"/>
          <w:color w:val="auto"/>
        </w:rPr>
        <w:t xml:space="preserve"> above, the remaining assets of this corporation available for distribution to the stockholders shall be distributed pro rata among the holders of Series B Preferred Stock, prior and in preference to any distribution of any of the assets or surplus funds of this corporation (or distribution of consideration in connection with a Liquidating Transaction) to the holders of Series A Preferred Stock and Common Stock, in an amount equal to seventy-five percent (75%) of the applicable Original Issue Price per share for each share of Series B Preferred Stock then so held, plus a further amount equal to any dividends declared but unpaid on such shares. All of the preferential amounts to be paid to the holders of the Series B Preferred Stock under this </w:t>
      </w:r>
      <w:r>
        <w:rPr>
          <w:rFonts w:ascii="Arial" w:cs="Arial" w:eastAsia="Arial" w:hAnsi="Arial"/>
          <w:sz w:val="17"/>
          <w:szCs w:val="17"/>
          <w:u w:val="single" w:color="auto"/>
          <w:color w:val="auto"/>
        </w:rPr>
        <w:t>Section 2(a)(iv)</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 Preferred Stock and Common Stock in connection with such Liquidating Transaction. If, upon such Liquidating Transaction the assets of this corporation are insufficient to provide for the cash payment of the full aforesaid preferential amounts to the holders of the Series B Preferred Stock, such assets as are available shall be distributed ratably among the holders of the Series B Preferred Stock in proportion to the full preferential amount each such holder is otherwise entitled to receive. For purposes of this </w:t>
      </w:r>
      <w:r>
        <w:rPr>
          <w:rFonts w:ascii="Arial" w:cs="Arial" w:eastAsia="Arial" w:hAnsi="Arial"/>
          <w:sz w:val="17"/>
          <w:szCs w:val="17"/>
          <w:u w:val="single" w:color="auto"/>
          <w:color w:val="auto"/>
        </w:rPr>
        <w:t>Section 2(a)(iv)</w:t>
      </w:r>
      <w:r>
        <w:rPr>
          <w:rFonts w:ascii="Arial" w:cs="Arial" w:eastAsia="Arial" w:hAnsi="Arial"/>
          <w:sz w:val="17"/>
          <w:szCs w:val="17"/>
          <w:color w:val="auto"/>
        </w:rPr>
        <w:t>, consideration placed in escrow or retained as a holdback to be available for satisfaction of indemnification or similar obligations in connection with such Liquidating Transaction shall be deemed to be Initial Consideration.</w:t>
      </w:r>
    </w:p>
    <w:p>
      <w:pPr>
        <w:spacing w:after="0" w:line="187" w:lineRule="exact"/>
        <w:rPr>
          <w:rFonts w:ascii="Arial" w:cs="Arial" w:eastAsia="Arial" w:hAnsi="Arial"/>
          <w:sz w:val="17"/>
          <w:szCs w:val="17"/>
          <w:color w:val="auto"/>
        </w:rPr>
      </w:pPr>
    </w:p>
    <w:p>
      <w:pPr>
        <w:ind w:left="-40" w:right="60" w:firstLine="1492"/>
        <w:spacing w:after="0" w:line="312" w:lineRule="auto"/>
        <w:tabs>
          <w:tab w:leader="none" w:pos="169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After payment has been made to the holders of the Preferred Stock of the full amounts to which they are entitled as provided in </w:t>
      </w:r>
      <w:r>
        <w:rPr>
          <w:rFonts w:ascii="Arial" w:cs="Arial" w:eastAsia="Arial" w:hAnsi="Arial"/>
          <w:sz w:val="16"/>
          <w:szCs w:val="16"/>
          <w:u w:val="single" w:color="auto"/>
          <w:color w:val="auto"/>
        </w:rPr>
        <w:t>Sections 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2(a)(ii)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2(a)(iv)</w:t>
      </w:r>
      <w:r>
        <w:rPr>
          <w:rFonts w:ascii="Arial" w:cs="Arial" w:eastAsia="Arial" w:hAnsi="Arial"/>
          <w:sz w:val="16"/>
          <w:szCs w:val="16"/>
          <w:color w:val="auto"/>
        </w:rPr>
        <w:t xml:space="preserve"> above, the remaining assets of this corporation available for distribution to the stockholders shall be distributed pro rata among the holders of Common Stock, Prime Preferred Stock and Series A Preferred Stock (on an as-converted to Common Stock basis).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4" w:right="279" w:bottom="1440" w:gutter="0" w:footer="0" w:header="0"/>
        </w:sectPr>
      </w:pPr>
    </w:p>
    <w:bookmarkStart w:id="235" w:name="page236"/>
    <w:bookmarkEnd w:id="235"/>
    <w:p>
      <w:pPr>
        <w:ind w:firstLine="1492"/>
        <w:spacing w:after="0" w:line="254" w:lineRule="auto"/>
        <w:tabs>
          <w:tab w:leader="none" w:pos="178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portion of the consideration payable to the stockholders of this corporation is placed into escrow and/or is payable to the stockholders of this corporation subject to contingencies, the agreement governing such transaction shall provide that (x) the portion of such consideration that is not placed in escrow and not subject to any contingencies (the “</w:t>
      </w:r>
      <w:r>
        <w:rPr>
          <w:rFonts w:ascii="Arial" w:cs="Arial" w:eastAsia="Arial" w:hAnsi="Arial"/>
          <w:sz w:val="18"/>
          <w:szCs w:val="18"/>
          <w:u w:val="single" w:color="auto"/>
          <w:color w:val="auto"/>
        </w:rPr>
        <w:t>Initial Consideration</w:t>
      </w:r>
      <w:r>
        <w:rPr>
          <w:rFonts w:ascii="Arial" w:cs="Arial" w:eastAsia="Arial" w:hAnsi="Arial"/>
          <w:sz w:val="18"/>
          <w:szCs w:val="18"/>
          <w:color w:val="auto"/>
        </w:rPr>
        <w:t xml:space="preserve">”) shall be allocated among the holders of capital stock of this corporation in accordance with the liquidation preference order as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if the Initial Consideration were the only consideration payable in connection with such Liquidating Transaction and (y) any additional consideration which becomes payable to the stockholders of this corporation upon release from escrow or satisfaction of contingencies shall be allocated among the holders of capital stock of this corporation in accordance with the liquidation preference order as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after taking into account the previous payment of the Initial Consideration as part of the same transaction.</w:t>
      </w:r>
    </w:p>
    <w:p>
      <w:pPr>
        <w:spacing w:after="0" w:line="19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w:t>
      </w:r>
      <w:r>
        <w:rPr>
          <w:rFonts w:ascii="Arial" w:cs="Arial" w:eastAsia="Arial" w:hAnsi="Arial"/>
          <w:sz w:val="17"/>
          <w:szCs w:val="17"/>
          <w:color w:val="auto"/>
        </w:rPr>
        <w:t>, a “</w:t>
      </w:r>
      <w:r>
        <w:rPr>
          <w:rFonts w:ascii="Arial" w:cs="Arial" w:eastAsia="Arial" w:hAnsi="Arial"/>
          <w:sz w:val="17"/>
          <w:szCs w:val="17"/>
          <w:u w:val="single" w:color="auto"/>
          <w:color w:val="auto"/>
        </w:rPr>
        <w:t>Liquidating Transaction</w:t>
      </w:r>
      <w:r>
        <w:rPr>
          <w:rFonts w:ascii="Arial" w:cs="Arial" w:eastAsia="Arial" w:hAnsi="Arial"/>
          <w:sz w:val="17"/>
          <w:szCs w:val="17"/>
          <w:color w:val="auto"/>
        </w:rPr>
        <w:t>” of this corporation shall mean a (i) liquidation, dissolution or winding-up of this corporation, (ii) sale, conveyance, license or other disposition of all or substantially all of the assets, property or business of this corporation, or, (iii) merger or consolidation with or into any other corporation if, as a result of such merger or consolidation, the holders of the Common Stock and Preferred Stock prior to such merger or consolidation do not hold at least fifty percent (50%) of the combined voting power of the surviving corporation.</w:t>
      </w:r>
    </w:p>
    <w:p>
      <w:pPr>
        <w:spacing w:after="0" w:line="171" w:lineRule="exact"/>
        <w:rPr>
          <w:sz w:val="20"/>
          <w:szCs w:val="20"/>
          <w:color w:val="auto"/>
        </w:rPr>
      </w:pPr>
    </w:p>
    <w:p>
      <w:pPr>
        <w:ind w:right="140" w:firstLine="921"/>
        <w:spacing w:after="0" w:line="284" w:lineRule="auto"/>
        <w:tabs>
          <w:tab w:leader="none" w:pos="1168"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Notice of Liquidating Transaction</w:t>
      </w:r>
      <w:r>
        <w:rPr>
          <w:rFonts w:ascii="Arial" w:cs="Arial" w:eastAsia="Arial" w:hAnsi="Arial"/>
          <w:sz w:val="16"/>
          <w:szCs w:val="16"/>
          <w:color w:val="auto"/>
        </w:rPr>
        <w:t xml:space="preserve">. This corporation shall give each holder of record of Preferred Stock written notice of any impending Liquidating Transaction not later than ten (10) days prior to the stockholders’ meeting called to approve such Liquidating Transaction, or ten (10) days prior to the closing of such Liquidating Transaction, whichever is earlier, and shall also notify such holders in writing of the final approval of such Liquidating Transaction. The first of such notices shall describe the material terms and conditions of the impending Liquidating Transaction and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and this corporation shall thereafter give such holders prompt notice of any material changes. Unless such notice requirements are waived, the Liquidating Transaction shall not take place sooner than ten (10) days after this corporation has given the first notice provided for herein or sooner than ten</w:t>
      </w:r>
    </w:p>
    <w:p>
      <w:pPr>
        <w:spacing w:after="0" w:line="4" w:lineRule="exact"/>
        <w:rPr>
          <w:rFonts w:ascii="Arial" w:cs="Arial" w:eastAsia="Arial" w:hAnsi="Arial"/>
          <w:sz w:val="16"/>
          <w:szCs w:val="16"/>
          <w:color w:val="auto"/>
        </w:rPr>
      </w:pPr>
    </w:p>
    <w:p>
      <w:pPr>
        <w:jc w:val="both"/>
        <w:ind w:right="200" w:firstLine="8"/>
        <w:spacing w:after="0" w:line="273" w:lineRule="auto"/>
        <w:tabs>
          <w:tab w:leader="none" w:pos="34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days after this corporation has given notice of any material changes provided for herein. Notwithstanding the other provisions of this Fourteenth Amended and Restated Certificate of Incorporation, all notice periods or requirements in this Certificate of Incorporation applicable to the holders of Preferred Stock may be shortened or waived, either before or after the action for which notice is required, upon the written consent of the holders of at least sixty percent (60%) of the voting power of the outstanding shares of Preferred Stock that are entitled to such notice rights.</w:t>
      </w:r>
    </w:p>
    <w:p>
      <w:pPr>
        <w:spacing w:after="0" w:line="176" w:lineRule="exact"/>
        <w:rPr>
          <w:rFonts w:ascii="Arial" w:cs="Arial" w:eastAsia="Arial" w:hAnsi="Arial"/>
          <w:sz w:val="17"/>
          <w:szCs w:val="17"/>
          <w:color w:val="auto"/>
        </w:rPr>
      </w:pPr>
    </w:p>
    <w:p>
      <w:pPr>
        <w:ind w:right="100" w:firstLine="921"/>
        <w:spacing w:after="0" w:line="276" w:lineRule="auto"/>
        <w:tabs>
          <w:tab w:leader="none" w:pos="1157" w:val="left"/>
        </w:tabs>
        <w:numPr>
          <w:ilvl w:val="1"/>
          <w:numId w:val="132"/>
        </w:numPr>
        <w:rPr>
          <w:rFonts w:ascii="Arial" w:cs="Arial" w:eastAsia="Arial" w:hAnsi="Arial"/>
          <w:sz w:val="17"/>
          <w:szCs w:val="17"/>
          <w:color w:val="auto"/>
        </w:rPr>
      </w:pPr>
      <w:r>
        <w:rPr>
          <w:rFonts w:ascii="Arial" w:cs="Arial" w:eastAsia="Arial" w:hAnsi="Arial"/>
          <w:sz w:val="17"/>
          <w:szCs w:val="17"/>
          <w:u w:val="single" w:color="auto"/>
          <w:color w:val="auto"/>
        </w:rPr>
        <w:t>Consent for Certain Repurchases</w:t>
      </w:r>
      <w:r>
        <w:rPr>
          <w:rFonts w:ascii="Arial" w:cs="Arial" w:eastAsia="Arial" w:hAnsi="Arial"/>
          <w:sz w:val="17"/>
          <w:szCs w:val="17"/>
          <w:color w:val="auto"/>
        </w:rPr>
        <w:t>. Each holder of an outstanding share of Preferred Stock shall be deemed to have consented, for purposes of Section 160 of the General Corporation Law of the State of Delaware (and, if applicable, Sections 502, 503 and 506 of the California Corporations Code), to distributions made by this corporation in connection with the repurchase of shares of Common Stock issued to or held by employees or consultants upon termination of their employment or services pursuant to agreements providing for the right of said repurchase between this corporation and such persons but only to the extent each distribution equals the original purchase price of such shares being repurchased.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36" w:name="page237"/>
    <w:bookmarkEnd w:id="236"/>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5" w:lineRule="auto"/>
        <w:tabs>
          <w:tab w:leader="none" w:pos="115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Prime Preferred Stock, voting together as a separate class, shall be entitled to elect four (4) members of the board of directors (the “</w:t>
      </w:r>
      <w:r>
        <w:rPr>
          <w:rFonts w:ascii="Arial" w:cs="Arial" w:eastAsia="Arial" w:hAnsi="Arial"/>
          <w:sz w:val="16"/>
          <w:szCs w:val="16"/>
          <w:u w:val="single" w:color="auto"/>
          <w:color w:val="auto"/>
        </w:rPr>
        <w:t>Prime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xml:space="preserve">”); the Series C-1 Preferred Stock, voting as a separate class, shall be entitled to elect one (1) member of the board of directors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C-1 Director</w:t>
      </w:r>
      <w:r>
        <w:rPr>
          <w:rFonts w:ascii="Arial" w:cs="Arial" w:eastAsia="Arial" w:hAnsi="Arial"/>
          <w:sz w:val="16"/>
          <w:szCs w:val="16"/>
          <w:color w:val="auto"/>
        </w:rPr>
        <w:t>” and together with the Prime Preferred Directors,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the Common Stock, voting as a separate class, shall be entitled to elect two (2) members of the board of directors (the “</w:t>
      </w:r>
      <w:r>
        <w:rPr>
          <w:rFonts w:ascii="Arial" w:cs="Arial" w:eastAsia="Arial" w:hAnsi="Arial"/>
          <w:sz w:val="16"/>
          <w:szCs w:val="16"/>
          <w:u w:val="single" w:color="auto"/>
          <w:color w:val="auto"/>
        </w:rPr>
        <w:t>Common Directors</w:t>
      </w:r>
      <w:r>
        <w:rPr>
          <w:rFonts w:ascii="Arial" w:cs="Arial" w:eastAsia="Arial" w:hAnsi="Arial"/>
          <w:sz w:val="16"/>
          <w:szCs w:val="16"/>
          <w:color w:val="auto"/>
        </w:rPr>
        <w:t>”); the holders of a majority of the Common Stock and the Preferred Stock, voting as a single class on an as converted basis, shall be entitled to elect two (2) members (the “</w:t>
      </w:r>
      <w:r>
        <w:rPr>
          <w:rFonts w:ascii="Arial" w:cs="Arial" w:eastAsia="Arial" w:hAnsi="Arial"/>
          <w:sz w:val="16"/>
          <w:szCs w:val="16"/>
          <w:u w:val="single" w:color="auto"/>
          <w:color w:val="auto"/>
        </w:rPr>
        <w:t>Independent Directors</w:t>
      </w:r>
      <w:r>
        <w:rPr>
          <w:rFonts w:ascii="Arial" w:cs="Arial" w:eastAsia="Arial" w:hAnsi="Arial"/>
          <w:sz w:val="16"/>
          <w:szCs w:val="16"/>
          <w:color w:val="auto"/>
        </w:rPr>
        <w:t>”); and the holders of at least sixty percent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(60%) of the Common Stock and the Preferred Stock, voting as a single class on an as converted basis, shall be entitled to elect any additional directors.</w:t>
      </w:r>
    </w:p>
    <w:p>
      <w:pPr>
        <w:spacing w:after="0" w:line="233" w:lineRule="exact"/>
        <w:rPr>
          <w:rFonts w:ascii="Arial" w:cs="Arial" w:eastAsia="Arial" w:hAnsi="Arial"/>
          <w:sz w:val="16"/>
          <w:szCs w:val="16"/>
          <w:color w:val="auto"/>
        </w:rPr>
      </w:pPr>
    </w:p>
    <w:p>
      <w:pPr>
        <w:ind w:right="40" w:firstLine="921"/>
        <w:spacing w:after="0" w:line="287" w:lineRule="auto"/>
        <w:tabs>
          <w:tab w:leader="none" w:pos="116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 xml:space="preserve">On all other matters, except as specifically provided herein or as otherwise required by law, holders of the Preferred Stock shall have full voting rights and powers equal to the voting rights and powers of the holders of Common Stock, and shall be entitled to vote, together with the holders of Common Stock, with respect to any matters upon which holders of Common Stock have the right to vote. Except as otherwise provided herein, the holder of each share of Common Stock issued and outstanding shall have one vote and the holder of each share of Preferred Stock shall be entitled to the number of votes equal to the largest number of shares of Common Stock into which such share of Preferred Stock could be converted at the record date for determination of the stockholders entitled to vote on such matters, or, if no such record date is established, at the date such vote is taken or any written consent of stockholders is solicited, such votes to be counted together with all other shares of stock of this corporation having general voting power and not separately as a class. For purposes of this </w:t>
      </w:r>
      <w:r>
        <w:rPr>
          <w:rFonts w:ascii="Arial" w:cs="Arial" w:eastAsia="Arial" w:hAnsi="Arial"/>
          <w:sz w:val="16"/>
          <w:szCs w:val="16"/>
          <w:u w:val="single" w:color="auto"/>
          <w:color w:val="auto"/>
        </w:rPr>
        <w:t>Section 3</w:t>
      </w:r>
      <w:r>
        <w:rPr>
          <w:rFonts w:ascii="Arial" w:cs="Arial" w:eastAsia="Arial" w:hAnsi="Arial"/>
          <w:sz w:val="16"/>
          <w:szCs w:val="16"/>
          <w:color w:val="auto"/>
        </w:rPr>
        <w:t>, the “voting power of the shares of Preferred Stock” shall mean the number of votes equal to the number of shares of Common Stock into which such shares of Preferred Stock could be converted at the dates provided in the preceding sentence. Fractional votes by the holders of Preferred Stock shall not, however, be permitted and any fractional voting rights shall (after aggregating all shares into which shares of Preferred Stock held by each holder could be converted) be rounded to the nearest whole number.</w:t>
      </w:r>
    </w:p>
    <w:p>
      <w:pPr>
        <w:spacing w:after="0" w:line="172" w:lineRule="exact"/>
        <w:rPr>
          <w:rFonts w:ascii="Arial" w:cs="Arial" w:eastAsia="Arial" w:hAnsi="Arial"/>
          <w:sz w:val="16"/>
          <w:szCs w:val="16"/>
          <w:color w:val="auto"/>
        </w:rPr>
      </w:pPr>
    </w:p>
    <w:p>
      <w:pPr>
        <w:ind w:left="640" w:hanging="176"/>
        <w:spacing w:after="0"/>
        <w:tabs>
          <w:tab w:leader="none" w:pos="64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71" w:lineRule="auto"/>
        <w:tabs>
          <w:tab w:leader="none" w:pos="1157"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Right to Convert</w:t>
      </w:r>
      <w:r>
        <w:rPr>
          <w:rFonts w:ascii="Arial" w:cs="Arial" w:eastAsia="Arial" w:hAnsi="Arial"/>
          <w:sz w:val="17"/>
          <w:szCs w:val="17"/>
          <w:color w:val="auto"/>
        </w:rPr>
        <w:t>. Each share of Preferred Stock shall be convertible into shares of Common Stock without the payment of any additional consideration by the holder thereof and, at the option of the holder thereof, at any time after the date of issuance of such share, at the office of this corporation or any transfer agent for the Preferred Stock and shall be convertible into the number of fully paid and nonassessable shares of Common Stock which results from dividing the per share Conversion Value (as hereinafter defined) of each series of Preferred Stock at the time of conversion by the Conversion Price (as hereinafter defined) per share in effect for such series. The initial per share Conversion Price of the Series A Preferred Stock shall be Sixty-Nine Dollars and Nine Thousand Five Hundred Sixty-Three Ten-Thousandths of a Cent ($69.9563). The per share Conversion Value of the Series A Preferred Stock shall be Thirteen Dollars and Nine Thousand Nine Hundred Thirteen Ten-Thousandths of a Cent ($13.9913) (as adjusted for stock splits, stock dividends, recapitalization and similar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37" w:name="page238"/>
    <w:bookmarkEnd w:id="23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events relating to the Series A Preferred Stock occurring after the effective time of the Reverse Stock Split). The initial per share Conversion Price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Series A-1 Preferred Stock shall be Thirteen Dollars and Nine Thousand Nine Hundred Thirteen Ten-Thousandths of a Cent ($13.9913). The per share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Conversion Value of the Series A-1 Preferred Stock shall be Thirteen Dollars and Nine Thousand Nine Hundred Thirteen Ten-Thousandths of a Cent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($13.9913) (as adjusted for stock splits, stock dividends, recapitalization and similar events relating to the Series A-1 Preferred Stock occurring after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time of the Reverse Stock Split). The initial per share Conversion Price of the Series B Preferred Stock shall be Thirteen Dollars and Nine Thousand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Hundred Thirteen Ten-Thousandths of a Cent ($13.9913). The per share Conversion Value of the Series B Preferred Stock shall be Thirteen Dollars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Nine Thousand Nine Hundred Thirteen Ten-Thousandths of a Cent ($13.9913) (as adjusted for stock splits, stock dividends, recapitalization and similar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events relating to the Series B Preferred Stock occurring after the effective time of the Reverse Stock Split). The initial per share Conversion Price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B-1 Preferred Stock shall be Thirteen Dollars and Nine Thousand Nine Hundred Thirteen Ten-Thousandths of a Cent ($13.9913). The per share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Conversion Value of the Series B-1 Preferred Stock shall be Thirteen Dollars and Nine Thousand Nine Hundred Thirteen Ten-Thousandths of a Cent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($13.9913) (as adjusted for stock splits, stock dividends, recapitalization and similar events relating to the Series B-1 Preferred Stock occurring after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effective time of the Reverse Stock Split). The initial per share Conversion Price of the Series C-1 Preferred Stock shall be Thirteen Dollars and Nine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Thousand Nine Hundred Thirteen Ten-Thousandths of a Cent ($13.9913). The per share Conversion Value of the Series C-1 Preferred Stock shall be Thirteen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Dollars and Nine Thousand Nine Hundred Thirteen Ten-Thousandths of a Cent ($13.9913) (as adjusted for stock splits, stock dividends, recapitalization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events relating to the Series C-1 Preferred Stock occurring after the effective time of the Reverse Stock Split). The initial Conversion Price of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series of Preferred Stock shall be subject to adjustment from time to time as provided below, subject to the terms of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hereof. The number of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into which a share of Preferred Stock is convertible is hereinafter referred to as the “</w:t>
      </w:r>
      <w:r>
        <w:rPr>
          <w:rFonts w:ascii="Arial" w:cs="Arial" w:eastAsia="Arial" w:hAnsi="Arial"/>
          <w:sz w:val="18"/>
          <w:szCs w:val="18"/>
          <w:u w:val="single" w:color="auto"/>
          <w:color w:val="auto"/>
        </w:rPr>
        <w:t>Conversion Rate</w:t>
      </w:r>
      <w:r>
        <w:rPr>
          <w:rFonts w:ascii="Arial" w:cs="Arial" w:eastAsia="Arial" w:hAnsi="Arial"/>
          <w:sz w:val="18"/>
          <w:szCs w:val="18"/>
          <w:color w:val="auto"/>
        </w:rPr>
        <w:t>” of such series.</w:t>
      </w:r>
    </w:p>
    <w:p>
      <w:pPr>
        <w:spacing w:after="0" w:line="211" w:lineRule="exact"/>
        <w:rPr>
          <w:sz w:val="20"/>
          <w:szCs w:val="20"/>
          <w:color w:val="auto"/>
        </w:rPr>
      </w:pPr>
    </w:p>
    <w:p>
      <w:pPr>
        <w:ind w:left="1180" w:hanging="259"/>
        <w:spacing w:after="0"/>
        <w:tabs>
          <w:tab w:leader="none" w:pos="118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90" w:lineRule="auto"/>
        <w:tabs>
          <w:tab w:leader="none" w:pos="169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Each share of Preferred Stock shall automatically be converted into share(s) of Common Stock at its then effective Conversion Rate of such series of Preferred Stock immediately upon the earlier of (A) the closing of the sale of this corporation’s Common Stock in an underwritten initial public offering registered under the Securities Act of 1933, as amended (“</w:t>
      </w:r>
      <w:r>
        <w:rPr>
          <w:rFonts w:ascii="Arial" w:cs="Arial" w:eastAsia="Arial" w:hAnsi="Arial"/>
          <w:sz w:val="16"/>
          <w:szCs w:val="16"/>
          <w:u w:val="single" w:color="auto"/>
          <w:color w:val="auto"/>
        </w:rPr>
        <w:t>Securities Act</w:t>
      </w:r>
      <w:r>
        <w:rPr>
          <w:rFonts w:ascii="Arial" w:cs="Arial" w:eastAsia="Arial" w:hAnsi="Arial"/>
          <w:sz w:val="16"/>
          <w:szCs w:val="16"/>
          <w:color w:val="auto"/>
        </w:rPr>
        <w:t xml:space="preserve">”) on the New York Stock Exchange, The NASDAQ Stock Market or another nationally recognized securities exchange, with aggregate offering proceeds to this corporation (before deduction for underwriters’ discounts and expenses relating to the issuance) of at least Thirty Million Dollars ($30,000,000) and a public offering price per share equal to at least $13.9913 (as adjusted for stock splits, stock dividends, recapitalization and similar events occurring after the effective time of the Reverse Stock Split), or (B) subject to the protective provisions of the Series C-1 Preferred Stock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other protective provisions set forth herein, at the election of the holders of at least sixty percent (60%) of the outstanding shares of the Prime Preferred Stock voting together as a separate class on an as-converted basis.</w:t>
      </w:r>
    </w:p>
    <w:p>
      <w:pPr>
        <w:spacing w:after="0" w:line="166" w:lineRule="exact"/>
        <w:rPr>
          <w:rFonts w:ascii="Arial" w:cs="Arial" w:eastAsia="Arial" w:hAnsi="Arial"/>
          <w:sz w:val="16"/>
          <w:szCs w:val="16"/>
          <w:color w:val="auto"/>
        </w:rPr>
      </w:pPr>
    </w:p>
    <w:p>
      <w:pPr>
        <w:ind w:right="320" w:firstLine="1492"/>
        <w:spacing w:after="0" w:line="277" w:lineRule="auto"/>
        <w:tabs>
          <w:tab w:leader="none" w:pos="1748" w:val="left"/>
        </w:tabs>
        <w:numPr>
          <w:ilvl w:val="1"/>
          <w:numId w:val="134"/>
        </w:numPr>
        <w:rPr>
          <w:rFonts w:ascii="Arial" w:cs="Arial" w:eastAsia="Arial" w:hAnsi="Arial"/>
          <w:sz w:val="18"/>
          <w:szCs w:val="18"/>
          <w:color w:val="auto"/>
        </w:rPr>
      </w:pPr>
      <w:r>
        <w:rPr>
          <w:rFonts w:ascii="Arial" w:cs="Arial" w:eastAsia="Arial" w:hAnsi="Arial"/>
          <w:sz w:val="18"/>
          <w:szCs w:val="18"/>
          <w:color w:val="auto"/>
        </w:rPr>
        <w:t xml:space="preserve">Subject to the protective provisions of the Series C-1 Preferred Stock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other protective provisions set forth herein, each share of Prime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38" w:name="page239"/>
    <w:bookmarkEnd w:id="238"/>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Preferred Stock shall automatically be converted into share(s) of Common Stock at its then effective Conversion Rate of such series of Prime Preferred Stock immediately upon the election of the holders of a majority of the outstanding shares of the Prime Preferred Stock voting as a separate class on an as-converted basis. Each share of Series A-1 Preferred Stock shall automatically be converted into share(s) of Common Stock at its then effective Conversion Rate of Series A-1 Preferred Stock immediately upon the election of the holders of a majority of the outstanding shares of the Series A-1 Preferred Stock. Each share of Series B-1 Preferred Stock shall automatically be converted into share(s) of Common Stock at its then effective Conversion Rate of Series B-1 Preferred Stock immediately upon the election of the holders of a majority of the outstanding shares of the Series B-1 Preferred Stock. Subject to the protective provisions of the Series C-1 Preferred Stock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each share of Series C-1 Preferred Stock shall automatically be converted into share(s) of Common Stock at its then effective Conversion Rate of Series C-1 Preferred Stock immediately upon the election of the holders of at least a majority of the outstanding shares of the Series C-1 Preferred Stock.</w:t>
      </w:r>
    </w:p>
    <w:p>
      <w:pPr>
        <w:spacing w:after="0" w:line="182" w:lineRule="exact"/>
        <w:rPr>
          <w:sz w:val="20"/>
          <w:szCs w:val="20"/>
          <w:color w:val="auto"/>
        </w:rPr>
      </w:pPr>
    </w:p>
    <w:p>
      <w:pPr>
        <w:ind w:firstLine="921"/>
        <w:spacing w:after="0" w:line="286" w:lineRule="auto"/>
        <w:tabs>
          <w:tab w:leader="none" w:pos="1157"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xml:space="preserve">. Before any holder of Preferred Stock shall be entitled to convert the same into shares of Common Stock, the holder shall surrender the certificate(s) therefor, duly endorsed, at the office of this corporation or of any transfer agent for the Preferred Stock and shall give written notice to this corporation at such office that the holder elects to convert the same (except that no such written notice of election to convert shall be necessary in the event of an automatic conversion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hereof). This corporation shall, as soon as practicable thereafter, issue and deliver at such office to such holder of Preferred Stock certificate(s) for the number of shares of Common Stock to which such holder shall be entitled as aforesaid. Such conversion shall be deemed to have been made immediately prior to the close of business on the date of such surrender of the shares of Preferred Stock to be converted (except that in the case of an automatic conversion pursuant to </w:t>
      </w:r>
      <w:r>
        <w:rPr>
          <w:rFonts w:ascii="Arial" w:cs="Arial" w:eastAsia="Arial" w:hAnsi="Arial"/>
          <w:sz w:val="16"/>
          <w:szCs w:val="16"/>
          <w:u w:val="single" w:color="auto"/>
          <w:color w:val="auto"/>
        </w:rPr>
        <w:t>Section 4(b)(i)(A)</w:t>
      </w:r>
      <w:r>
        <w:rPr>
          <w:rFonts w:ascii="Arial" w:cs="Arial" w:eastAsia="Arial" w:hAnsi="Arial"/>
          <w:sz w:val="16"/>
          <w:szCs w:val="16"/>
          <w:color w:val="auto"/>
        </w:rPr>
        <w:t xml:space="preserve"> hereof such conversion shall be deemed to have been made immediately prior to the closing of the offering referred to in </w:t>
      </w:r>
      <w:r>
        <w:rPr>
          <w:rFonts w:ascii="Arial" w:cs="Arial" w:eastAsia="Arial" w:hAnsi="Arial"/>
          <w:sz w:val="16"/>
          <w:szCs w:val="16"/>
          <w:u w:val="single" w:color="auto"/>
          <w:color w:val="auto"/>
        </w:rPr>
        <w:t>Section 4(b)(i)(A))</w:t>
      </w:r>
      <w:r>
        <w:rPr>
          <w:rFonts w:ascii="Arial" w:cs="Arial" w:eastAsia="Arial" w:hAnsi="Arial"/>
          <w:sz w:val="16"/>
          <w:szCs w:val="16"/>
          <w:color w:val="auto"/>
        </w:rPr>
        <w:t xml:space="preserve"> or in the case of an automatic conversion pursuant to </w:t>
      </w:r>
      <w:r>
        <w:rPr>
          <w:rFonts w:ascii="Arial" w:cs="Arial" w:eastAsia="Arial" w:hAnsi="Arial"/>
          <w:sz w:val="16"/>
          <w:szCs w:val="16"/>
          <w:u w:val="single" w:color="auto"/>
          <w:color w:val="auto"/>
        </w:rPr>
        <w:t>Section 4(b)(i)(B)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4(b)(ii)</w:t>
      </w:r>
      <w:r>
        <w:rPr>
          <w:rFonts w:ascii="Arial" w:cs="Arial" w:eastAsia="Arial" w:hAnsi="Arial"/>
          <w:sz w:val="16"/>
          <w:szCs w:val="16"/>
          <w:color w:val="auto"/>
        </w:rPr>
        <w:t xml:space="preserve"> hereof, immediately prior to the close of business on the date of the election referred to in </w:t>
      </w:r>
      <w:r>
        <w:rPr>
          <w:rFonts w:ascii="Arial" w:cs="Arial" w:eastAsia="Arial" w:hAnsi="Arial"/>
          <w:sz w:val="16"/>
          <w:szCs w:val="16"/>
          <w:u w:val="single" w:color="auto"/>
          <w:color w:val="auto"/>
        </w:rPr>
        <w:t>Section 4(b)(i)(B)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4(b)(ii)</w:t>
      </w:r>
      <w:r>
        <w:rPr>
          <w:rFonts w:ascii="Arial" w:cs="Arial" w:eastAsia="Arial" w:hAnsi="Arial"/>
          <w:sz w:val="16"/>
          <w:szCs w:val="16"/>
          <w:color w:val="auto"/>
        </w:rPr>
        <w:t>, as applicable, and the person or persons entitled to receive the shares of Common Stock issuable upon such conversion shall be treated for all purposes as the record holder or holders of such shares of Common Stock on such date. If the conversion is in connection with an underwritten public offering of securities registered pursuant to the Securities Act, the conversion may, at the option of any holder tendering such Preferred Stock for conversion, be conditioned upon the closing with the underwriters of the sale of securities pursuant to such offering, in which event any persons entitled to receive Common Stock upon conversion of such Preferred Stock shall not be deemed to have converted such Preferred Stock until immediately prior to the closing of such sale of securities.</w:t>
      </w:r>
    </w:p>
    <w:p>
      <w:pPr>
        <w:spacing w:after="0" w:line="171" w:lineRule="exact"/>
        <w:rPr>
          <w:rFonts w:ascii="Arial" w:cs="Arial" w:eastAsia="Arial" w:hAnsi="Arial"/>
          <w:sz w:val="16"/>
          <w:szCs w:val="16"/>
          <w:color w:val="auto"/>
        </w:rPr>
      </w:pPr>
    </w:p>
    <w:p>
      <w:pPr>
        <w:jc w:val="both"/>
        <w:ind w:right="240" w:firstLine="921"/>
        <w:spacing w:after="0" w:line="257" w:lineRule="auto"/>
        <w:tabs>
          <w:tab w:leader="none" w:pos="1168"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any fractional shares to which the holder of Preferred Stock would otherwise be entitled, this corporation shall pay cash equal to such fraction multiplied by the fair market value of one share of such series of Preferred Stock as determined by the board of directors of this corporation. Whether or not fractional shares are issuable upon such conversion shall be determined on the basis of the total number of shares of Preferred Stock of each holder at the time converting into Common Stock and the number of shares of Common Stock issuable upon such aggregate conversion.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239" w:name="page240"/>
    <w:bookmarkEnd w:id="239"/>
    <w:p>
      <w:pPr>
        <w:ind w:left="-60" w:right="100" w:firstLine="921"/>
        <w:spacing w:after="0" w:line="297" w:lineRule="auto"/>
        <w:tabs>
          <w:tab w:leader="none" w:pos="109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Conversion Price</w:t>
      </w:r>
      <w:r>
        <w:rPr>
          <w:rFonts w:ascii="Arial" w:cs="Arial" w:eastAsia="Arial" w:hAnsi="Arial"/>
          <w:sz w:val="16"/>
          <w:szCs w:val="16"/>
          <w:color w:val="auto"/>
        </w:rPr>
        <w:t>. The Conversion Price of the Series A Preferred Stock (“</w:t>
      </w:r>
      <w:r>
        <w:rPr>
          <w:rFonts w:ascii="Arial" w:cs="Arial" w:eastAsia="Arial" w:hAnsi="Arial"/>
          <w:sz w:val="16"/>
          <w:szCs w:val="16"/>
          <w:u w:val="single" w:color="auto"/>
          <w:color w:val="auto"/>
        </w:rPr>
        <w:t>Series A Conversion Price</w:t>
      </w:r>
      <w:r>
        <w:rPr>
          <w:rFonts w:ascii="Arial" w:cs="Arial" w:eastAsia="Arial" w:hAnsi="Arial"/>
          <w:sz w:val="16"/>
          <w:szCs w:val="16"/>
          <w:color w:val="auto"/>
        </w:rPr>
        <w:t>”), the Conversion Price of the Series A-1 Preferred Stock (“</w:t>
      </w:r>
      <w:r>
        <w:rPr>
          <w:rFonts w:ascii="Arial" w:cs="Arial" w:eastAsia="Arial" w:hAnsi="Arial"/>
          <w:sz w:val="16"/>
          <w:szCs w:val="16"/>
          <w:u w:val="single" w:color="auto"/>
          <w:color w:val="auto"/>
        </w:rPr>
        <w:t>Series A-1 Conversion Price</w:t>
      </w:r>
      <w:r>
        <w:rPr>
          <w:rFonts w:ascii="Arial" w:cs="Arial" w:eastAsia="Arial" w:hAnsi="Arial"/>
          <w:sz w:val="16"/>
          <w:szCs w:val="16"/>
          <w:color w:val="auto"/>
        </w:rPr>
        <w:t>”), the Conversion Price of the Series B Preferred Stock (“</w:t>
      </w:r>
      <w:r>
        <w:rPr>
          <w:rFonts w:ascii="Arial" w:cs="Arial" w:eastAsia="Arial" w:hAnsi="Arial"/>
          <w:sz w:val="16"/>
          <w:szCs w:val="16"/>
          <w:u w:val="single" w:color="auto"/>
          <w:color w:val="auto"/>
        </w:rPr>
        <w:t>Series B Conversion Price</w:t>
      </w:r>
      <w:r>
        <w:rPr>
          <w:rFonts w:ascii="Arial" w:cs="Arial" w:eastAsia="Arial" w:hAnsi="Arial"/>
          <w:sz w:val="16"/>
          <w:szCs w:val="16"/>
          <w:color w:val="auto"/>
        </w:rPr>
        <w:t>”), the Conversion Price of the Series B-1 Preferred Stock (“</w:t>
      </w:r>
      <w:r>
        <w:rPr>
          <w:rFonts w:ascii="Arial" w:cs="Arial" w:eastAsia="Arial" w:hAnsi="Arial"/>
          <w:sz w:val="16"/>
          <w:szCs w:val="16"/>
          <w:u w:val="single" w:color="auto"/>
          <w:color w:val="auto"/>
        </w:rPr>
        <w:t>Series B-1 Conversion Price</w:t>
      </w:r>
      <w:r>
        <w:rPr>
          <w:rFonts w:ascii="Arial" w:cs="Arial" w:eastAsia="Arial" w:hAnsi="Arial"/>
          <w:sz w:val="16"/>
          <w:szCs w:val="16"/>
          <w:color w:val="auto"/>
        </w:rPr>
        <w:t>”) and the Conversion Price of the Series C-1 Preferred Stock (“</w:t>
      </w:r>
      <w:r>
        <w:rPr>
          <w:rFonts w:ascii="Arial" w:cs="Arial" w:eastAsia="Arial" w:hAnsi="Arial"/>
          <w:sz w:val="16"/>
          <w:szCs w:val="16"/>
          <w:u w:val="single" w:color="auto"/>
          <w:color w:val="auto"/>
        </w:rPr>
        <w:t>Series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 Price</w:t>
      </w:r>
      <w:r>
        <w:rPr>
          <w:rFonts w:ascii="Arial" w:cs="Arial" w:eastAsia="Arial" w:hAnsi="Arial"/>
          <w:sz w:val="16"/>
          <w:szCs w:val="16"/>
          <w:color w:val="auto"/>
        </w:rPr>
        <w:t>” and, collectively with the Series A Conversion Price, Series A-1 Conversion Price, Series B Conversion Price and Series B-1 Conversion Price, each a “</w:t>
      </w:r>
      <w:r>
        <w:rPr>
          <w:rFonts w:ascii="Arial" w:cs="Arial" w:eastAsia="Arial" w:hAnsi="Arial"/>
          <w:sz w:val="16"/>
          <w:szCs w:val="16"/>
          <w:u w:val="single" w:color="auto"/>
          <w:color w:val="auto"/>
        </w:rPr>
        <w:t>Preferred Stock Conversion Price</w:t>
      </w:r>
      <w:r>
        <w:rPr>
          <w:rFonts w:ascii="Arial" w:cs="Arial" w:eastAsia="Arial" w:hAnsi="Arial"/>
          <w:sz w:val="16"/>
          <w:szCs w:val="16"/>
          <w:color w:val="auto"/>
        </w:rPr>
        <w:t>”) shall each be subject to independent adjustment from time to time as follows:</w:t>
      </w:r>
    </w:p>
    <w:p>
      <w:pPr>
        <w:spacing w:after="0" w:line="158" w:lineRule="exact"/>
        <w:rPr>
          <w:rFonts w:ascii="Arial" w:cs="Arial" w:eastAsia="Arial" w:hAnsi="Arial"/>
          <w:sz w:val="16"/>
          <w:szCs w:val="16"/>
          <w:color w:val="auto"/>
        </w:rPr>
      </w:pPr>
    </w:p>
    <w:p>
      <w:pPr>
        <w:ind w:left="1640" w:hanging="208"/>
        <w:spacing w:after="0"/>
        <w:tabs>
          <w:tab w:leader="none" w:pos="1640" w:val="left"/>
        </w:tabs>
        <w:numPr>
          <w:ilvl w:val="1"/>
          <w:numId w:val="1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4(e)</w:t>
      </w:r>
      <w:r>
        <w:rPr>
          <w:rFonts w:ascii="Arial" w:cs="Arial" w:eastAsia="Arial" w:hAnsi="Arial"/>
          <w:sz w:val="18"/>
          <w:szCs w:val="18"/>
          <w:color w:val="auto"/>
        </w:rPr>
        <w:t>, the following definitions shall apply:</w:t>
      </w:r>
    </w:p>
    <w:p>
      <w:pPr>
        <w:spacing w:after="0" w:line="225" w:lineRule="exact"/>
        <w:rPr>
          <w:rFonts w:ascii="Arial" w:cs="Arial" w:eastAsia="Arial" w:hAnsi="Arial"/>
          <w:sz w:val="18"/>
          <w:szCs w:val="18"/>
          <w:color w:val="auto"/>
        </w:rPr>
      </w:pPr>
    </w:p>
    <w:p>
      <w:pPr>
        <w:ind w:left="2180" w:hanging="292"/>
        <w:spacing w:after="0"/>
        <w:tabs>
          <w:tab w:leader="none" w:pos="2180" w:val="left"/>
        </w:tabs>
        <w:numPr>
          <w:ilvl w:val="2"/>
          <w:numId w:val="1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Securities</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60" w:firstLine="2404"/>
        <w:spacing w:after="0" w:line="342" w:lineRule="auto"/>
        <w:tabs>
          <w:tab w:leader="none" w:pos="2591" w:val="left"/>
        </w:tabs>
        <w:numPr>
          <w:ilvl w:val="3"/>
          <w:numId w:val="136"/>
        </w:numPr>
        <w:rPr>
          <w:rFonts w:ascii="Arial" w:cs="Arial" w:eastAsia="Arial" w:hAnsi="Arial"/>
          <w:sz w:val="16"/>
          <w:szCs w:val="16"/>
          <w:color w:val="auto"/>
        </w:rPr>
      </w:pPr>
      <w:r>
        <w:rPr>
          <w:rFonts w:ascii="Arial" w:cs="Arial" w:eastAsia="Arial" w:hAnsi="Arial"/>
          <w:sz w:val="16"/>
          <w:szCs w:val="16"/>
          <w:color w:val="auto"/>
        </w:rPr>
        <w:t>all shares of Common Stock issued or deemed issued to directors or employees of, or consultants or advisors to, this corporation, pursuant to any stock option plan or equity incentive plan of this corporation approved by a majority of the board of directors of this corporation;</w:t>
      </w:r>
    </w:p>
    <w:p>
      <w:pPr>
        <w:spacing w:after="0" w:line="123" w:lineRule="exact"/>
        <w:rPr>
          <w:rFonts w:ascii="Arial" w:cs="Arial" w:eastAsia="Arial" w:hAnsi="Arial"/>
          <w:sz w:val="16"/>
          <w:szCs w:val="16"/>
          <w:color w:val="auto"/>
        </w:rPr>
      </w:pPr>
    </w:p>
    <w:p>
      <w:pPr>
        <w:ind w:left="-60" w:right="140" w:firstLine="2404"/>
        <w:spacing w:after="0" w:line="264" w:lineRule="auto"/>
        <w:tabs>
          <w:tab w:leader="none" w:pos="2591" w:val="left"/>
        </w:tabs>
        <w:numPr>
          <w:ilvl w:val="3"/>
          <w:numId w:val="136"/>
        </w:numPr>
        <w:rPr>
          <w:rFonts w:ascii="Arial" w:cs="Arial" w:eastAsia="Arial" w:hAnsi="Arial"/>
          <w:sz w:val="18"/>
          <w:szCs w:val="18"/>
          <w:color w:val="auto"/>
        </w:rPr>
      </w:pPr>
      <w:r>
        <w:rPr>
          <w:rFonts w:ascii="Arial" w:cs="Arial" w:eastAsia="Arial" w:hAnsi="Arial"/>
          <w:sz w:val="18"/>
          <w:szCs w:val="18"/>
          <w:color w:val="auto"/>
        </w:rPr>
        <w:t>all shares of Common Stock issued or deemed issued in connection with research and development partnerships, licensing, corporate partnering, collaborative arrangements or similar transactions approved by the holders of at least sixty percent (60%) of the outstanding Prime Preferred Stock;</w:t>
      </w:r>
    </w:p>
    <w:p>
      <w:pPr>
        <w:spacing w:after="0" w:line="181" w:lineRule="exact"/>
        <w:rPr>
          <w:rFonts w:ascii="Arial" w:cs="Arial" w:eastAsia="Arial" w:hAnsi="Arial"/>
          <w:sz w:val="18"/>
          <w:szCs w:val="18"/>
          <w:color w:val="auto"/>
        </w:rPr>
      </w:pPr>
    </w:p>
    <w:p>
      <w:pPr>
        <w:ind w:left="2600" w:hanging="256"/>
        <w:spacing w:after="0"/>
        <w:tabs>
          <w:tab w:leader="none" w:pos="260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all securities issued pursuant to dividends or distributions on the Preferred Stock;</w:t>
      </w:r>
    </w:p>
    <w:p>
      <w:pPr>
        <w:spacing w:after="0" w:line="225" w:lineRule="exact"/>
        <w:rPr>
          <w:rFonts w:ascii="Arial" w:cs="Arial" w:eastAsia="Arial" w:hAnsi="Arial"/>
          <w:sz w:val="18"/>
          <w:szCs w:val="18"/>
          <w:color w:val="auto"/>
        </w:rPr>
      </w:pPr>
    </w:p>
    <w:p>
      <w:pPr>
        <w:ind w:left="-60" w:right="520" w:firstLine="2404"/>
        <w:spacing w:after="0" w:line="342" w:lineRule="auto"/>
        <w:tabs>
          <w:tab w:leader="none" w:pos="2591" w:val="left"/>
        </w:tabs>
        <w:numPr>
          <w:ilvl w:val="3"/>
          <w:numId w:val="136"/>
        </w:numPr>
        <w:rPr>
          <w:rFonts w:ascii="Arial" w:cs="Arial" w:eastAsia="Arial" w:hAnsi="Arial"/>
          <w:sz w:val="16"/>
          <w:szCs w:val="16"/>
          <w:color w:val="auto"/>
        </w:rPr>
      </w:pPr>
      <w:r>
        <w:rPr>
          <w:rFonts w:ascii="Arial" w:cs="Arial" w:eastAsia="Arial" w:hAnsi="Arial"/>
          <w:sz w:val="16"/>
          <w:szCs w:val="16"/>
          <w:color w:val="auto"/>
        </w:rPr>
        <w:t>securities to financial institutions or lessors issued in connection with commercial credit arrangements, equipment financings, commercial property lease transactions, or similar transactions approved by a majority of the board of directors of this corporation;</w:t>
      </w:r>
    </w:p>
    <w:p>
      <w:pPr>
        <w:spacing w:after="0" w:line="123" w:lineRule="exact"/>
        <w:rPr>
          <w:rFonts w:ascii="Arial" w:cs="Arial" w:eastAsia="Arial" w:hAnsi="Arial"/>
          <w:sz w:val="16"/>
          <w:szCs w:val="16"/>
          <w:color w:val="auto"/>
        </w:rPr>
      </w:pPr>
    </w:p>
    <w:p>
      <w:pPr>
        <w:ind w:left="-60" w:right="60" w:firstLine="2404"/>
        <w:spacing w:after="0" w:line="308" w:lineRule="auto"/>
        <w:tabs>
          <w:tab w:leader="none" w:pos="2591" w:val="left"/>
        </w:tabs>
        <w:numPr>
          <w:ilvl w:val="3"/>
          <w:numId w:val="136"/>
        </w:numPr>
        <w:rPr>
          <w:rFonts w:ascii="Arial" w:cs="Arial" w:eastAsia="Arial" w:hAnsi="Arial"/>
          <w:sz w:val="17"/>
          <w:szCs w:val="17"/>
          <w:color w:val="auto"/>
        </w:rPr>
      </w:pPr>
      <w:r>
        <w:rPr>
          <w:rFonts w:ascii="Arial" w:cs="Arial" w:eastAsia="Arial" w:hAnsi="Arial"/>
          <w:sz w:val="17"/>
          <w:szCs w:val="17"/>
          <w:color w:val="auto"/>
        </w:rPr>
        <w:t>capital stock issued in connection with bona fide acquisitions, mergers, consolidations or similar business combinations, provided that such issuance has been approved by the holders of at least sixty percent (60%) of the outstanding Preferred Stock;</w:t>
      </w:r>
    </w:p>
    <w:p>
      <w:pPr>
        <w:spacing w:after="0" w:line="146" w:lineRule="exact"/>
        <w:rPr>
          <w:rFonts w:ascii="Arial" w:cs="Arial" w:eastAsia="Arial" w:hAnsi="Arial"/>
          <w:sz w:val="17"/>
          <w:szCs w:val="17"/>
          <w:color w:val="auto"/>
        </w:rPr>
      </w:pPr>
    </w:p>
    <w:p>
      <w:pPr>
        <w:ind w:left="2600" w:hanging="256"/>
        <w:spacing w:after="0"/>
        <w:tabs>
          <w:tab w:leader="none" w:pos="2600" w:val="left"/>
        </w:tabs>
        <w:numPr>
          <w:ilvl w:val="3"/>
          <w:numId w:val="136"/>
        </w:numPr>
        <w:rPr>
          <w:rFonts w:ascii="Arial" w:cs="Arial" w:eastAsia="Arial" w:hAnsi="Arial"/>
          <w:sz w:val="18"/>
          <w:szCs w:val="18"/>
          <w:color w:val="auto"/>
        </w:rPr>
      </w:pPr>
      <w:r>
        <w:rPr>
          <w:rFonts w:ascii="Arial" w:cs="Arial" w:eastAsia="Arial" w:hAnsi="Arial"/>
          <w:sz w:val="18"/>
          <w:szCs w:val="18"/>
          <w:color w:val="auto"/>
        </w:rPr>
        <w:t>Common Stock issuable upon conversion of the Preferred Stock;</w:t>
      </w:r>
    </w:p>
    <w:p>
      <w:pPr>
        <w:spacing w:after="0" w:line="225" w:lineRule="exact"/>
        <w:rPr>
          <w:rFonts w:ascii="Arial" w:cs="Arial" w:eastAsia="Arial" w:hAnsi="Arial"/>
          <w:sz w:val="18"/>
          <w:szCs w:val="18"/>
          <w:color w:val="auto"/>
        </w:rPr>
      </w:pPr>
    </w:p>
    <w:p>
      <w:pPr>
        <w:ind w:left="-60" w:right="240" w:firstLine="2404"/>
        <w:spacing w:after="0" w:line="342" w:lineRule="auto"/>
        <w:tabs>
          <w:tab w:leader="none" w:pos="2591" w:val="left"/>
        </w:tabs>
        <w:numPr>
          <w:ilvl w:val="3"/>
          <w:numId w:val="136"/>
        </w:numPr>
        <w:rPr>
          <w:rFonts w:ascii="Arial" w:cs="Arial" w:eastAsia="Arial" w:hAnsi="Arial"/>
          <w:sz w:val="16"/>
          <w:szCs w:val="16"/>
          <w:color w:val="auto"/>
        </w:rPr>
      </w:pPr>
      <w:r>
        <w:rPr>
          <w:rFonts w:ascii="Arial" w:cs="Arial" w:eastAsia="Arial" w:hAnsi="Arial"/>
          <w:sz w:val="16"/>
          <w:szCs w:val="16"/>
          <w:color w:val="auto"/>
        </w:rPr>
        <w:t>all securities issued or issuable (including any convertible debt) pursuant to the Note Purchase Agreement dated on or around September 18, 2014, among the Company and certain investors, as the same may be amended from time to time pursuant to its terms;</w:t>
      </w:r>
    </w:p>
    <w:p>
      <w:pPr>
        <w:spacing w:after="0" w:line="123" w:lineRule="exact"/>
        <w:rPr>
          <w:rFonts w:ascii="Arial" w:cs="Arial" w:eastAsia="Arial" w:hAnsi="Arial"/>
          <w:sz w:val="16"/>
          <w:szCs w:val="16"/>
          <w:color w:val="auto"/>
        </w:rPr>
      </w:pPr>
    </w:p>
    <w:p>
      <w:pPr>
        <w:ind w:left="-60" w:right="20" w:firstLine="2404"/>
        <w:spacing w:after="0" w:line="277" w:lineRule="auto"/>
        <w:tabs>
          <w:tab w:leader="none" w:pos="2591" w:val="left"/>
        </w:tabs>
        <w:numPr>
          <w:ilvl w:val="3"/>
          <w:numId w:val="136"/>
        </w:numPr>
        <w:rPr>
          <w:rFonts w:ascii="Arial" w:cs="Arial" w:eastAsia="Arial" w:hAnsi="Arial"/>
          <w:sz w:val="18"/>
          <w:szCs w:val="18"/>
          <w:color w:val="auto"/>
        </w:rPr>
      </w:pPr>
      <w:r>
        <w:rPr>
          <w:rFonts w:ascii="Arial" w:cs="Arial" w:eastAsia="Arial" w:hAnsi="Arial"/>
          <w:sz w:val="18"/>
          <w:szCs w:val="18"/>
          <w:color w:val="auto"/>
        </w:rPr>
        <w:t>any issuance of Common Stock or Purchase Rights that the holders of sixty-six (66%) of the outstanding Preferred Stock elect to be treated as Excluded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300" w:top="274" w:right="279" w:bottom="1440" w:gutter="0" w:footer="0" w:header="0"/>
        </w:sectPr>
      </w:pPr>
    </w:p>
    <w:bookmarkStart w:id="240" w:name="page241"/>
    <w:bookmarkEnd w:id="240"/>
    <w:p>
      <w:pPr>
        <w:ind w:left="2660" w:hanging="256"/>
        <w:spacing w:after="0"/>
        <w:tabs>
          <w:tab w:leader="none" w:pos="2660" w:val="left"/>
        </w:tabs>
        <w:numPr>
          <w:ilvl w:val="2"/>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right="60" w:firstLine="2404"/>
        <w:spacing w:after="0" w:line="264" w:lineRule="auto"/>
        <w:tabs>
          <w:tab w:leader="none" w:pos="2741" w:val="left"/>
        </w:tabs>
        <w:numPr>
          <w:ilvl w:val="2"/>
          <w:numId w:val="137"/>
        </w:numPr>
        <w:rPr>
          <w:rFonts w:ascii="Arial" w:cs="Arial" w:eastAsia="Arial" w:hAnsi="Arial"/>
          <w:sz w:val="18"/>
          <w:szCs w:val="18"/>
          <w:color w:val="auto"/>
        </w:rPr>
      </w:pPr>
      <w:r>
        <w:rPr>
          <w:rFonts w:ascii="Arial" w:cs="Arial" w:eastAsia="Arial" w:hAnsi="Arial"/>
          <w:sz w:val="18"/>
          <w:szCs w:val="18"/>
          <w:color w:val="auto"/>
        </w:rPr>
        <w:t>shares of Common Stock or Convertible Securities issued upon the exercise of Options or shares of Common Stock issued upon the conversion or exchange of Convertible Securities, in each case provided such issuance is pursuant to the terms of such Option or Convertible Security; and</w:t>
      </w:r>
    </w:p>
    <w:p>
      <w:pPr>
        <w:spacing w:after="0" w:line="181" w:lineRule="exact"/>
        <w:rPr>
          <w:rFonts w:ascii="Arial" w:cs="Arial" w:eastAsia="Arial" w:hAnsi="Arial"/>
          <w:sz w:val="18"/>
          <w:szCs w:val="18"/>
          <w:color w:val="auto"/>
        </w:rPr>
      </w:pPr>
    </w:p>
    <w:p>
      <w:pPr>
        <w:ind w:right="480" w:firstLine="2404"/>
        <w:spacing w:after="0" w:line="277" w:lineRule="auto"/>
        <w:tabs>
          <w:tab w:leader="none" w:pos="2735" w:val="left"/>
        </w:tabs>
        <w:numPr>
          <w:ilvl w:val="2"/>
          <w:numId w:val="137"/>
        </w:numPr>
        <w:rPr>
          <w:rFonts w:ascii="Arial" w:cs="Arial" w:eastAsia="Arial" w:hAnsi="Arial"/>
          <w:sz w:val="18"/>
          <w:szCs w:val="18"/>
          <w:color w:val="auto"/>
        </w:rPr>
      </w:pPr>
      <w:r>
        <w:rPr>
          <w:rFonts w:ascii="Arial" w:cs="Arial" w:eastAsia="Arial" w:hAnsi="Arial"/>
          <w:sz w:val="18"/>
          <w:szCs w:val="18"/>
          <w:color w:val="auto"/>
        </w:rPr>
        <w:t>all securities issued pursuant to a firm commitment, underwritten initial public offering of the capital stock of this corporation registered under the Securities Act.</w:t>
      </w:r>
    </w:p>
    <w:p>
      <w:pPr>
        <w:spacing w:after="0" w:line="170" w:lineRule="exact"/>
        <w:rPr>
          <w:rFonts w:ascii="Arial" w:cs="Arial" w:eastAsia="Arial" w:hAnsi="Arial"/>
          <w:sz w:val="18"/>
          <w:szCs w:val="18"/>
          <w:color w:val="auto"/>
        </w:rPr>
      </w:pPr>
    </w:p>
    <w:p>
      <w:pPr>
        <w:ind w:left="2240" w:hanging="292"/>
        <w:spacing w:after="0"/>
        <w:tabs>
          <w:tab w:leader="none" w:pos="22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Options</w:t>
      </w:r>
      <w:r>
        <w:rPr>
          <w:rFonts w:ascii="Arial" w:cs="Arial" w:eastAsia="Arial" w:hAnsi="Arial"/>
          <w:sz w:val="17"/>
          <w:szCs w:val="17"/>
          <w:color w:val="auto"/>
        </w:rPr>
        <w:t>” means rights, options or warrants to subscribe for, purchase or otherwise acquire either Common Stock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Convertible Securities.</w:t>
      </w:r>
    </w:p>
    <w:p>
      <w:pPr>
        <w:spacing w:after="0" w:line="210" w:lineRule="exact"/>
        <w:rPr>
          <w:rFonts w:ascii="Arial" w:cs="Arial" w:eastAsia="Arial" w:hAnsi="Arial"/>
          <w:sz w:val="17"/>
          <w:szCs w:val="17"/>
          <w:color w:val="auto"/>
        </w:rPr>
      </w:pPr>
    </w:p>
    <w:p>
      <w:pPr>
        <w:ind w:left="2240" w:hanging="292"/>
        <w:spacing w:after="0"/>
        <w:tabs>
          <w:tab w:leader="none" w:pos="22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means securities by their terms directly or indirectly convertible into or exchangeable for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 but excluding Options.</w:t>
      </w:r>
    </w:p>
    <w:p>
      <w:pPr>
        <w:spacing w:after="0" w:line="210" w:lineRule="exact"/>
        <w:rPr>
          <w:rFonts w:ascii="Arial" w:cs="Arial" w:eastAsia="Arial" w:hAnsi="Arial"/>
          <w:sz w:val="17"/>
          <w:szCs w:val="17"/>
          <w:color w:val="auto"/>
        </w:rPr>
      </w:pPr>
    </w:p>
    <w:p>
      <w:pPr>
        <w:ind w:left="2240" w:hanging="292"/>
        <w:spacing w:after="0"/>
        <w:tabs>
          <w:tab w:leader="none" w:pos="22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Rights</w:t>
      </w:r>
      <w:r>
        <w:rPr>
          <w:rFonts w:ascii="Arial" w:cs="Arial" w:eastAsia="Arial" w:hAnsi="Arial"/>
          <w:sz w:val="18"/>
          <w:szCs w:val="18"/>
          <w:color w:val="auto"/>
        </w:rPr>
        <w:t>” means Options and Convertible Securities.</w:t>
      </w:r>
    </w:p>
    <w:p>
      <w:pPr>
        <w:spacing w:after="0" w:line="225" w:lineRule="exact"/>
        <w:rPr>
          <w:rFonts w:ascii="Arial" w:cs="Arial" w:eastAsia="Arial" w:hAnsi="Arial"/>
          <w:sz w:val="18"/>
          <w:szCs w:val="18"/>
          <w:color w:val="auto"/>
        </w:rPr>
      </w:pPr>
    </w:p>
    <w:p>
      <w:pPr>
        <w:jc w:val="both"/>
        <w:ind w:right="20" w:firstLine="1948"/>
        <w:spacing w:after="0" w:line="312" w:lineRule="auto"/>
        <w:tabs>
          <w:tab w:leader="none" w:pos="2215" w:val="left"/>
        </w:tabs>
        <w:numPr>
          <w:ilvl w:val="1"/>
          <w:numId w:val="13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Dilutive Issuance</w:t>
      </w:r>
      <w:r>
        <w:rPr>
          <w:rFonts w:ascii="Arial" w:cs="Arial" w:eastAsia="Arial" w:hAnsi="Arial"/>
          <w:sz w:val="16"/>
          <w:szCs w:val="16"/>
          <w:color w:val="auto"/>
        </w:rPr>
        <w:t>” means an issuance of Purchase Rights or Common Stock, in each case excluding any issuance of Excluded Securities, without consideration or for a consideration per share less than the applicable Preferred Stock Conversion Price.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excludes any stock dividend, subdivision or split-up, stock combination, dividend or Transaction described in </w:t>
      </w:r>
      <w:r>
        <w:rPr>
          <w:rFonts w:ascii="Arial" w:cs="Arial" w:eastAsia="Arial" w:hAnsi="Arial"/>
          <w:sz w:val="16"/>
          <w:szCs w:val="16"/>
          <w:u w:val="single" w:color="auto"/>
          <w:color w:val="auto"/>
        </w:rPr>
        <w:t>Sections 4(e)(iv) through (vii)</w:t>
      </w:r>
      <w:r>
        <w:rPr>
          <w:rFonts w:ascii="Arial" w:cs="Arial" w:eastAsia="Arial" w:hAnsi="Arial"/>
          <w:sz w:val="16"/>
          <w:szCs w:val="16"/>
          <w:color w:val="auto"/>
        </w:rPr>
        <w:t xml:space="preserve"> below.</w:t>
      </w:r>
    </w:p>
    <w:p>
      <w:pPr>
        <w:spacing w:after="0" w:line="146" w:lineRule="exact"/>
        <w:rPr>
          <w:rFonts w:ascii="Arial" w:cs="Arial" w:eastAsia="Arial" w:hAnsi="Arial"/>
          <w:sz w:val="16"/>
          <w:szCs w:val="16"/>
          <w:color w:val="auto"/>
        </w:rPr>
      </w:pPr>
    </w:p>
    <w:p>
      <w:pPr>
        <w:ind w:left="1760" w:hanging="268"/>
        <w:spacing w:after="0"/>
        <w:tabs>
          <w:tab w:leader="none" w:pos="17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 for Dilutive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48"/>
        <w:spacing w:after="0" w:line="259" w:lineRule="auto"/>
        <w:tabs>
          <w:tab w:leader="none" w:pos="223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this corporation issues or is deemed to issue any Common Stock in a Dilutive Issuance after the initial date shares of Series C-1 Preferred Stock are issued, the Series A-1 Conversion Price, Series B-1 Conversion Price, the Series C-1 Conversion Price and Series B Conversion Price then in effect shall be adjusted to a price determined by multiplying the applicable Preferred Stock Conversion Price in effect immediately prior to the Dilutive Issuance by a fraction:</w:t>
      </w:r>
    </w:p>
    <w:p>
      <w:pPr>
        <w:spacing w:after="0" w:line="186" w:lineRule="exact"/>
        <w:rPr>
          <w:rFonts w:ascii="Arial" w:cs="Arial" w:eastAsia="Arial" w:hAnsi="Arial"/>
          <w:sz w:val="18"/>
          <w:szCs w:val="18"/>
          <w:color w:val="auto"/>
        </w:rPr>
      </w:pPr>
    </w:p>
    <w:p>
      <w:pPr>
        <w:ind w:firstLine="2404"/>
        <w:spacing w:after="0" w:line="312" w:lineRule="auto"/>
        <w:tabs>
          <w:tab w:leader="none" w:pos="2651" w:val="left"/>
        </w:tabs>
        <w:numPr>
          <w:ilvl w:val="2"/>
          <w:numId w:val="139"/>
        </w:numPr>
        <w:rPr>
          <w:rFonts w:ascii="Arial" w:cs="Arial" w:eastAsia="Arial" w:hAnsi="Arial"/>
          <w:sz w:val="16"/>
          <w:szCs w:val="16"/>
          <w:color w:val="auto"/>
        </w:rPr>
      </w:pPr>
      <w:r>
        <w:rPr>
          <w:rFonts w:ascii="Arial" w:cs="Arial" w:eastAsia="Arial" w:hAnsi="Arial"/>
          <w:sz w:val="16"/>
          <w:szCs w:val="16"/>
          <w:color w:val="auto"/>
        </w:rPr>
        <w:t>the numerator of which shall be (x) the number of shares of Common Stock outstanding and issuable on exercise of all outstanding Options and Convertible Securities immediately prior to the Dilutive Issuance, plus (y) the number of shares of Common Stock that the aggregate consideration, if any, received by this corporation in connection with the Dilutive Issuance would purchase at such Preferred Stock Conversion Price, and</w:t>
      </w:r>
    </w:p>
    <w:p>
      <w:pPr>
        <w:spacing w:after="0" w:line="146" w:lineRule="exact"/>
        <w:rPr>
          <w:rFonts w:ascii="Arial" w:cs="Arial" w:eastAsia="Arial" w:hAnsi="Arial"/>
          <w:sz w:val="16"/>
          <w:szCs w:val="16"/>
          <w:color w:val="auto"/>
        </w:rPr>
      </w:pPr>
    </w:p>
    <w:p>
      <w:pPr>
        <w:jc w:val="both"/>
        <w:ind w:right="20" w:firstLine="2404"/>
        <w:spacing w:after="0" w:line="264" w:lineRule="auto"/>
        <w:tabs>
          <w:tab w:leader="none" w:pos="2651"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denominator of which shall be (x) the number of shares of Common Stock outstanding and issuable on exercise of all outstanding Options and Convertible Securities immediately prior to the Dilutive Issuance, plus (y) the number of shares of Common Stock issued or deemed issued in the Dilutive Issuance.</w:t>
      </w:r>
    </w:p>
    <w:p>
      <w:pPr>
        <w:spacing w:after="0" w:line="181" w:lineRule="exact"/>
        <w:rPr>
          <w:rFonts w:ascii="Arial" w:cs="Arial" w:eastAsia="Arial" w:hAnsi="Arial"/>
          <w:sz w:val="18"/>
          <w:szCs w:val="18"/>
          <w:color w:val="auto"/>
        </w:rPr>
      </w:pPr>
    </w:p>
    <w:p>
      <w:pPr>
        <w:ind w:right="120" w:firstLine="1948"/>
        <w:spacing w:after="0" w:line="277" w:lineRule="auto"/>
        <w:tabs>
          <w:tab w:leader="none" w:pos="222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For the avoidance of doubt, the Series A Conversion Price shall not be automatically adjusted pursuant to this </w:t>
      </w:r>
      <w:r>
        <w:rPr>
          <w:rFonts w:ascii="Arial" w:cs="Arial" w:eastAsia="Arial" w:hAnsi="Arial"/>
          <w:sz w:val="18"/>
          <w:szCs w:val="18"/>
          <w:u w:val="single" w:color="auto"/>
          <w:color w:val="auto"/>
        </w:rPr>
        <w:t>Section 4(e)(ii)</w:t>
      </w:r>
      <w:r>
        <w:rPr>
          <w:rFonts w:ascii="Arial" w:cs="Arial" w:eastAsia="Arial" w:hAnsi="Arial"/>
          <w:sz w:val="18"/>
          <w:szCs w:val="18"/>
          <w:color w:val="auto"/>
        </w:rPr>
        <w:t xml:space="preserve"> in connection with a Dilutive Issuance.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1" w:name="page242"/>
    <w:bookmarkEnd w:id="241"/>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For purposes of any adjustment of the Preferred Stock Conversion Price pursuant to clause (ii) above, the following provisions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firstLine="1948"/>
        <w:spacing w:after="0" w:line="308" w:lineRule="auto"/>
        <w:tabs>
          <w:tab w:leader="none" w:pos="223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 the case of the issuance of Common Stock for cash, the consideration shall be deemed to be the amount of cash paid therefor after deducting any discounts or commissions paid or incurred by this corporation in connection with the issuance and sale thereof.</w:t>
      </w:r>
    </w:p>
    <w:p>
      <w:pPr>
        <w:spacing w:after="0" w:line="146" w:lineRule="exact"/>
        <w:rPr>
          <w:rFonts w:ascii="Arial" w:cs="Arial" w:eastAsia="Arial" w:hAnsi="Arial"/>
          <w:sz w:val="17"/>
          <w:szCs w:val="17"/>
          <w:color w:val="auto"/>
        </w:rPr>
      </w:pPr>
    </w:p>
    <w:p>
      <w:pPr>
        <w:ind w:right="280" w:firstLine="1948"/>
        <w:spacing w:after="0" w:line="276" w:lineRule="auto"/>
        <w:tabs>
          <w:tab w:leader="none" w:pos="222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In the case of the issuance of Common Stock for a consideration in whole or in part other than cash, the consideration other than cash shall be deemed to be the fair market value thereof as determined by the board of directors of this corporation, in accordance with generally accepted accounting treatment; provided, however, that if at the time of such determination, this corporation’s Common Stock is traded in the over-the-counter market or on a national or regional securities exchange, such fair market value as determined by the board of directors of this corporation shall not exceed the aggregate “</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(as defined below) of the shares of Common Stock being issued.</w:t>
      </w:r>
    </w:p>
    <w:p>
      <w:pPr>
        <w:spacing w:after="0" w:line="172" w:lineRule="exact"/>
        <w:rPr>
          <w:rFonts w:ascii="Arial" w:cs="Arial" w:eastAsia="Arial" w:hAnsi="Arial"/>
          <w:sz w:val="17"/>
          <w:szCs w:val="17"/>
          <w:color w:val="auto"/>
        </w:rPr>
      </w:pPr>
    </w:p>
    <w:p>
      <w:pPr>
        <w:ind w:left="2240" w:hanging="292"/>
        <w:spacing w:after="0"/>
        <w:tabs>
          <w:tab w:leader="none" w:pos="224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 the case of the issuance of Purchase Rights in a Dilutive Issuance:</w:t>
      </w:r>
    </w:p>
    <w:p>
      <w:pPr>
        <w:spacing w:after="0" w:line="225" w:lineRule="exact"/>
        <w:rPr>
          <w:rFonts w:ascii="Arial" w:cs="Arial" w:eastAsia="Arial" w:hAnsi="Arial"/>
          <w:sz w:val="18"/>
          <w:szCs w:val="18"/>
          <w:color w:val="auto"/>
        </w:rPr>
      </w:pPr>
    </w:p>
    <w:p>
      <w:pPr>
        <w:ind w:right="180" w:firstLine="2404"/>
        <w:spacing w:after="0" w:line="291" w:lineRule="auto"/>
        <w:tabs>
          <w:tab w:leader="none" w:pos="2651" w:val="left"/>
        </w:tabs>
        <w:numPr>
          <w:ilvl w:val="2"/>
          <w:numId w:val="140"/>
        </w:numPr>
        <w:rPr>
          <w:rFonts w:ascii="Arial" w:cs="Arial" w:eastAsia="Arial" w:hAnsi="Arial"/>
          <w:sz w:val="16"/>
          <w:szCs w:val="16"/>
          <w:color w:val="auto"/>
        </w:rPr>
      </w:pPr>
      <w:r>
        <w:rPr>
          <w:rFonts w:ascii="Arial" w:cs="Arial" w:eastAsia="Arial" w:hAnsi="Arial"/>
          <w:sz w:val="16"/>
          <w:szCs w:val="16"/>
          <w:color w:val="auto"/>
        </w:rPr>
        <w:t>the aggregate maximum number of shares of Common Stock deliverable upon exercise of Options shall be deemed to have been issued at the time such Options were issued and for a consideration equal to the consideration (determined in the manner provided in (iii) (A) and</w:t>
      </w:r>
    </w:p>
    <w:p>
      <w:pPr>
        <w:ind w:right="620" w:firstLine="8"/>
        <w:spacing w:after="0" w:line="261" w:lineRule="auto"/>
        <w:tabs>
          <w:tab w:leader="none" w:pos="2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above), if any, received by this corporation upon the issuance of such Options plus the minimum purchase price provided in such Options covered thereby;</w:t>
      </w:r>
    </w:p>
    <w:p>
      <w:pPr>
        <w:spacing w:after="0" w:line="183" w:lineRule="exact"/>
        <w:rPr>
          <w:rFonts w:ascii="Arial" w:cs="Arial" w:eastAsia="Arial" w:hAnsi="Arial"/>
          <w:sz w:val="18"/>
          <w:szCs w:val="18"/>
          <w:color w:val="auto"/>
        </w:rPr>
      </w:pPr>
    </w:p>
    <w:p>
      <w:pPr>
        <w:ind w:right="80" w:firstLine="2404"/>
        <w:spacing w:after="0" w:line="257" w:lineRule="auto"/>
        <w:tabs>
          <w:tab w:leader="none" w:pos="2651"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aggregate maximum number of shares of Common Stock deliverable upon conversion or exercise of or exchange for any Convertible Securities shall be deemed to have been issued at the time such Convertible Securities were issued and for a consideration equal to the consideration received by this corporation for any such Convertible Securities (excluding any cash received on account of accrued interest or accrued dividends), plus the minimum additional consideration, if any; to be received by this corporation upon the conversion or exchange of such Convertible Securities (determined in the manner provided in (iii) (A) and (B) above);</w:t>
      </w:r>
    </w:p>
    <w:p>
      <w:pPr>
        <w:spacing w:after="0" w:line="188" w:lineRule="exact"/>
        <w:rPr>
          <w:rFonts w:ascii="Arial" w:cs="Arial" w:eastAsia="Arial" w:hAnsi="Arial"/>
          <w:sz w:val="18"/>
          <w:szCs w:val="18"/>
          <w:color w:val="auto"/>
        </w:rPr>
      </w:pPr>
    </w:p>
    <w:p>
      <w:pPr>
        <w:ind w:right="20" w:firstLine="2404"/>
        <w:spacing w:after="0" w:line="297" w:lineRule="auto"/>
        <w:tabs>
          <w:tab w:leader="none" w:pos="2651" w:val="left"/>
        </w:tabs>
        <w:numPr>
          <w:ilvl w:val="2"/>
          <w:numId w:val="141"/>
        </w:numPr>
        <w:rPr>
          <w:rFonts w:ascii="Arial" w:cs="Arial" w:eastAsia="Arial" w:hAnsi="Arial"/>
          <w:sz w:val="16"/>
          <w:szCs w:val="16"/>
          <w:color w:val="auto"/>
        </w:rPr>
      </w:pPr>
      <w:r>
        <w:rPr>
          <w:rFonts w:ascii="Arial" w:cs="Arial" w:eastAsia="Arial" w:hAnsi="Arial"/>
          <w:sz w:val="16"/>
          <w:szCs w:val="16"/>
          <w:color w:val="auto"/>
        </w:rPr>
        <w:t>on any change in the number of shares of Common Stock deliverable upon exercise of any such Purchase Rights or on any change in the minimum purchase price of such Purchase Rights, the Preferred Stock Conversion Price shall forthwith be readjusted to such Preferred Stock Conversion Price as would have been obtained had the adjustment been made upon (x) the issuance of such Purchase Rights not exercised, converted or exchanged prior to such change, as the case may be, been made upon the basis of such change or (y) the issuance of options or rights related to such securities not converted or exchanged prior to such change, as the case may be, been made upon the basis of such change; and</w:t>
      </w:r>
    </w:p>
    <w:p>
      <w:pPr>
        <w:spacing w:after="0" w:line="158" w:lineRule="exact"/>
        <w:rPr>
          <w:rFonts w:ascii="Arial" w:cs="Arial" w:eastAsia="Arial" w:hAnsi="Arial"/>
          <w:sz w:val="16"/>
          <w:szCs w:val="16"/>
          <w:color w:val="auto"/>
        </w:rPr>
      </w:pPr>
    </w:p>
    <w:p>
      <w:pPr>
        <w:ind w:right="20" w:firstLine="2404"/>
        <w:spacing w:after="0" w:line="286" w:lineRule="auto"/>
        <w:tabs>
          <w:tab w:leader="none" w:pos="2651" w:val="left"/>
        </w:tabs>
        <w:numPr>
          <w:ilvl w:val="2"/>
          <w:numId w:val="141"/>
        </w:numPr>
        <w:rPr>
          <w:rFonts w:ascii="Arial" w:cs="Arial" w:eastAsia="Arial" w:hAnsi="Arial"/>
          <w:sz w:val="17"/>
          <w:szCs w:val="17"/>
          <w:color w:val="auto"/>
        </w:rPr>
      </w:pPr>
      <w:r>
        <w:rPr>
          <w:rFonts w:ascii="Arial" w:cs="Arial" w:eastAsia="Arial" w:hAnsi="Arial"/>
          <w:sz w:val="17"/>
          <w:szCs w:val="17"/>
          <w:color w:val="auto"/>
        </w:rPr>
        <w:t>on the expiration of any Purchase Rights, the Preferred Stock Conversion Price shall forthwith be readjusted to such Preferred Stock Conversion Price as would have obtained had the adjustment made upon the issuance of such Purchase Right been made upon the basis of the issuance of only the number of shares of Common Stock actually issued upon the exercise of such Purchase Rights.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42" w:name="page243"/>
    <w:bookmarkEnd w:id="242"/>
    <w:p>
      <w:pPr>
        <w:ind w:firstLine="1492"/>
        <w:spacing w:after="0" w:line="255" w:lineRule="auto"/>
        <w:tabs>
          <w:tab w:leader="none" w:pos="1788"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after the date on which this Fourteenth Amended and Restated Certificate of Incorporation is filed with the Secretary of State of the State of Delaware (the “</w:t>
      </w:r>
      <w:r>
        <w:rPr>
          <w:rFonts w:ascii="Arial" w:cs="Arial" w:eastAsia="Arial" w:hAnsi="Arial"/>
          <w:sz w:val="18"/>
          <w:szCs w:val="18"/>
          <w:u w:val="single" w:color="auto"/>
          <w:color w:val="auto"/>
        </w:rPr>
        <w:t>Filing Date</w:t>
      </w:r>
      <w:r>
        <w:rPr>
          <w:rFonts w:ascii="Arial" w:cs="Arial" w:eastAsia="Arial" w:hAnsi="Arial"/>
          <w:sz w:val="18"/>
          <w:szCs w:val="18"/>
          <w:color w:val="auto"/>
        </w:rPr>
        <w:t>”) the number of shares of Common Stock then outstanding is increased by a stock dividend payable in shares of Common Stock or by a subdivision or split-up of shares of Common Stock, then, on the date such payment is made or such change is effective, the applicable Conversion Price shall be appropriately decreased so that the number of shares of Common Stock issuable on conversion of any shares of such Preferred Stock shall be increased in proportion to such increase of outstanding shares. For clarity, this Section 4(e)(iv) does not apply to the Reverse Stock Split.</w:t>
      </w:r>
    </w:p>
    <w:p>
      <w:pPr>
        <w:spacing w:after="0" w:line="193" w:lineRule="exact"/>
        <w:rPr>
          <w:rFonts w:ascii="Arial" w:cs="Arial" w:eastAsia="Arial" w:hAnsi="Arial"/>
          <w:sz w:val="18"/>
          <w:szCs w:val="18"/>
          <w:color w:val="auto"/>
        </w:rPr>
      </w:pPr>
    </w:p>
    <w:p>
      <w:pPr>
        <w:ind w:right="60" w:firstLine="1492"/>
        <w:spacing w:after="0" w:line="259" w:lineRule="auto"/>
        <w:tabs>
          <w:tab w:leader="none" w:pos="173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at any time after the Filing Date the number of shares of Common Stock then outstanding is decreased by a combination of the outstanding shares of Common Stock then, on the effective date of such combination, the applicable Conversion Price shall be appropriately increased so that the number of shares of Common Stock issuable on conversion of any shares of Preferred Stock shall be decreased in proportion to such decrease in outstanding shares.</w:t>
      </w:r>
    </w:p>
    <w:p>
      <w:pPr>
        <w:spacing w:after="0" w:line="186" w:lineRule="exact"/>
        <w:rPr>
          <w:rFonts w:ascii="Arial" w:cs="Arial" w:eastAsia="Arial" w:hAnsi="Arial"/>
          <w:sz w:val="18"/>
          <w:szCs w:val="18"/>
          <w:color w:val="auto"/>
        </w:rPr>
      </w:pPr>
    </w:p>
    <w:p>
      <w:pPr>
        <w:ind w:firstLine="1492"/>
        <w:spacing w:after="0" w:line="276" w:lineRule="auto"/>
        <w:tabs>
          <w:tab w:leader="none" w:pos="1788"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In case this corporation shall declare a cash dividend upon its Common Stock payable otherwise than out of retained earnings or shall distribute to holders of its Common Stock shares of its capital stock (other than Common Stock), stock or other securities of other persons, evidences of indebtedness issued by this corporation or other persons, assets (excluding cash dividends) or options or rights (excluding Purchase Rights), then, in each such case, the holders of shares of Preferred Stock shall, concurrent with the distribution to holders of Common Stock, receive a like distribution based upon the number of shares of Common Stock into which each series of Preferred Stock is convertible.</w:t>
      </w:r>
    </w:p>
    <w:p>
      <w:pPr>
        <w:spacing w:after="0" w:line="172" w:lineRule="exact"/>
        <w:rPr>
          <w:rFonts w:ascii="Arial" w:cs="Arial" w:eastAsia="Arial" w:hAnsi="Arial"/>
          <w:sz w:val="17"/>
          <w:szCs w:val="17"/>
          <w:color w:val="auto"/>
        </w:rPr>
      </w:pPr>
    </w:p>
    <w:p>
      <w:pPr>
        <w:ind w:right="120" w:firstLine="1492"/>
        <w:spacing w:after="0" w:line="291" w:lineRule="auto"/>
        <w:tabs>
          <w:tab w:leader="none" w:pos="1838"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In case, at any time after the Filing Date, of any capital reorganization, or any reclassification of the stock of this corporation (other than as a result of a stock dividend or subdivision, split-up or combination of shares provided for under </w:t>
      </w:r>
      <w:r>
        <w:rPr>
          <w:rFonts w:ascii="Arial" w:cs="Arial" w:eastAsia="Arial" w:hAnsi="Arial"/>
          <w:sz w:val="16"/>
          <w:szCs w:val="16"/>
          <w:u w:val="single" w:color="auto"/>
          <w:color w:val="auto"/>
        </w:rPr>
        <w:t>Section 4(e)(iv) or (v)</w:t>
      </w:r>
      <w:r>
        <w:rPr>
          <w:rFonts w:ascii="Arial" w:cs="Arial" w:eastAsia="Arial" w:hAnsi="Arial"/>
          <w:sz w:val="16"/>
          <w:szCs w:val="16"/>
          <w:color w:val="auto"/>
        </w:rPr>
        <w:t xml:space="preserve"> above or as a result of the Reverse Stock Split), the consolidation or merger of this corporation with or into another person, or of the sale or other disposition of all or substantially all the properties and assets of this corporation (other than a Liquidating Transaction, which shall be governed by </w:t>
      </w:r>
      <w:r>
        <w:rPr>
          <w:rFonts w:ascii="Arial" w:cs="Arial" w:eastAsia="Arial" w:hAnsi="Arial"/>
          <w:sz w:val="16"/>
          <w:szCs w:val="16"/>
          <w:u w:val="single" w:color="auto"/>
          <w:color w:val="auto"/>
        </w:rPr>
        <w:t>Section 2</w:t>
      </w:r>
      <w:r>
        <w:rPr>
          <w:rFonts w:ascii="Arial" w:cs="Arial" w:eastAsia="Arial" w:hAnsi="Arial"/>
          <w:sz w:val="16"/>
          <w:szCs w:val="16"/>
          <w:color w:val="auto"/>
        </w:rPr>
        <w:t>), (“</w:t>
      </w:r>
      <w:r>
        <w:rPr>
          <w:rFonts w:ascii="Arial" w:cs="Arial" w:eastAsia="Arial" w:hAnsi="Arial"/>
          <w:sz w:val="16"/>
          <w:szCs w:val="16"/>
          <w:u w:val="single" w:color="auto"/>
          <w:color w:val="auto"/>
        </w:rPr>
        <w:t>Transaction</w:t>
      </w:r>
      <w:r>
        <w:rPr>
          <w:rFonts w:ascii="Arial" w:cs="Arial" w:eastAsia="Arial" w:hAnsi="Arial"/>
          <w:sz w:val="16"/>
          <w:szCs w:val="16"/>
          <w:color w:val="auto"/>
        </w:rPr>
        <w:t>”), the shares of Preferred Stock shall, after such Transaction, be convertible into the kind and number of shares of stock or other securities or property of this corporation or otherwise to which such holder would have been entitled if immediately prior to such Transaction the holder had converted the holder’s shares of Preferred Stock into Common Stock. The provisions of this clause (vii) shall similarly apply to successive Transactions.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43" w:name="page244"/>
    <w:bookmarkEnd w:id="243"/>
    <w:p>
      <w:pPr>
        <w:ind w:left="1900" w:hanging="408"/>
        <w:spacing w:after="0"/>
        <w:tabs>
          <w:tab w:leader="none" w:pos="1900" w:val="left"/>
        </w:tabs>
        <w:numPr>
          <w:ilvl w:val="2"/>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calculations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be made to the nearest cent or to the nearest 1/100 of a share, as the case may be.</w:t>
      </w:r>
    </w:p>
    <w:p>
      <w:pPr>
        <w:spacing w:after="0" w:line="236" w:lineRule="exact"/>
        <w:rPr>
          <w:rFonts w:ascii="Arial" w:cs="Arial" w:eastAsia="Arial" w:hAnsi="Arial"/>
          <w:sz w:val="17"/>
          <w:szCs w:val="17"/>
          <w:color w:val="auto"/>
        </w:rPr>
      </w:pPr>
    </w:p>
    <w:p>
      <w:pPr>
        <w:ind w:right="80" w:firstLine="1492"/>
        <w:spacing w:after="0" w:line="257" w:lineRule="auto"/>
        <w:tabs>
          <w:tab w:leader="none" w:pos="1788" w:val="left"/>
        </w:tabs>
        <w:numPr>
          <w:ilvl w:val="2"/>
          <w:numId w:val="143"/>
        </w:numPr>
        <w:rPr>
          <w:rFonts w:ascii="Arial" w:cs="Arial" w:eastAsia="Arial" w:hAnsi="Arial"/>
          <w:sz w:val="18"/>
          <w:szCs w:val="18"/>
          <w:color w:val="auto"/>
        </w:rPr>
      </w:pPr>
      <w:r>
        <w:rPr>
          <w:rFonts w:ascii="Arial" w:cs="Arial" w:eastAsia="Arial" w:hAnsi="Arial"/>
          <w:sz w:val="18"/>
          <w:szCs w:val="18"/>
          <w:color w:val="auto"/>
        </w:rPr>
        <w:t xml:space="preserve">For the purpose of any computation pursuant to this </w:t>
      </w:r>
      <w:r>
        <w:rPr>
          <w:rFonts w:ascii="Arial" w:cs="Arial" w:eastAsia="Arial" w:hAnsi="Arial"/>
          <w:sz w:val="18"/>
          <w:szCs w:val="18"/>
          <w:u w:val="single" w:color="auto"/>
          <w:color w:val="auto"/>
        </w:rPr>
        <w:t>Section 4(e)</w:t>
      </w:r>
      <w:r>
        <w:rPr>
          <w:rFonts w:ascii="Arial" w:cs="Arial" w:eastAsia="Arial" w:hAnsi="Arial"/>
          <w:sz w:val="18"/>
          <w:szCs w:val="18"/>
          <w:color w:val="auto"/>
        </w:rPr>
        <w:t>, the “</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at any date of one share of Common Stock, shall be deemed to be the average of the highest reported bid and the lowest reported offer prices on the preceding business day as reported by Nasdaq (or equivalent recognized source of quotations); provided, however, that if the Common Stock is not traded in such manner that the quotations referred to in this clause (ix) are available for the period required hereunder, Current Market Price shall be determined in good faith by the board of directors of this corporation.</w:t>
      </w:r>
    </w:p>
    <w:p>
      <w:pPr>
        <w:spacing w:after="0" w:line="188" w:lineRule="exact"/>
        <w:rPr>
          <w:rFonts w:ascii="Arial" w:cs="Arial" w:eastAsia="Arial" w:hAnsi="Arial"/>
          <w:sz w:val="18"/>
          <w:szCs w:val="18"/>
          <w:color w:val="auto"/>
        </w:rPr>
      </w:pPr>
    </w:p>
    <w:p>
      <w:pPr>
        <w:ind w:right="100" w:firstLine="921"/>
        <w:spacing w:after="0" w:line="286" w:lineRule="auto"/>
        <w:tabs>
          <w:tab w:leader="none" w:pos="1138" w:val="left"/>
        </w:tabs>
        <w:numPr>
          <w:ilvl w:val="1"/>
          <w:numId w:val="144"/>
        </w:numPr>
        <w:rPr>
          <w:rFonts w:ascii="Arial" w:cs="Arial" w:eastAsia="Arial" w:hAnsi="Arial"/>
          <w:sz w:val="17"/>
          <w:szCs w:val="17"/>
          <w:color w:val="auto"/>
        </w:rPr>
      </w:pPr>
      <w:r>
        <w:rPr>
          <w:rFonts w:ascii="Arial" w:cs="Arial" w:eastAsia="Arial" w:hAnsi="Arial"/>
          <w:sz w:val="17"/>
          <w:szCs w:val="17"/>
          <w:u w:val="single" w:color="auto"/>
          <w:color w:val="auto"/>
        </w:rPr>
        <w:t>Minimal Adjustments</w:t>
      </w:r>
      <w:r>
        <w:rPr>
          <w:rFonts w:ascii="Arial" w:cs="Arial" w:eastAsia="Arial" w:hAnsi="Arial"/>
          <w:sz w:val="17"/>
          <w:szCs w:val="17"/>
          <w:color w:val="auto"/>
        </w:rPr>
        <w:t>. No adjustment in the Conversion Price need be made if such adjustment would result in a change in the Conversion Price of less than $0.01. Any adjustment of less than $0.01 which is not made shall be carried forward and shall be made at the time of and together with any subsequent adjustment which, on a cumulative basis, amounts to an adjustment of $0.01 or more in the Conversion Price.</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921"/>
        <w:spacing w:after="0" w:line="288" w:lineRule="auto"/>
        <w:tabs>
          <w:tab w:leader="none" w:pos="1168"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Rate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adjustment or readjustment is based.</w:t>
      </w:r>
    </w:p>
    <w:p>
      <w:pPr>
        <w:spacing w:after="0"/>
        <w:rPr>
          <w:rFonts w:ascii="Arial" w:cs="Arial" w:eastAsia="Arial" w:hAnsi="Arial"/>
          <w:sz w:val="16"/>
          <w:szCs w:val="16"/>
          <w:color w:val="auto"/>
        </w:rPr>
      </w:pPr>
      <w:r>
        <w:rPr>
          <w:rFonts w:ascii="Arial" w:cs="Arial" w:eastAsia="Arial" w:hAnsi="Arial"/>
          <w:sz w:val="16"/>
          <w:szCs w:val="16"/>
          <w:color w:val="auto"/>
        </w:rPr>
        <w:t>This corporation shall, upon request at any time of any holder of Preferred Stock, furnish or cause to be furnished to such holder a like certificate setting forth</w:t>
      </w:r>
    </w:p>
    <w:p>
      <w:pPr>
        <w:spacing w:after="0" w:line="32" w:lineRule="exact"/>
        <w:rPr>
          <w:rFonts w:ascii="Arial" w:cs="Arial" w:eastAsia="Arial" w:hAnsi="Arial"/>
          <w:sz w:val="16"/>
          <w:szCs w:val="16"/>
          <w:color w:val="auto"/>
        </w:rPr>
      </w:pPr>
    </w:p>
    <w:p>
      <w:pPr>
        <w:ind w:right="80" w:firstLine="8"/>
        <w:spacing w:after="0" w:line="261" w:lineRule="auto"/>
        <w:tabs>
          <w:tab w:leader="none" w:pos="2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such adjustments and readjustments, (ii) the Conversion Rate at the time in effect, and (iii) the number of shares of Common Stock and the amount, if any, of other property which at the time would be received upon the conversions of such holder’s shares of Preferred Stock.</w:t>
      </w:r>
    </w:p>
    <w:p>
      <w:pPr>
        <w:spacing w:after="0" w:line="183" w:lineRule="exact"/>
        <w:rPr>
          <w:rFonts w:ascii="Arial" w:cs="Arial" w:eastAsia="Arial" w:hAnsi="Arial"/>
          <w:sz w:val="18"/>
          <w:szCs w:val="18"/>
          <w:color w:val="auto"/>
        </w:rPr>
      </w:pPr>
    </w:p>
    <w:p>
      <w:pPr>
        <w:ind w:right="60" w:firstLine="921"/>
        <w:spacing w:after="0" w:line="276" w:lineRule="auto"/>
        <w:tabs>
          <w:tab w:leader="none" w:pos="1128"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of any taking by this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this corporation shall mail to each holder of Preferred Stock at least twenty (20) days prior to such record date, a notice specifying the date on which any such record is to be taken for the purpose of such dividend or distribution or right, and the amount and character of such dividend, distribution or right.</w:t>
      </w:r>
    </w:p>
    <w:p>
      <w:pPr>
        <w:spacing w:after="0" w:line="172" w:lineRule="exact"/>
        <w:rPr>
          <w:rFonts w:ascii="Arial" w:cs="Arial" w:eastAsia="Arial" w:hAnsi="Arial"/>
          <w:sz w:val="17"/>
          <w:szCs w:val="17"/>
          <w:color w:val="auto"/>
        </w:rPr>
      </w:pPr>
    </w:p>
    <w:p>
      <w:pPr>
        <w:ind w:right="60" w:firstLine="921"/>
        <w:spacing w:after="0" w:line="255" w:lineRule="auto"/>
        <w:tabs>
          <w:tab w:leader="none" w:pos="1128"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Reservation of Stock Issuable Upon Conversion</w:t>
      </w:r>
      <w:r>
        <w:rPr>
          <w:rFonts w:ascii="Arial" w:cs="Arial" w:eastAsia="Arial" w:hAnsi="Arial"/>
          <w:sz w:val="18"/>
          <w:szCs w:val="18"/>
          <w:color w:val="auto"/>
        </w:rPr>
        <w:t>. This corporation shall at all times reserve and keep available out of its authorized but unissued shares of Common Stock solely for the purpose of effecting the conversion of the shares of Preferred Stock such number of its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Preferred Stock, this corporation will take such corporate action as may, in the opinion of its counsel, be necessary to increase its authorized but unissued shares of Common Stock to such number of shares as shall be sufficient for such purpose.</w:t>
      </w:r>
    </w:p>
    <w:p>
      <w:pPr>
        <w:spacing w:after="0" w:line="193" w:lineRule="exact"/>
        <w:rPr>
          <w:rFonts w:ascii="Arial" w:cs="Arial" w:eastAsia="Arial" w:hAnsi="Arial"/>
          <w:sz w:val="18"/>
          <w:szCs w:val="18"/>
          <w:color w:val="auto"/>
        </w:rPr>
      </w:pPr>
    </w:p>
    <w:p>
      <w:pPr>
        <w:ind w:firstLine="921"/>
        <w:spacing w:after="0" w:line="264" w:lineRule="auto"/>
        <w:tabs>
          <w:tab w:leader="none" w:pos="1168"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by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to be given to the holder of shares of Preferred Stock shall be deemed given if deposited in the United States mail, postage prepaid, and addressed to each holder of record at such holder’s address appearing on the books of this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44" w:name="page245"/>
    <w:bookmarkEnd w:id="244"/>
    <w:p>
      <w:pPr>
        <w:ind w:left="600" w:hanging="176"/>
        <w:spacing w:after="0"/>
        <w:tabs>
          <w:tab w:leader="none" w:pos="6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Mandatory Conversions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20" w:hanging="239"/>
        <w:spacing w:after="0"/>
        <w:tabs>
          <w:tab w:leader="none" w:pos="1120" w:val="left"/>
        </w:tabs>
        <w:numPr>
          <w:ilvl w:val="1"/>
          <w:numId w:val="146"/>
        </w:numPr>
        <w:rPr>
          <w:rFonts w:ascii="Arial" w:cs="Arial" w:eastAsia="Arial" w:hAnsi="Arial"/>
          <w:sz w:val="18"/>
          <w:szCs w:val="18"/>
          <w:color w:val="auto"/>
        </w:rPr>
      </w:pPr>
      <w:r>
        <w:rPr>
          <w:rFonts w:ascii="Arial" w:cs="Arial" w:eastAsia="Arial" w:hAnsi="Arial"/>
          <w:sz w:val="18"/>
          <w:szCs w:val="18"/>
          <w:u w:val="single" w:color="auto"/>
          <w:color w:val="auto"/>
        </w:rPr>
        <w:t>Trigger Event</w:t>
      </w:r>
      <w:r>
        <w:rPr>
          <w:rFonts w:ascii="Arial" w:cs="Arial" w:eastAsia="Arial" w:hAnsi="Arial"/>
          <w:sz w:val="18"/>
          <w:szCs w:val="18"/>
          <w:color w:val="auto"/>
        </w:rPr>
        <w:t>. Except to the extent waived by the holders of a majority of the outstanding Prime Preferred Stock:</w:t>
      </w:r>
    </w:p>
    <w:p>
      <w:pPr>
        <w:spacing w:after="0" w:line="225" w:lineRule="exact"/>
        <w:rPr>
          <w:rFonts w:ascii="Arial" w:cs="Arial" w:eastAsia="Arial" w:hAnsi="Arial"/>
          <w:sz w:val="18"/>
          <w:szCs w:val="18"/>
          <w:color w:val="auto"/>
        </w:rPr>
      </w:pPr>
    </w:p>
    <w:p>
      <w:pPr>
        <w:ind w:left="1660" w:hanging="208"/>
        <w:spacing w:after="0"/>
        <w:tabs>
          <w:tab w:leader="none" w:pos="1660" w:val="left"/>
        </w:tabs>
        <w:numPr>
          <w:ilvl w:val="2"/>
          <w:numId w:val="146"/>
        </w:numPr>
        <w:rPr>
          <w:rFonts w:ascii="Arial" w:cs="Arial" w:eastAsia="Arial" w:hAnsi="Arial"/>
          <w:sz w:val="18"/>
          <w:szCs w:val="18"/>
          <w:color w:val="auto"/>
        </w:rPr>
      </w:pPr>
      <w:r>
        <w:rPr>
          <w:rFonts w:ascii="Arial" w:cs="Arial" w:eastAsia="Arial" w:hAnsi="Arial"/>
          <w:sz w:val="18"/>
          <w:szCs w:val="18"/>
          <w:u w:val="single" w:color="auto"/>
          <w:color w:val="auto"/>
        </w:rPr>
        <w:t>Equity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00" w:hanging="292"/>
        <w:spacing w:after="0"/>
        <w:tabs>
          <w:tab w:leader="none" w:pos="2200" w:val="left"/>
        </w:tabs>
        <w:numPr>
          <w:ilvl w:val="3"/>
          <w:numId w:val="14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40" w:firstLine="1948"/>
        <w:spacing w:after="0" w:line="285" w:lineRule="auto"/>
        <w:tabs>
          <w:tab w:leader="none" w:pos="2185" w:val="left"/>
        </w:tabs>
        <w:numPr>
          <w:ilvl w:val="3"/>
          <w:numId w:val="146"/>
        </w:numPr>
        <w:rPr>
          <w:rFonts w:ascii="Arial" w:cs="Arial" w:eastAsia="Arial" w:hAnsi="Arial"/>
          <w:sz w:val="16"/>
          <w:szCs w:val="16"/>
          <w:color w:val="auto"/>
        </w:rPr>
      </w:pPr>
      <w:r>
        <w:rPr>
          <w:rFonts w:ascii="Arial" w:cs="Arial" w:eastAsia="Arial" w:hAnsi="Arial"/>
          <w:sz w:val="16"/>
          <w:szCs w:val="16"/>
          <w:color w:val="auto"/>
        </w:rPr>
        <w:t xml:space="preserve">In the event that any holder of shares of Preferred Stock (other than holders of Series C-1 Preferred Stock, for whom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does not apply) does not participate in any of the Fourth Equity Closing or Fifth Equity Closing (each as defined in that certain Series B-1 Preferred Stock Purchase Agreement by and among this corporation and the Investors (as defined therein), dated as of March 8, 2013, as amended (the “</w:t>
      </w:r>
      <w:r>
        <w:rPr>
          <w:rFonts w:ascii="Arial" w:cs="Arial" w:eastAsia="Arial" w:hAnsi="Arial"/>
          <w:sz w:val="16"/>
          <w:szCs w:val="16"/>
          <w:u w:val="single" w:color="auto"/>
          <w:color w:val="auto"/>
        </w:rPr>
        <w:t>2013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subject to the terms and conditions of such closing, including without limitation the satisfaction or waiver of applicable closing conditions, of the Qualified Financing by purchasing such holder’s Pro Rata Share (as defined in the 2013 Purchase Agreement) at such closing, then, automatically, and without any further action on the part of such holder, and effective upon, subject to, and concurrently with, the consummation of such closing, (1) each share of Series A-1 Preferred Stock held by such holder immediately prior thereto shall be converted into one share of Series A Preferred Stock, (2) each share of Series B-1 Preferred Stock held by such holder immediately prior thereto shall be converted into one share of Series B Preferred Stock, and (3) the outstanding principal balance and all unpaid accrued interest, net of any required withholding taxes, of all Debt, if any, held by such holder shall convert in whole into shares of Series B Preferred Stock at a conversion price equal to the price per share paid by the participants in the Qualified Financing on the same terms and conditions as given to the participants in the Qualified Financing. Notwithstanding the foregoing, </w:t>
      </w:r>
      <w:r>
        <w:rPr>
          <w:rFonts w:ascii="Arial" w:cs="Arial" w:eastAsia="Arial" w:hAnsi="Arial"/>
          <w:sz w:val="16"/>
          <w:szCs w:val="16"/>
          <w:u w:val="single" w:color="auto"/>
          <w:color w:val="auto"/>
        </w:rPr>
        <w:t>Section 5(a)(i)(B)</w:t>
      </w:r>
      <w:r>
        <w:rPr>
          <w:rFonts w:ascii="Arial" w:cs="Arial" w:eastAsia="Arial" w:hAnsi="Arial"/>
          <w:sz w:val="16"/>
          <w:szCs w:val="16"/>
          <w:color w:val="auto"/>
        </w:rPr>
        <w:t xml:space="preserve"> shall not apply to: (X) GE Capital Equity Investments, Inc. or its Affiliates with respect to those shares of Series B-1 Preferred Stock issued to it or them pursuant to that certain Exchange Agreement by and between GE Capital Equity Investments, Inc. and this corporation on or about the date of this corporation’s Sixth Amended and Restated Certificate of Incorporation; or (Y) Eddingpharm International Company Limited, a British Virgin Islands company (“</w:t>
      </w:r>
      <w:r>
        <w:rPr>
          <w:rFonts w:ascii="Arial" w:cs="Arial" w:eastAsia="Arial" w:hAnsi="Arial"/>
          <w:sz w:val="16"/>
          <w:szCs w:val="16"/>
          <w:u w:val="single" w:color="auto"/>
          <w:color w:val="auto"/>
        </w:rPr>
        <w:t>Eddingpharm</w:t>
      </w:r>
      <w:r>
        <w:rPr>
          <w:rFonts w:ascii="Arial" w:cs="Arial" w:eastAsia="Arial" w:hAnsi="Arial"/>
          <w:sz w:val="16"/>
          <w:szCs w:val="16"/>
          <w:color w:val="auto"/>
        </w:rPr>
        <w:t>”), or its Affiliates with respect to those shares of Series B-1 Preferred Stock issued in connection with that certain Series B-1 Preferred Stock Purchase Agreement by and between this corporation and Eddingpharm, dated as of April 18, 2013. This Fourteenth Amended and Restated Certificate of Incorporation shall not be amended such that subsection (X) or (Y) above is modified without the written consent of GE Capital Equity Investments, Inc. in the case of subsection (X) and Eddingpharm in the case of subsection (Y).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80" w:top="274" w:right="279" w:bottom="1440" w:gutter="0" w:footer="0" w:header="0"/>
        </w:sectPr>
      </w:pPr>
    </w:p>
    <w:bookmarkStart w:id="245" w:name="page246"/>
    <w:bookmarkEnd w:id="245"/>
    <w:p>
      <w:pPr>
        <w:ind w:left="-60" w:right="300" w:firstLine="1948"/>
        <w:spacing w:after="0" w:line="279" w:lineRule="auto"/>
        <w:tabs>
          <w:tab w:leader="none" w:pos="2165" w:val="left"/>
        </w:tabs>
        <w:numPr>
          <w:ilvl w:val="2"/>
          <w:numId w:val="14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conversions of Preferred Stock and Debt and the issuances of equity securities contemplated by this </w:t>
      </w:r>
      <w:r>
        <w:rPr>
          <w:rFonts w:ascii="Arial" w:cs="Arial" w:eastAsia="Arial" w:hAnsi="Arial"/>
          <w:sz w:val="17"/>
          <w:szCs w:val="17"/>
          <w:u w:val="single" w:color="auto"/>
          <w:color w:val="auto"/>
        </w:rPr>
        <w:t>Section 5(a)(i)</w:t>
      </w:r>
      <w:r>
        <w:rPr>
          <w:rFonts w:ascii="Arial" w:cs="Arial" w:eastAsia="Arial" w:hAnsi="Arial"/>
          <w:sz w:val="17"/>
          <w:szCs w:val="17"/>
          <w:color w:val="auto"/>
        </w:rPr>
        <w:t xml:space="preserve"> are referred to as “</w:t>
      </w:r>
      <w:r>
        <w:rPr>
          <w:rFonts w:ascii="Arial" w:cs="Arial" w:eastAsia="Arial" w:hAnsi="Arial"/>
          <w:sz w:val="17"/>
          <w:szCs w:val="17"/>
          <w:u w:val="single" w:color="auto"/>
          <w:color w:val="auto"/>
        </w:rPr>
        <w:t>Special Mandatory Conversions</w:t>
      </w:r>
      <w:r>
        <w:rPr>
          <w:rFonts w:ascii="Arial" w:cs="Arial" w:eastAsia="Arial" w:hAnsi="Arial"/>
          <w:sz w:val="17"/>
          <w:szCs w:val="17"/>
          <w:color w:val="auto"/>
        </w:rPr>
        <w:t>.” No fractional shares shall be issued upon a Special Mandatory Conversion. In the case of the Special Mandatory Conversion of Debt, this corporation shall pay to the holder an amount in cash equal to the product obtained by multiplying the applicable conversion price set forth in the applicable Debt by the fraction of a share not issued upon such conversion.</w:t>
      </w:r>
    </w:p>
    <w:p>
      <w:pPr>
        <w:spacing w:after="0" w:line="171" w:lineRule="exact"/>
        <w:rPr>
          <w:rFonts w:ascii="Arial" w:cs="Arial" w:eastAsia="Arial" w:hAnsi="Arial"/>
          <w:sz w:val="17"/>
          <w:szCs w:val="17"/>
          <w:color w:val="auto"/>
        </w:rPr>
      </w:pPr>
    </w:p>
    <w:p>
      <w:pPr>
        <w:ind w:left="-60" w:right="40" w:firstLine="1492"/>
        <w:spacing w:after="0" w:line="297" w:lineRule="auto"/>
        <w:tabs>
          <w:tab w:leader="none" w:pos="1688"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Affiliate Aggregation</w:t>
      </w:r>
      <w:r>
        <w:rPr>
          <w:rFonts w:ascii="Arial" w:cs="Arial" w:eastAsia="Arial" w:hAnsi="Arial"/>
          <w:sz w:val="16"/>
          <w:szCs w:val="16"/>
          <w:color w:val="auto"/>
        </w:rPr>
        <w:t>. For purposes of determining (A) the number of shares of Preferred Stock and Preferred Stock into which Debt is convertible by a holder thereof, (B) such holder’s Pro Rata Share and (C) the number of Offered Securities such holder has purchased in a Qualified Financing, all shares of Preferred Stock and shares of Preferred Stock into which Debt is convertible held by Affiliates of such holder shall be aggregated with such holder’s shares and all Offered Securities purchased by Affiliates of such holder shall be aggregated with the Offered Securities purchased by such holder (provided that no shares or securities shall be attributed to more than one entity or person within any such group of affiliated entities or persons).</w:t>
      </w:r>
    </w:p>
    <w:p>
      <w:pPr>
        <w:spacing w:after="0" w:line="158" w:lineRule="exact"/>
        <w:rPr>
          <w:rFonts w:ascii="Arial" w:cs="Arial" w:eastAsia="Arial" w:hAnsi="Arial"/>
          <w:sz w:val="16"/>
          <w:szCs w:val="16"/>
          <w:color w:val="auto"/>
        </w:rPr>
      </w:pPr>
    </w:p>
    <w:p>
      <w:pPr>
        <w:ind w:left="1120" w:hanging="259"/>
        <w:spacing w:after="0"/>
        <w:tabs>
          <w:tab w:leader="none" w:pos="112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Procedural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1492"/>
        <w:spacing w:after="0" w:line="287" w:lineRule="auto"/>
        <w:tabs>
          <w:tab w:leader="none" w:pos="163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Upon a Special Mandatory Conversion, each holder of shares of Preferred Stock or Debt converted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be sent written notice of such Special Mandatory Conversion. Upon receipt of such notice, each holder of such securities shall surrender his, her or its certificate(s) for all such shares of applicable Preferred Stock and Debt (“</w:t>
      </w:r>
      <w:r>
        <w:rPr>
          <w:rFonts w:ascii="Arial" w:cs="Arial" w:eastAsia="Arial" w:hAnsi="Arial"/>
          <w:sz w:val="16"/>
          <w:szCs w:val="16"/>
          <w:u w:val="single" w:color="auto"/>
          <w:color w:val="auto"/>
        </w:rPr>
        <w:t>Securities Documentation</w:t>
      </w:r>
      <w:r>
        <w:rPr>
          <w:rFonts w:ascii="Arial" w:cs="Arial" w:eastAsia="Arial" w:hAnsi="Arial"/>
          <w:sz w:val="16"/>
          <w:szCs w:val="16"/>
          <w:color w:val="auto"/>
        </w:rPr>
        <w:t xml:space="preserve">”) (or, if such holder alleges that such Securities Documentation has been lost, stolen or destroyed, an affidavit certifying to its loss and agreement reasonably acceptable to this corporation to indemnify this corporation against any claim that may be made against this corporation on account of the alleged loss, theft or destruction of such Securities Documentation) to this corporation at the place designated in such notice. If so required by this corporation, Securities Documentation surrendered for conversion shall be endorsed or accompanied by written instrument or instruments of transfer, in form satisfactory to this corporation, duly executed by the registered holder or by his, her or its attorney duly authorized in writing. All rights with respect to the securities converted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including the rights, if any, to receive notices and vote, will terminate at the time of the Special Mandatory Conversion (notwithstanding the failure of the holder or holders thereof to surrender the Securities Documentation for such shares of Preferred Stock or Debt at or prior to such time), except only the rights of the holders thereof, upon surrender of their certificate or certificates therefor (or lost certificate affidavit and agreement), to receive the items provided for in </w:t>
      </w:r>
      <w:r>
        <w:rPr>
          <w:rFonts w:ascii="Arial" w:cs="Arial" w:eastAsia="Arial" w:hAnsi="Arial"/>
          <w:sz w:val="16"/>
          <w:szCs w:val="16"/>
          <w:u w:val="single" w:color="auto"/>
          <w:color w:val="auto"/>
        </w:rPr>
        <w:t>Section 5(b)(ii)</w:t>
      </w:r>
      <w:r>
        <w:rPr>
          <w:rFonts w:ascii="Arial" w:cs="Arial" w:eastAsia="Arial" w:hAnsi="Arial"/>
          <w:sz w:val="16"/>
          <w:szCs w:val="16"/>
          <w:color w:val="auto"/>
        </w:rPr>
        <w:t>.</w:t>
      </w:r>
    </w:p>
    <w:p>
      <w:pPr>
        <w:spacing w:after="0" w:line="173" w:lineRule="exact"/>
        <w:rPr>
          <w:sz w:val="20"/>
          <w:szCs w:val="20"/>
          <w:color w:val="auto"/>
        </w:rPr>
      </w:pPr>
    </w:p>
    <w:p>
      <w:pPr>
        <w:ind w:left="-60" w:right="80" w:firstLine="1492"/>
        <w:spacing w:after="0" w:line="297" w:lineRule="auto"/>
        <w:tabs>
          <w:tab w:leader="none" w:pos="168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As soon as practicable after the Special Mandatory Conversion and the surrender of the certificate(s) (or lost certificate affidavit and agreement) for applicable Preferred Stock and Debt so converted, this corporation shall issue and deliver to such holder, or to his, her or its nominees, a certificate or certificates for the number of full shares of Preferred Stock issuable on such conversion in accordance with the provisions hereof, together with cash as provided in </w:t>
      </w:r>
      <w:r>
        <w:rPr>
          <w:rFonts w:ascii="Arial" w:cs="Arial" w:eastAsia="Arial" w:hAnsi="Arial"/>
          <w:sz w:val="16"/>
          <w:szCs w:val="16"/>
          <w:u w:val="single" w:color="auto"/>
          <w:color w:val="auto"/>
        </w:rPr>
        <w:t>Section 5(a)(i)(C)</w:t>
      </w:r>
      <w:r>
        <w:rPr>
          <w:rFonts w:ascii="Arial" w:cs="Arial" w:eastAsia="Arial" w:hAnsi="Arial"/>
          <w:sz w:val="16"/>
          <w:szCs w:val="16"/>
          <w:color w:val="auto"/>
        </w:rPr>
        <w:t xml:space="preserve"> in lieu of any fraction of a share of Preferred Stock otherwise issuable upon such conversion and the payment of any declared but unpaid dividends on the shares of Preferred Stock converted. Such converted Preferred Stock shall be retired and cancelled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300" w:top="274" w:right="279" w:bottom="1440" w:gutter="0" w:footer="0" w:header="0"/>
        </w:sectPr>
      </w:pPr>
    </w:p>
    <w:bookmarkStart w:id="246" w:name="page247"/>
    <w:bookmarkEnd w:id="246"/>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may not be reissued as shares of such series, and this corporation may thereafter take such appropriate action (without the need for stockholder action) as may be necessary to reduce the authorized number of shares of Preferred Stock accordingly.</w:t>
      </w:r>
    </w:p>
    <w:p>
      <w:pPr>
        <w:spacing w:after="0" w:line="170" w:lineRule="exact"/>
        <w:rPr>
          <w:sz w:val="20"/>
          <w:szCs w:val="20"/>
          <w:color w:val="auto"/>
        </w:rPr>
      </w:pPr>
    </w:p>
    <w:p>
      <w:pPr>
        <w:ind w:left="1160" w:hanging="239"/>
        <w:spacing w:after="0"/>
        <w:tabs>
          <w:tab w:leader="none" w:pos="1160" w:val="left"/>
        </w:tabs>
        <w:numPr>
          <w:ilvl w:val="1"/>
          <w:numId w:val="15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following definitions shall apply:</w:t>
      </w:r>
    </w:p>
    <w:p>
      <w:pPr>
        <w:spacing w:after="0" w:line="225" w:lineRule="exact"/>
        <w:rPr>
          <w:rFonts w:ascii="Arial" w:cs="Arial" w:eastAsia="Arial" w:hAnsi="Arial"/>
          <w:sz w:val="18"/>
          <w:szCs w:val="18"/>
          <w:color w:val="auto"/>
        </w:rPr>
      </w:pPr>
    </w:p>
    <w:p>
      <w:pPr>
        <w:ind w:firstLine="1492"/>
        <w:spacing w:after="0" w:line="276" w:lineRule="auto"/>
        <w:tabs>
          <w:tab w:leader="none" w:pos="1698" w:val="left"/>
        </w:tabs>
        <w:numPr>
          <w:ilvl w:val="2"/>
          <w:numId w:val="1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holder of shares of Preferred Stock or Debt, any person, entity or firm which, directly or indirectly, through one or more intermediaries, controls, is controlled by or is under common control with such holder, including, without limitation, any entity of which the holder is a partner, subsidiary, affiliate of parent, general partner, managing member, officer or director or employee of such Person or any venture capital or other investment fund now or hereafter existing that is controlled by or under common control with one or more general partners or managing members of, or shares the same management company or investment advisor (or sub-advisor) with, such holder.</w:t>
      </w:r>
    </w:p>
    <w:p>
      <w:pPr>
        <w:spacing w:after="0" w:line="172" w:lineRule="exact"/>
        <w:rPr>
          <w:rFonts w:ascii="Arial" w:cs="Arial" w:eastAsia="Arial" w:hAnsi="Arial"/>
          <w:sz w:val="17"/>
          <w:szCs w:val="17"/>
          <w:color w:val="auto"/>
        </w:rPr>
      </w:pPr>
    </w:p>
    <w:p>
      <w:pPr>
        <w:ind w:right="120" w:firstLine="1492"/>
        <w:spacing w:after="0" w:line="297" w:lineRule="auto"/>
        <w:tabs>
          <w:tab w:leader="none" w:pos="1748" w:val="left"/>
        </w:tabs>
        <w:numPr>
          <w:ilvl w:val="2"/>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means convertible promissory notes issued by this corporation other than those certain promissory notes issued by this corporation on March 1, 2013 (A) to DP VIII Associates, L.P. in the principal amount of $165.72; (B) to Domain Partners VIII, L.P. in the principal amount of $22,334.28; (C) to MPM BioVentures IV-QP, L.P. in the principal amount of $18,744.82; (D) to MPM BioVentures IV GmbH &amp; Co. Beteiligungs KG in the principal amount of $722.16; (E) to MPM Asset Management Investors BV4 LLC in the principal amount of $533.02; and (F) to MPM BioVentures IV Strategic Fund, L.P. in the principal amount of $2,500.00 (such excepted promissory notes are collectively referred to herein as the “</w:t>
      </w:r>
      <w:r>
        <w:rPr>
          <w:rFonts w:ascii="Arial" w:cs="Arial" w:eastAsia="Arial" w:hAnsi="Arial"/>
          <w:sz w:val="16"/>
          <w:szCs w:val="16"/>
          <w:u w:val="single" w:color="auto"/>
          <w:color w:val="auto"/>
        </w:rPr>
        <w:t>March 1, 2013 Notes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340" w:firstLine="1492"/>
        <w:spacing w:after="0" w:line="277" w:lineRule="auto"/>
        <w:tabs>
          <w:tab w:leader="none" w:pos="1798" w:val="left"/>
        </w:tabs>
        <w:numPr>
          <w:ilvl w:val="2"/>
          <w:numId w:val="1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Securities</w:t>
      </w:r>
      <w:r>
        <w:rPr>
          <w:rFonts w:ascii="Arial" w:cs="Arial" w:eastAsia="Arial" w:hAnsi="Arial"/>
          <w:sz w:val="18"/>
          <w:szCs w:val="18"/>
          <w:color w:val="auto"/>
        </w:rPr>
        <w:t>” means the Series B-1 Preferred Stock set aside by the board of directors of this corporation for purchase by holders of outstanding shares of Preferred Stock in connection with a Qualified Financing, and offered to such holders.</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2"/>
          <w:numId w:val="1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Financing</w:t>
      </w:r>
      <w:r>
        <w:rPr>
          <w:rFonts w:ascii="Arial" w:cs="Arial" w:eastAsia="Arial" w:hAnsi="Arial"/>
          <w:sz w:val="16"/>
          <w:szCs w:val="16"/>
          <w:color w:val="auto"/>
        </w:rPr>
        <w:t>” means each of the closings of the Series B-1 Preferred Stock contemplated by the 2013 Purchase Agreement.</w:t>
      </w:r>
    </w:p>
    <w:p>
      <w:pPr>
        <w:spacing w:after="0" w:line="248" w:lineRule="exact"/>
        <w:rPr>
          <w:rFonts w:ascii="Arial" w:cs="Arial" w:eastAsia="Arial" w:hAnsi="Arial"/>
          <w:sz w:val="16"/>
          <w:szCs w:val="16"/>
          <w:color w:val="auto"/>
        </w:rPr>
      </w:pPr>
    </w:p>
    <w:p>
      <w:pPr>
        <w:ind w:right="80" w:firstLine="464"/>
        <w:spacing w:after="0" w:line="286" w:lineRule="auto"/>
        <w:tabs>
          <w:tab w:leader="none" w:pos="636"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Prime Preferred Stock Protective Provisions</w:t>
      </w:r>
      <w:r>
        <w:rPr>
          <w:rFonts w:ascii="Arial" w:cs="Arial" w:eastAsia="Arial" w:hAnsi="Arial"/>
          <w:sz w:val="17"/>
          <w:szCs w:val="17"/>
          <w:color w:val="auto"/>
        </w:rPr>
        <w:t>. So long as at least Six Thousand Five Hundred Four (6,504) shares of Prime Preferred Stock are outstanding, this corporation shall not (by merger, reclassification or otherwise), without first obtaining the approval (by vote or written consent, as provided by law) of the holders of at least sixty percent (60%) of the then outstanding shares of Prime Preferred Stock voting as a single class:</w:t>
      </w:r>
    </w:p>
    <w:p>
      <w:pPr>
        <w:spacing w:after="0" w:line="165" w:lineRule="exact"/>
        <w:rPr>
          <w:rFonts w:ascii="Arial" w:cs="Arial" w:eastAsia="Arial" w:hAnsi="Arial"/>
          <w:sz w:val="17"/>
          <w:szCs w:val="17"/>
          <w:color w:val="auto"/>
        </w:rPr>
      </w:pPr>
    </w:p>
    <w:p>
      <w:pPr>
        <w:ind w:left="1160" w:hanging="239"/>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amend the Certificate of Incorporation or Bylaws to alter or change the rights, preferences or privileges of the Preferred Stock;</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any class of capital stock of this corporation;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increase the number of shares reserved under any stock option plan of this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47" w:name="page248"/>
    <w:bookmarkEnd w:id="247"/>
    <w:p>
      <w:pPr>
        <w:ind w:left="1160" w:hanging="259"/>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create or effect a creation (by reclassification or otherwise) of any new class or series of shares of stock of this corporation;</w:t>
      </w:r>
    </w:p>
    <w:p>
      <w:pPr>
        <w:spacing w:after="0" w:line="225" w:lineRule="exact"/>
        <w:rPr>
          <w:rFonts w:ascii="Arial" w:cs="Arial" w:eastAsia="Arial" w:hAnsi="Arial"/>
          <w:sz w:val="18"/>
          <w:szCs w:val="18"/>
          <w:color w:val="auto"/>
        </w:rPr>
      </w:pPr>
    </w:p>
    <w:p>
      <w:pPr>
        <w:ind w:left="-20" w:right="280" w:firstLine="921"/>
        <w:spacing w:after="0" w:line="277" w:lineRule="auto"/>
        <w:tabs>
          <w:tab w:leader="none" w:pos="113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effect any (i) Liquidating Transaction or (ii) an agreement for the sale of capital stock such that the stockholders immediately prior to such sale will possess less than fifty percent (50%) of the voting power immediately after such sale;</w:t>
      </w:r>
    </w:p>
    <w:p>
      <w:pPr>
        <w:spacing w:after="0" w:line="170" w:lineRule="exact"/>
        <w:rPr>
          <w:rFonts w:ascii="Arial" w:cs="Arial" w:eastAsia="Arial" w:hAnsi="Arial"/>
          <w:sz w:val="18"/>
          <w:szCs w:val="18"/>
          <w:color w:val="auto"/>
        </w:rPr>
      </w:pPr>
    </w:p>
    <w:p>
      <w:pPr>
        <w:ind w:left="1120" w:hanging="219"/>
        <w:spacing w:after="0"/>
        <w:tabs>
          <w:tab w:leader="none" w:pos="112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declare or pay dividends on any capital stock (except as provided for in this Fourteenth Amended and Restated Certificate of Incorporation);</w:t>
      </w:r>
    </w:p>
    <w:p>
      <w:pPr>
        <w:spacing w:after="0" w:line="248" w:lineRule="exact"/>
        <w:rPr>
          <w:rFonts w:ascii="Arial" w:cs="Arial" w:eastAsia="Arial" w:hAnsi="Arial"/>
          <w:sz w:val="16"/>
          <w:szCs w:val="16"/>
          <w:color w:val="auto"/>
        </w:rPr>
      </w:pPr>
    </w:p>
    <w:p>
      <w:pPr>
        <w:ind w:left="1160" w:hanging="259"/>
        <w:spacing w:after="0"/>
        <w:tabs>
          <w:tab w:leader="none" w:pos="11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increase or decrease the number of directors of this corporation;</w:t>
      </w:r>
    </w:p>
    <w:p>
      <w:pPr>
        <w:spacing w:after="0" w:line="225" w:lineRule="exact"/>
        <w:rPr>
          <w:rFonts w:ascii="Arial" w:cs="Arial" w:eastAsia="Arial" w:hAnsi="Arial"/>
          <w:sz w:val="18"/>
          <w:szCs w:val="18"/>
          <w:color w:val="auto"/>
        </w:rPr>
      </w:pPr>
    </w:p>
    <w:p>
      <w:pPr>
        <w:jc w:val="both"/>
        <w:ind w:left="-20" w:right="260" w:firstLine="921"/>
        <w:spacing w:after="0" w:line="312" w:lineRule="auto"/>
        <w:tabs>
          <w:tab w:leader="none" w:pos="114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repurchase or redeem any shares of capital stock except in connection with the repurchase of shares of Common Stock issued to or held by employees or consultants upon termination of their employment or services pursuant to agreements providing for the right of said repurchase between this corporation and such persons but only to the extent each repurchase equals the original purchase price of such shares being repurchased; or</w:t>
      </w:r>
    </w:p>
    <w:p>
      <w:pPr>
        <w:spacing w:after="0" w:line="146" w:lineRule="exact"/>
        <w:rPr>
          <w:rFonts w:ascii="Arial" w:cs="Arial" w:eastAsia="Arial" w:hAnsi="Arial"/>
          <w:sz w:val="16"/>
          <w:szCs w:val="16"/>
          <w:color w:val="auto"/>
        </w:rPr>
      </w:pPr>
    </w:p>
    <w:p>
      <w:pPr>
        <w:ind w:left="-20" w:right="260" w:firstLine="921"/>
        <w:spacing w:after="0" w:line="308" w:lineRule="auto"/>
        <w:tabs>
          <w:tab w:leader="none" w:pos="110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do any act or thing which would result in taxation of the holders of shares of the Preferred Stock under Section 305 of the Internal Revenue Code of 1986, as amended (or any comparable provision of the Internal Revenue Code as hereafter from time to time amended).</w:t>
      </w:r>
    </w:p>
    <w:p>
      <w:pPr>
        <w:spacing w:after="0" w:line="146" w:lineRule="exact"/>
        <w:rPr>
          <w:rFonts w:ascii="Arial" w:cs="Arial" w:eastAsia="Arial" w:hAnsi="Arial"/>
          <w:sz w:val="17"/>
          <w:szCs w:val="17"/>
          <w:color w:val="auto"/>
        </w:rPr>
      </w:pPr>
    </w:p>
    <w:p>
      <w:pPr>
        <w:ind w:left="-20" w:right="100" w:firstLine="464"/>
        <w:spacing w:after="0" w:line="312" w:lineRule="auto"/>
        <w:tabs>
          <w:tab w:leader="none" w:pos="616"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Series C-1 Preferred Stock Protective Provisions</w:t>
      </w:r>
      <w:r>
        <w:rPr>
          <w:rFonts w:ascii="Arial" w:cs="Arial" w:eastAsia="Arial" w:hAnsi="Arial"/>
          <w:sz w:val="16"/>
          <w:szCs w:val="16"/>
          <w:color w:val="auto"/>
        </w:rPr>
        <w:t>. So long as at least four hundred twenty-eight thousand ninety-eight (428,098) shares of Series C-1 Preferred Stock are outstanding, this corporation shall not (by merger, reclassification or otherwise), without first obtaining the approval (by vote or written consent, as provided by law) of the holders of at least a majority of the then outstanding shares of Series C-1 Preferred Stock voting as a single class:</w:t>
      </w:r>
    </w:p>
    <w:p>
      <w:pPr>
        <w:spacing w:after="0" w:line="146" w:lineRule="exact"/>
        <w:rPr>
          <w:rFonts w:ascii="Arial" w:cs="Arial" w:eastAsia="Arial" w:hAnsi="Arial"/>
          <w:sz w:val="16"/>
          <w:szCs w:val="16"/>
          <w:color w:val="auto"/>
        </w:rPr>
      </w:pPr>
    </w:p>
    <w:p>
      <w:pPr>
        <w:ind w:left="-20" w:right="80" w:firstLine="921"/>
        <w:spacing w:after="0" w:line="286" w:lineRule="auto"/>
        <w:tabs>
          <w:tab w:leader="none" w:pos="113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create, or authorize the creation of, or issue or obligate itself to issue shares of, any additional class or series of capital stock that are senior to the Series C-1 Preferred Stock with respect to any right, preference or privilege, including but not limited to the distribution of assets on the liquidation, dissolution or winding up of this corporation, the payment of dividends and rights of redemption, voting or other rights and privileges,</w:t>
      </w:r>
    </w:p>
    <w:p>
      <w:pPr>
        <w:spacing w:after="0" w:line="165" w:lineRule="exact"/>
        <w:rPr>
          <w:rFonts w:ascii="Arial" w:cs="Arial" w:eastAsia="Arial" w:hAnsi="Arial"/>
          <w:sz w:val="17"/>
          <w:szCs w:val="17"/>
          <w:color w:val="auto"/>
        </w:rPr>
      </w:pPr>
    </w:p>
    <w:p>
      <w:pPr>
        <w:ind w:left="-20" w:right="180" w:firstLine="921"/>
        <w:spacing w:after="0" w:line="277" w:lineRule="auto"/>
        <w:tabs>
          <w:tab w:leader="none" w:pos="114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reclassify, alter or amend any existing security of this corporation,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C-1 Preferred Stock in respect of any right, preference or privilege;</w:t>
      </w:r>
    </w:p>
    <w:p>
      <w:pPr>
        <w:spacing w:after="0" w:line="170" w:lineRule="exact"/>
        <w:rPr>
          <w:rFonts w:ascii="Arial" w:cs="Arial" w:eastAsia="Arial" w:hAnsi="Arial"/>
          <w:sz w:val="18"/>
          <w:szCs w:val="18"/>
          <w:color w:val="auto"/>
        </w:rPr>
      </w:pPr>
    </w:p>
    <w:p>
      <w:pPr>
        <w:ind w:left="-20" w:right="780" w:firstLine="921"/>
        <w:spacing w:after="0" w:line="277" w:lineRule="auto"/>
        <w:tabs>
          <w:tab w:leader="none" w:pos="113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take any action with respect to this Certificate of Incorporation or this corporation’s Bylaws that would adversely affect the powers, preferences, rights or privileges of the Series C-1 Preferred Stock;</w:t>
      </w:r>
    </w:p>
    <w:p>
      <w:pPr>
        <w:spacing w:after="0" w:line="170" w:lineRule="exact"/>
        <w:rPr>
          <w:rFonts w:ascii="Arial" w:cs="Arial" w:eastAsia="Arial" w:hAnsi="Arial"/>
          <w:sz w:val="18"/>
          <w:szCs w:val="18"/>
          <w:color w:val="auto"/>
        </w:rPr>
      </w:pPr>
    </w:p>
    <w:p>
      <w:pPr>
        <w:ind w:left="-20" w:firstLine="921"/>
        <w:spacing w:after="0" w:line="277" w:lineRule="auto"/>
        <w:tabs>
          <w:tab w:leader="none" w:pos="114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take any action which results in the issuance, creation or execution of a debt instrument or instruments or the incurrence by this corporation of debt for borrowed money in excess of US$1,000,000; or</w:t>
      </w:r>
    </w:p>
    <w:p>
      <w:pPr>
        <w:spacing w:after="0" w:line="170" w:lineRule="exact"/>
        <w:rPr>
          <w:rFonts w:ascii="Arial" w:cs="Arial" w:eastAsia="Arial" w:hAnsi="Arial"/>
          <w:sz w:val="18"/>
          <w:szCs w:val="18"/>
          <w:color w:val="auto"/>
        </w:rPr>
      </w:pPr>
    </w:p>
    <w:p>
      <w:pPr>
        <w:ind w:left="-20" w:right="260" w:firstLine="921"/>
        <w:spacing w:after="0" w:line="277" w:lineRule="auto"/>
        <w:tabs>
          <w:tab w:leader="none" w:pos="113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take any action that would result in the conversion or reclassification of Series C-1 Preferred Stock into Common Stock or another class or series of securities, unless (i)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60" w:top="274" w:right="239" w:bottom="1440" w:gutter="0" w:footer="0" w:header="0"/>
        </w:sectPr>
      </w:pPr>
    </w:p>
    <w:bookmarkStart w:id="248" w:name="page249"/>
    <w:bookmarkEnd w:id="24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conversion or reclassification is effective immediately prior to the closing of a firm commitment, underwritten initial public offering of the capital stock of this corporation registered under the Securities Act and (ii) all other shares of Preferred Stock are being similarly converted to Common Stock at the applicable Conversion Rate.</w:t>
      </w:r>
    </w:p>
    <w:p>
      <w:pPr>
        <w:spacing w:after="0" w:line="181" w:lineRule="exact"/>
        <w:rPr>
          <w:sz w:val="20"/>
          <w:szCs w:val="20"/>
          <w:color w:val="auto"/>
        </w:rPr>
      </w:pPr>
    </w:p>
    <w:p>
      <w:pPr>
        <w:ind w:right="160" w:firstLine="464"/>
        <w:spacing w:after="0" w:line="312" w:lineRule="auto"/>
        <w:tabs>
          <w:tab w:leader="none" w:pos="636"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Series B-1 Preferred Stock Protective Provisions</w:t>
      </w:r>
      <w:r>
        <w:rPr>
          <w:rFonts w:ascii="Arial" w:cs="Arial" w:eastAsia="Arial" w:hAnsi="Arial"/>
          <w:sz w:val="16"/>
          <w:szCs w:val="16"/>
          <w:color w:val="auto"/>
        </w:rPr>
        <w:t>. So long as at least Six Thousand Five Hundred Four (6,504) shares of Series B-1 Preferred Stock are outstanding, this corporation shall not (by merger, reclassification or otherwise), without first obtaining the approval (by vote or written consent, as provided by law) of the holders of more than fifty percent (50%) of the then outstanding shares of Series B-1 Preferred Stock voting as a single class:</w:t>
      </w:r>
    </w:p>
    <w:p>
      <w:pPr>
        <w:spacing w:after="0" w:line="146" w:lineRule="exact"/>
        <w:rPr>
          <w:rFonts w:ascii="Arial" w:cs="Arial" w:eastAsia="Arial" w:hAnsi="Arial"/>
          <w:sz w:val="16"/>
          <w:szCs w:val="16"/>
          <w:color w:val="auto"/>
        </w:rPr>
      </w:pPr>
    </w:p>
    <w:p>
      <w:pPr>
        <w:ind w:firstLine="921"/>
        <w:spacing w:after="0" w:line="264" w:lineRule="auto"/>
        <w:tabs>
          <w:tab w:leader="none" w:pos="115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create, or authorize the creation of, or issue or obligate itself to issue shares of, any additional class or series of capital stock which is senior to the Series B-1 Preferred Stock with respect to the distribution of assets on the liquidation, dissolution or winding up of this corporation, the payment of dividends and rights of redemption, voting or other rights and privileges,</w:t>
      </w:r>
    </w:p>
    <w:p>
      <w:pPr>
        <w:spacing w:after="0" w:line="181"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reclassify, alter or amend any existing security of this corporation,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B-1 Preferred Stock in respect of any right, preference or privilege;</w:t>
      </w:r>
    </w:p>
    <w:p>
      <w:pPr>
        <w:spacing w:after="0" w:line="170" w:lineRule="exact"/>
        <w:rPr>
          <w:rFonts w:ascii="Arial" w:cs="Arial" w:eastAsia="Arial" w:hAnsi="Arial"/>
          <w:sz w:val="18"/>
          <w:szCs w:val="18"/>
          <w:color w:val="auto"/>
        </w:rPr>
      </w:pPr>
    </w:p>
    <w:p>
      <w:pPr>
        <w:ind w:right="140" w:firstLine="921"/>
        <w:spacing w:after="0" w:line="277" w:lineRule="auto"/>
        <w:tabs>
          <w:tab w:leader="none" w:pos="115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purchase or redeem any shares of capital stock of this corporation without first offering to purchase or redeem and, if applicable, purchasing and/or redeeming, the Series B-1 Preferred Stock, except as unanimously approved by the board of directors;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take any action that would adversely affect the powers, preferences, rights or privileges of the Series B-1 Preferred Stock;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effect any Liquidating Transaction in which the proceeds per share of Series B-1 Preferred Stock would be less than the Original Issue Price.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corporation is to have perpetual existence.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49" w:name="page250"/>
    <w:bookmarkEnd w:id="24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9" w:lineRule="exact"/>
        <w:rPr>
          <w:sz w:val="20"/>
          <w:szCs w:val="20"/>
          <w:color w:val="auto"/>
        </w:rPr>
      </w:pPr>
    </w:p>
    <w:p>
      <w:pPr>
        <w:ind w:right="220" w:firstLine="464"/>
        <w:spacing w:after="0" w:line="264" w:lineRule="auto"/>
        <w:tabs>
          <w:tab w:leader="none" w:pos="63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fullest extent permitted by the General Corporation Law of the State of Delaware as the same exists or as may hereafter be amended, a director of this corporation shall not be personally liable to this corporation or its stockholders for monetary damages for breach of fiduciary duty as a director.</w:t>
      </w:r>
    </w:p>
    <w:p>
      <w:pPr>
        <w:spacing w:after="0" w:line="181" w:lineRule="exact"/>
        <w:rPr>
          <w:rFonts w:ascii="Arial" w:cs="Arial" w:eastAsia="Arial" w:hAnsi="Arial"/>
          <w:sz w:val="18"/>
          <w:szCs w:val="18"/>
          <w:color w:val="auto"/>
        </w:rPr>
      </w:pPr>
    </w:p>
    <w:p>
      <w:pPr>
        <w:ind w:firstLine="464"/>
        <w:spacing w:after="0" w:line="259" w:lineRule="auto"/>
        <w:tabs>
          <w:tab w:leader="none" w:pos="63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This corporation may indemnify to the fullest extent permitted by law any person made or threatened to be made a party to an action or proceeding, whether criminal, civil, administrative or investigative, by reason of the fact that such person or his or her testator or intestate is or was a director, officer or employee of this corporation, or any predecessor of this corporation; or serves or served at any other enterprise as a director, officer or employee at the request of this corporation or any predecessor to this corporation.</w:t>
      </w:r>
    </w:p>
    <w:p>
      <w:pPr>
        <w:spacing w:after="0" w:line="186" w:lineRule="exact"/>
        <w:rPr>
          <w:rFonts w:ascii="Arial" w:cs="Arial" w:eastAsia="Arial" w:hAnsi="Arial"/>
          <w:sz w:val="18"/>
          <w:szCs w:val="18"/>
          <w:color w:val="auto"/>
        </w:rPr>
      </w:pPr>
    </w:p>
    <w:p>
      <w:pPr>
        <w:ind w:firstLine="464"/>
        <w:spacing w:after="0" w:line="259" w:lineRule="auto"/>
        <w:tabs>
          <w:tab w:leader="none" w:pos="636"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Neither any amendment nor repeal of this Article VII, nor the adoption of any provision of this corporation’s Fourteenth Amended and Restated Certificate of Incorporation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the event that shares of Preferred Stock shall be converted pursuant to the terms hereof, the shares so converted shall not revert to the status of authorized but unissued shares, but instead shall be canceled and shall not be re-issuable by this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Holders of stock of any class or series of this corporation shall not be entitled to cumulate their votes for the election of directors or any other matter submitted to a vote of the stockholders.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Elections of directors need not be by written ballot unless the Bylaws of this corporation so provide.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corporation hereby renounces, to the fullest extent permitted by law, any interest or expectancy of this corporation in, or in being offered, an opportunity to participate in, any Preferred Stock Business Opportunity. A “</w:t>
      </w:r>
      <w:r>
        <w:rPr>
          <w:rFonts w:ascii="Arial" w:cs="Arial" w:eastAsia="Arial" w:hAnsi="Arial"/>
          <w:sz w:val="17"/>
          <w:szCs w:val="17"/>
          <w:u w:val="single" w:color="auto"/>
          <w:color w:val="auto"/>
        </w:rPr>
        <w:t>Preferred Stock Business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or agent of any such holder, other than someone who is an employee of this corporation or any of its subsidiaries (collectively,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250" w:name="page251"/>
    <w:bookmarkEnd w:id="250"/>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solely in such Covered Person’s capacity as a director of this corporation. To the fullest extent permitted by law, this corporation hereby waives any claim against a Covered Person, and agrees to indemnify all Covered Persons against any claim, that is based on fiduciary duties, the corporate opportunity doctrine or any other legal theory which could limit any Covered Person from pursuing or engaging in any Preferred Stock Business Opportunity.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this corporation is expressly authorized to make, alter, amend or repeal the Bylaws of this 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The foregoing amendment and restatement of the Certificate of Incorporation has been duly approved by the board of directors of this corporation. 22</w:t>
      </w:r>
    </w:p>
    <w:p>
      <w:pPr>
        <w:sectPr>
          <w:pgSz w:w="11900" w:h="16838" w:orient="portrait"/>
          <w:cols w:equalWidth="0" w:num="1">
            <w:col w:w="11380"/>
          </w:cols>
          <w:pgMar w:left="240" w:top="274" w:right="279" w:bottom="1440" w:gutter="0" w:footer="0" w:header="0"/>
        </w:sectPr>
      </w:pPr>
    </w:p>
    <w:bookmarkStart w:id="251" w:name="page252"/>
    <w:bookmarkEnd w:id="25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Fourteenth Amended and Restated Certificate of Incorporation has been duly adopted by this corporation’s board of directors and stockholders in accordance with applicable provisions of Sections 228, 242 and 245 of the General Corporation Law of the State of Delaware. I further declare under penalty of perjury under the laws of the State of Delaware that the matters set forth in this certificate are true, correct and of my own knowledge.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Briggs Morrison,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Briggs Morrison, M.D.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880"/>
          </w:cols>
          <w:pgMar w:left="240" w:top="274" w:right="77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700" w:firstLine="456"/>
        <w:spacing w:after="0" w:line="286" w:lineRule="auto"/>
        <w:rPr>
          <w:sz w:val="20"/>
          <w:szCs w:val="20"/>
          <w:color w:val="auto"/>
        </w:rPr>
      </w:pPr>
      <w:r>
        <w:rPr>
          <w:rFonts w:ascii="Arial" w:cs="Arial" w:eastAsia="Arial" w:hAnsi="Arial"/>
          <w:sz w:val="17"/>
          <w:szCs w:val="17"/>
          <w:color w:val="auto"/>
        </w:rPr>
        <w:t>We consent to the use in this Amendment No. 4 to Registration Statement No. 333-208861 on Form S-1 of our report dated February 22, 2016 (February 24, 2016 as to the effects of the reverse stock split described in Note 17) relating to the consolidated financial statements of Syndax Pharmaceuticals, Inc. and subsidiaries, appearing in the Prospectus, which is part of this Registration Statement.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consent to the reference to us under the heading “Experts” in such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1)"/>
      <w:numFmt w:val="decimal"/>
      <w:start w:val="1"/>
    </w:lvl>
  </w:abstractNum>
  <w:abstractNum w:abstractNumId="1">
    <w:nsid w:val="1A32234B"/>
    <w:multiLevelType w:val="hybridMultilevel"/>
    <w:lvl w:ilvl="0">
      <w:lvlJc w:val="left"/>
      <w:lvlText w:val="\endash "/>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decimal"/>
      <w:start w:val="1"/>
    </w:lvl>
  </w:abstractNum>
  <w:abstractNum w:abstractNumId="9">
    <w:nsid w:val="1A27709E"/>
    <w:multiLevelType w:val="hybridMultilevel"/>
    <w:lvl w:ilvl="0">
      <w:lvlJc w:val="left"/>
      <w:lvlText w:val="(%1)"/>
      <w:numFmt w:val="decimal"/>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
      <w:numFmt w:val="bullet"/>
      <w:start w:val="1"/>
    </w:lvl>
  </w:abstractNum>
  <w:abstractNum w:abstractNumId="47">
    <w:nsid w:val="7DE67713"/>
    <w:multiLevelType w:val="hybridMultilevel"/>
    <w:lvl w:ilvl="0">
      <w:lvlJc w:val="left"/>
      <w:lvlText w:val="(%1)"/>
      <w:numFmt w:val="lowerLetter"/>
      <w:start w:val="4"/>
    </w:lvl>
  </w:abstractNum>
  <w:abstractNum w:abstractNumId="48">
    <w:nsid w:val="555C55B5"/>
    <w:multiLevelType w:val="hybridMultilevel"/>
    <w:lvl w:ilvl="0">
      <w:lvlJc w:val="left"/>
      <w:lvlText w:val="•"/>
      <w:numFmt w:val="bullet"/>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1)"/>
      <w:numFmt w:val="decimal"/>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
      <w:numFmt w:val="bullet"/>
      <w:start w:val="1"/>
    </w:lvl>
  </w:abstractNum>
  <w:abstractNum w:abstractNumId="63">
    <w:nsid w:val="51088277"/>
    <w:multiLevelType w:val="hybridMultilevel"/>
    <w:lvl w:ilvl="0">
      <w:lvlJc w:val="left"/>
      <w:lvlText w:val="•"/>
      <w:numFmt w:val="bullet"/>
      <w:start w:val="1"/>
    </w:lvl>
  </w:abstractNum>
  <w:abstractNum w:abstractNumId="64">
    <w:nsid w:val="1CA0C5FA"/>
    <w:multiLevelType w:val="hybridMultilevel"/>
    <w:lvl w:ilvl="0">
      <w:lvlJc w:val="left"/>
      <w:lvlText w:val="•"/>
      <w:numFmt w:val="bullet"/>
      <w:start w:val="1"/>
    </w:lvl>
  </w:abstractNum>
  <w:abstractNum w:abstractNumId="65">
    <w:nsid w:val="53584BCB"/>
    <w:multiLevelType w:val="hybridMultilevel"/>
    <w:lvl w:ilvl="0">
      <w:lvlJc w:val="left"/>
      <w:lvlText w:val="•"/>
      <w:numFmt w:val="bullet"/>
      <w:start w:val="1"/>
    </w:lvl>
  </w:abstractNum>
  <w:abstractNum w:abstractNumId="66">
    <w:nsid w:val="415E286C"/>
    <w:multiLevelType w:val="hybridMultilevel"/>
    <w:lvl w:ilvl="0">
      <w:lvlJc w:val="left"/>
      <w:lvlText w:val="•"/>
      <w:numFmt w:val="bullet"/>
      <w:start w:val="1"/>
    </w:lvl>
  </w:abstractNum>
  <w:abstractNum w:abstractNumId="67">
    <w:nsid w:val="7C58FD05"/>
    <w:multiLevelType w:val="hybridMultilevel"/>
    <w:lvl w:ilvl="0">
      <w:lvlJc w:val="left"/>
      <w:lvlText w:val="•"/>
      <w:numFmt w:val="bullet"/>
      <w:start w:val="1"/>
    </w:lvl>
  </w:abstractNum>
  <w:abstractNum w:abstractNumId="68">
    <w:nsid w:val="23D86AAC"/>
    <w:multiLevelType w:val="hybridMultilevel"/>
    <w:lvl w:ilvl="0">
      <w:lvlJc w:val="left"/>
      <w:lvlText w:val="(%1)"/>
      <w:numFmt w:val="decimal"/>
      <w:start w:val="1"/>
    </w:lvl>
  </w:abstractNum>
  <w:abstractNum w:abstractNumId="69">
    <w:nsid w:val="45E6D486"/>
    <w:multiLevelType w:val="hybridMultilevel"/>
    <w:lvl w:ilvl="0">
      <w:lvlJc w:val="left"/>
      <w:lvlText w:val="•"/>
      <w:numFmt w:val="bullet"/>
      <w:start w:val="1"/>
    </w:lvl>
  </w:abstractNum>
  <w:abstractNum w:abstractNumId="70">
    <w:nsid w:val="5C10FE21"/>
    <w:multiLevelType w:val="hybridMultilevel"/>
    <w:lvl w:ilvl="0">
      <w:lvlJc w:val="left"/>
      <w:lvlText w:val="(%1)"/>
      <w:numFmt w:val="decimal"/>
      <w:start w:val="1"/>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upperLetter"/>
      <w:start w:val="2"/>
    </w:lvl>
  </w:abstractNum>
  <w:abstractNum w:abstractNumId="73">
    <w:nsid w:val="4BD8591A"/>
    <w:multiLevelType w:val="hybridMultilevel"/>
    <w:lvl w:ilvl="0">
      <w:lvlJc w:val="left"/>
      <w:lvlText w:val="(%1)"/>
      <w:numFmt w:val="lowerLetter"/>
      <w:start w:val="3"/>
    </w:lvl>
  </w:abstractNum>
  <w:abstractNum w:abstractNumId="74">
    <w:nsid w:val="78DF6A55"/>
    <w:multiLevelType w:val="hybridMultilevel"/>
    <w:lvl w:ilvl="0">
      <w:lvlJc w:val="left"/>
      <w:lvlText w:val="(%1)"/>
      <w:numFmt w:val="lowerLetter"/>
      <w:start w:val="2"/>
    </w:lvl>
  </w:abstractNum>
  <w:abstractNum w:abstractNumId="75">
    <w:nsid w:val="39B7AAA2"/>
    <w:multiLevelType w:val="hybridMultilevel"/>
    <w:lvl w:ilvl="0">
      <w:lvlJc w:val="left"/>
      <w:lvlText w:val="(%1)"/>
      <w:numFmt w:val="decimal"/>
      <w:start w:val="7"/>
    </w:lvl>
  </w:abstractNum>
  <w:abstractNum w:abstractNumId="76">
    <w:nsid w:val="2B0D8DBE"/>
    <w:multiLevelType w:val="hybridMultilevel"/>
    <w:lvl w:ilvl="0">
      <w:lvlJc w:val="left"/>
      <w:lvlText w:val="•"/>
      <w:numFmt w:val="bullet"/>
      <w:start w:val="1"/>
    </w:lvl>
  </w:abstractNum>
  <w:abstractNum w:abstractNumId="77">
    <w:nsid w:val="6C80EC70"/>
    <w:multiLevelType w:val="hybridMultilevel"/>
    <w:lvl w:ilvl="0">
      <w:lvlJc w:val="left"/>
      <w:lvlText w:val="•"/>
      <w:numFmt w:val="bullet"/>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2"/>
    </w:lvl>
  </w:abstractNum>
  <w:abstractNum w:abstractNumId="80">
    <w:nsid w:val="2C27173B"/>
    <w:multiLevelType w:val="hybridMultilevel"/>
    <w:lvl w:ilvl="0">
      <w:lvlJc w:val="left"/>
      <w:lvlText w:val="•"/>
      <w:numFmt w:val="bullet"/>
      <w:start w:val="1"/>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decimal"/>
      <w:start w:val="3"/>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1)"/>
      <w:numFmt w:val="lowerRoman"/>
      <w:start w:val="2"/>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decimal"/>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1)"/>
      <w:numFmt w:val="decimal"/>
      <w:start w:val="1"/>
    </w:lvl>
  </w:abstractNum>
  <w:abstractNum w:abstractNumId="91">
    <w:nsid w:val="53B0A9E"/>
    <w:multiLevelType w:val="hybridMultilevel"/>
    <w:lvl w:ilvl="0">
      <w:lvlJc w:val="left"/>
      <w:lvlText w:val="•"/>
      <w:numFmt w:val="bullet"/>
      <w:start w:val="1"/>
    </w:lvl>
  </w:abstractNum>
  <w:abstractNum w:abstractNumId="92">
    <w:nsid w:val="34FD6B4F"/>
    <w:multiLevelType w:val="hybridMultilevel"/>
    <w:lvl w:ilvl="0">
      <w:lvlJc w:val="left"/>
      <w:lvlText w:val="*"/>
      <w:numFmt w:val="bullet"/>
      <w:start w:val="1"/>
    </w:lvl>
  </w:abstractNum>
  <w:abstractNum w:abstractNumId="93">
    <w:nsid w:val="5915FF32"/>
    <w:multiLevelType w:val="hybridMultilevel"/>
    <w:lvl w:ilvl="0">
      <w:lvlJc w:val="left"/>
      <w:lvlText w:val="(%1)"/>
      <w:numFmt w:val="decimal"/>
      <w:start w:val="1"/>
    </w:lvl>
  </w:abstractNum>
  <w:abstractNum w:abstractNumId="94">
    <w:nsid w:val="56438D15"/>
    <w:multiLevelType w:val="hybridMultilevel"/>
    <w:lvl w:ilvl="0">
      <w:lvlJc w:val="left"/>
      <w:lvlText w:val="(%1)"/>
      <w:numFmt w:val="decimal"/>
      <w:start w:val="5"/>
    </w:lvl>
  </w:abstractNum>
  <w:abstractNum w:abstractNumId="95">
    <w:nsid w:val="519E3149"/>
    <w:multiLevelType w:val="hybridMultilevel"/>
    <w:lvl w:ilvl="0">
      <w:lvlJc w:val="left"/>
      <w:lvlText w:val="(%1)"/>
      <w:numFmt w:val="decimal"/>
      <w:start w:val="15"/>
    </w:lvl>
  </w:abstractNum>
  <w:abstractNum w:abstractNumId="96">
    <w:nsid w:val="2C6E4AFD"/>
    <w:multiLevelType w:val="hybridMultilevel"/>
    <w:lvl w:ilvl="0">
      <w:lvlJc w:val="left"/>
      <w:lvlText w:val="•"/>
      <w:numFmt w:val="bullet"/>
      <w:start w:val="1"/>
    </w:lvl>
  </w:abstractNum>
  <w:abstractNum w:abstractNumId="97">
    <w:nsid w:val="17A1B582"/>
    <w:multiLevelType w:val="hybridMultilevel"/>
    <w:lvl w:ilvl="0">
      <w:lvlJc w:val="left"/>
      <w:lvlText w:val="•"/>
      <w:numFmt w:val="bullet"/>
      <w:start w:val="1"/>
    </w:lvl>
  </w:abstractNum>
  <w:abstractNum w:abstractNumId="98">
    <w:nsid w:val="4DF72E4E"/>
    <w:multiLevelType w:val="hybridMultilevel"/>
    <w:lvl w:ilvl="0">
      <w:lvlJc w:val="left"/>
      <w:lvlText w:val="•"/>
      <w:numFmt w:val="bullet"/>
      <w:start w:val="1"/>
    </w:lvl>
  </w:abstractNum>
  <w:abstractNum w:abstractNumId="99">
    <w:nsid w:val="5046B5A9"/>
    <w:multiLevelType w:val="hybridMultilevel"/>
    <w:lvl w:ilvl="0">
      <w:lvlJc w:val="left"/>
      <w:lvlText w:val="•"/>
      <w:numFmt w:val="bullet"/>
      <w:start w:val="1"/>
    </w:lvl>
  </w:abstractNum>
  <w:abstractNum w:abstractNumId="100">
    <w:nsid w:val="5D888A08"/>
    <w:multiLevelType w:val="hybridMultilevel"/>
    <w:lvl w:ilvl="0">
      <w:lvlJc w:val="left"/>
      <w:lvlText w:val="•"/>
      <w:numFmt w:val="bullet"/>
      <w:start w:val="1"/>
    </w:lvl>
  </w:abstractNum>
  <w:abstractNum w:abstractNumId="101">
    <w:nsid w:val="2A082C70"/>
    <w:multiLevelType w:val="hybridMultilevel"/>
    <w:lvl w:ilvl="0">
      <w:lvlJc w:val="left"/>
      <w:lvlText w:val="•"/>
      <w:numFmt w:val="bullet"/>
      <w:start w:val="1"/>
    </w:lvl>
  </w:abstractNum>
  <w:abstractNum w:abstractNumId="102">
    <w:nsid w:val="5EC6AFD4"/>
    <w:multiLevelType w:val="hybridMultilevel"/>
    <w:lvl w:ilvl="0">
      <w:lvlJc w:val="left"/>
      <w:lvlText w:val="•"/>
      <w:numFmt w:val="bullet"/>
      <w:start w:val="1"/>
    </w:lvl>
  </w:abstractNum>
  <w:abstractNum w:abstractNumId="103">
    <w:nsid w:val="19E21BB2"/>
    <w:multiLevelType w:val="hybridMultilevel"/>
    <w:lvl w:ilvl="0">
      <w:lvlJc w:val="left"/>
      <w:lvlText w:val="(%1)"/>
      <w:numFmt w:val="lowerLetter"/>
      <w:start w:val="3"/>
    </w:lvl>
  </w:abstractNum>
  <w:abstractNum w:abstractNumId="104">
    <w:nsid w:val="75E0858A"/>
    <w:multiLevelType w:val="hybridMultilevel"/>
    <w:lvl w:ilvl="0">
      <w:lvlJc w:val="left"/>
      <w:lvlText w:val="(%1)"/>
      <w:numFmt w:val="lowerLetter"/>
      <w:start w:val="3"/>
    </w:lvl>
  </w:abstractNum>
  <w:abstractNum w:abstractNumId="105">
    <w:nsid w:val="57A61A29"/>
    <w:multiLevelType w:val="hybridMultilevel"/>
    <w:lvl w:ilvl="0">
      <w:lvlJc w:val="left"/>
      <w:lvlText w:val="(%1)"/>
      <w:numFmt w:val="lowerLetter"/>
      <w:start w:val="2"/>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lowerLetter"/>
      <w:start w:val="2"/>
    </w:lvl>
  </w:abstractNum>
  <w:abstractNum w:abstractNumId="108">
    <w:nsid w:val="4427069A"/>
    <w:multiLevelType w:val="hybridMultilevel"/>
    <w:lvl w:ilvl="0">
      <w:lvlJc w:val="left"/>
      <w:lvlText w:val="(%1)"/>
      <w:numFmt w:val="lowerLetter"/>
      <w:start w:val="1"/>
    </w:lvl>
  </w:abstractNum>
  <w:abstractNum w:abstractNumId="109">
    <w:nsid w:val="B37E80A"/>
    <w:multiLevelType w:val="hybridMultilevel"/>
    <w:lvl w:ilvl="0">
      <w:lvlJc w:val="left"/>
      <w:lvlText w:val="(%1)"/>
      <w:numFmt w:val="lowerLetter"/>
      <w:start w:val="1"/>
    </w:lvl>
  </w:abstractNum>
  <w:abstractNum w:abstractNumId="110">
    <w:nsid w:val="2157F6BC"/>
    <w:multiLevelType w:val="hybridMultilevel"/>
    <w:lvl w:ilvl="0">
      <w:lvlJc w:val="left"/>
      <w:lvlText w:val="(%1)"/>
      <w:numFmt w:val="lowerRoman"/>
      <w:start w:val="1"/>
    </w:lvl>
  </w:abstractNum>
  <w:abstractNum w:abstractNumId="111">
    <w:nsid w:val="704E1DD5"/>
    <w:multiLevelType w:val="hybridMultilevel"/>
    <w:lvl w:ilvl="0">
      <w:lvlJc w:val="left"/>
      <w:lvlText w:val="%1."/>
      <w:numFmt w:val="decimal"/>
      <w:start w:val="14"/>
    </w:lvl>
  </w:abstractNum>
  <w:abstractNum w:abstractNumId="112">
    <w:nsid w:val="57D2F10E"/>
    <w:multiLevelType w:val="hybridMultilevel"/>
    <w:lvl w:ilvl="0">
      <w:lvlJc w:val="left"/>
      <w:lvlText w:val="•"/>
      <w:numFmt w:val="bullet"/>
      <w:start w:val="1"/>
    </w:lvl>
  </w:abstractNum>
  <w:abstractNum w:abstractNumId="113">
    <w:nsid w:val="BFFAE18"/>
    <w:multiLevelType w:val="hybridMultilevel"/>
    <w:lvl w:ilvl="0">
      <w:lvlJc w:val="left"/>
      <w:lvlText w:val="(%1)"/>
      <w:numFmt w:val="decimal"/>
      <w:start w:val="1"/>
    </w:lvl>
  </w:abstractNum>
  <w:abstractNum w:abstractNumId="114">
    <w:nsid w:val="E3E47A8"/>
    <w:multiLevelType w:val="hybridMultilevel"/>
    <w:lvl w:ilvl="0">
      <w:lvlJc w:val="left"/>
      <w:lvlText w:val="(%1)"/>
      <w:numFmt w:val="decimal"/>
      <w:start w:val="10"/>
    </w:lvl>
  </w:abstractNum>
  <w:abstractNum w:abstractNumId="115">
    <w:nsid w:val="2E48F044"/>
    <w:multiLevelType w:val="hybridMultilevel"/>
    <w:lvl w:ilvl="0">
      <w:lvlJc w:val="left"/>
      <w:lvlText w:val="(%1)"/>
      <w:numFmt w:val="decimal"/>
      <w:start w:val="20"/>
    </w:lvl>
  </w:abstractNum>
  <w:abstractNum w:abstractNumId="116">
    <w:nsid w:val="49D0FEAC"/>
    <w:multiLevelType w:val="hybridMultilevel"/>
    <w:lvl w:ilvl="0">
      <w:lvlJc w:val="left"/>
      <w:lvlText w:val="(%1)"/>
      <w:numFmt w:val="decimal"/>
      <w:start w:val="21"/>
    </w:lvl>
  </w:abstractNum>
  <w:abstractNum w:abstractNumId="117">
    <w:nsid w:val="4BEE5A5B"/>
    <w:multiLevelType w:val="hybridMultilevel"/>
    <w:lvl w:ilvl="0">
      <w:lvlJc w:val="left"/>
      <w:lvlText w:val="(%1)"/>
      <w:numFmt w:val="decimal"/>
      <w:start w:val="27"/>
    </w:lvl>
  </w:abstractNum>
  <w:abstractNum w:abstractNumId="118">
    <w:nsid w:val="5551B9F3"/>
    <w:multiLevelType w:val="hybridMultilevel"/>
    <w:lvl w:ilvl="0">
      <w:lvlJc w:val="left"/>
      <w:lvlText w:val="(%1)"/>
      <w:numFmt w:val="lowerLetter"/>
      <w:start w:val="1"/>
    </w:lvl>
  </w:abstractNum>
  <w:abstractNum w:abstractNumId="119">
    <w:nsid w:val="24F6AB8E"/>
    <w:multiLevelType w:val="hybridMultilevel"/>
    <w:lvl w:ilvl="0">
      <w:lvlJc w:val="left"/>
      <w:lvlText w:val="(%1)"/>
      <w:numFmt w:val="lowerLetter"/>
      <w:start w:val="2"/>
    </w:lvl>
  </w:abstractNum>
  <w:abstractNum w:abstractNumId="120">
    <w:nsid w:val="634C574C"/>
    <w:multiLevelType w:val="hybridMultilevel"/>
    <w:lvl w:ilvl="0">
      <w:lvlJc w:val="left"/>
      <w:lvlText w:val="(%1)"/>
      <w:numFmt w:val="decimal"/>
      <w:start w:val="1"/>
    </w:lvl>
  </w:abstractNum>
  <w:abstractNum w:abstractNumId="121">
    <w:nsid w:val="24E99DD7"/>
    <w:multiLevelType w:val="hybridMultilevel"/>
    <w:lvl w:ilvl="0">
      <w:lvlJc w:val="left"/>
      <w:lvlText w:val="(%1)"/>
      <w:numFmt w:val="decimal"/>
      <w:start w:val="2"/>
    </w:lvl>
  </w:abstractNum>
  <w:abstractNum w:abstractNumId="122">
    <w:nsid w:val="2A31B62D"/>
    <w:multiLevelType w:val="hybridMultilevel"/>
    <w:lvl w:ilvl="0">
      <w:lvlJc w:val="left"/>
      <w:lvlText w:val="+"/>
      <w:numFmt w:val="bullet"/>
      <w:start w:val="1"/>
    </w:lvl>
  </w:abstractNum>
  <w:abstractNum w:abstractNumId="123">
    <w:nsid w:val="1849C29B"/>
    <w:multiLevelType w:val="hybridMultilevel"/>
    <w:lvl w:ilvl="0">
      <w:lvlJc w:val="left"/>
      <w:lvlText w:val="†"/>
      <w:numFmt w:val="bullet"/>
      <w:start w:val="1"/>
    </w:lvl>
  </w:abstractNum>
  <w:abstractNum w:abstractNumId="124">
    <w:nsid w:val="7DFF9D09"/>
    <w:multiLevelType w:val="hybridMultilevel"/>
    <w:lvl w:ilvl="0">
      <w:lvlJc w:val="left"/>
      <w:lvlText w:val="#"/>
      <w:numFmt w:val="bullet"/>
      <w:start w:val="1"/>
    </w:lvl>
  </w:abstractNum>
  <w:abstractNum w:abstractNumId="125">
    <w:nsid w:val="754342"/>
    <w:multiLevelType w:val="hybridMultilevel"/>
    <w:lvl w:ilvl="0">
      <w:lvlJc w:val="left"/>
      <w:lvlText w:val="%1."/>
      <w:numFmt w:val="decimal"/>
      <w:start w:val="1"/>
    </w:lvl>
    <w:lvl w:ilvl="1">
      <w:lvlJc w:val="left"/>
      <w:lvlText w:val="(%2)"/>
      <w:numFmt w:val="lowerLetter"/>
      <w:start w:val="1"/>
    </w:lvl>
  </w:abstractNum>
  <w:abstractNum w:abstractNumId="126">
    <w:nsid w:val="69E7F3E5"/>
    <w:multiLevelType w:val="hybridMultilevel"/>
    <w:lvl w:ilvl="0">
      <w:lvlJc w:val="left"/>
      <w:lvlText w:val="(%1)"/>
      <w:numFmt w:val="lowerLetter"/>
      <w:start w:val="3"/>
    </w:lvl>
  </w:abstractNum>
  <w:abstractNum w:abstractNumId="127">
    <w:nsid w:val="2A6DE80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8">
    <w:nsid w:val="1816F8C4"/>
    <w:multiLevelType w:val="hybridMultilevel"/>
    <w:lvl w:ilvl="0">
      <w:lvlJc w:val="left"/>
      <w:lvlText w:val="(%1)"/>
      <w:numFmt w:val="lowerRoman"/>
      <w:start w:val="3"/>
    </w:lvl>
  </w:abstractNum>
  <w:abstractNum w:abstractNumId="129">
    <w:nsid w:val="37DF2233"/>
    <w:multiLevelType w:val="hybridMultilevel"/>
    <w:lvl w:ilvl="0">
      <w:lvlJc w:val="left"/>
      <w:lvlText w:val="(%1)"/>
      <w:numFmt w:val="lowerRoman"/>
      <w:start w:val="6"/>
    </w:lvl>
  </w:abstractNum>
  <w:abstractNum w:abstractNumId="130">
    <w:nsid w:val="7AB49DAF"/>
    <w:multiLevelType w:val="hybridMultilevel"/>
    <w:lvl w:ilvl="0">
      <w:lvlJc w:val="left"/>
      <w:lvlText w:val="%1"/>
      <w:numFmt w:val="decimal"/>
      <w:start w:val="1"/>
    </w:lvl>
    <w:lvl w:ilvl="1">
      <w:lvlJc w:val="left"/>
      <w:lvlText w:val="(%2)"/>
      <w:numFmt w:val="lowerLetter"/>
      <w:start w:val="2"/>
    </w:lvl>
  </w:abstractNum>
  <w:abstractNum w:abstractNumId="131">
    <w:nsid w:val="759F82CD"/>
    <w:multiLevelType w:val="hybridMultilevel"/>
    <w:lvl w:ilvl="0">
      <w:lvlJc w:val="left"/>
      <w:lvlText w:val="(%1)"/>
      <w:numFmt w:val="decimal"/>
      <w:start w:val="10"/>
    </w:lvl>
    <w:lvl w:ilvl="1">
      <w:lvlJc w:val="left"/>
      <w:lvlText w:val="(%2)"/>
      <w:numFmt w:val="lowerLetter"/>
      <w:start w:val="3"/>
    </w:lvl>
  </w:abstractNum>
  <w:abstractNum w:abstractNumId="132">
    <w:nsid w:val="61E74EA3"/>
    <w:multiLevelType w:val="hybridMultilevel"/>
    <w:lvl w:ilvl="0">
      <w:lvlJc w:val="left"/>
      <w:lvlText w:val="%1."/>
      <w:numFmt w:val="decimal"/>
      <w:start w:val="3"/>
    </w:lvl>
    <w:lvl w:ilvl="1">
      <w:lvlJc w:val="left"/>
      <w:lvlText w:val="(%2)"/>
      <w:numFmt w:val="lowerLetter"/>
      <w:start w:val="1"/>
    </w:lvl>
  </w:abstractNum>
  <w:abstractNum w:abstractNumId="133">
    <w:nsid w:val="597B4D84"/>
    <w:multiLevelType w:val="hybridMultilevel"/>
    <w:lvl w:ilvl="0">
      <w:lvlJc w:val="left"/>
      <w:lvlText w:val="(%1)"/>
      <w:numFmt w:val="lowerLetter"/>
      <w:start w:val="2"/>
    </w:lvl>
    <w:lvl w:ilvl="1">
      <w:lvlJc w:val="left"/>
      <w:lvlText w:val="(%2)"/>
      <w:numFmt w:val="lowerRoman"/>
      <w:start w:val="1"/>
    </w:lvl>
  </w:abstractNum>
  <w:abstractNum w:abstractNumId="134">
    <w:nsid w:val="F819E7F"/>
    <w:multiLevelType w:val="hybridMultilevel"/>
    <w:lvl w:ilvl="0">
      <w:lvlJc w:val="left"/>
      <w:lvlText w:val="(%1)"/>
      <w:numFmt w:val="lowerLetter"/>
      <w:start w:val="3"/>
    </w:lvl>
  </w:abstractNum>
  <w:abstractNum w:abstractNumId="135">
    <w:nsid w:val="57C7D42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6">
    <w:nsid w:val="312167AD"/>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9"/>
    </w:lvl>
  </w:abstractNum>
  <w:abstractNum w:abstractNumId="137">
    <w:nsid w:val="631B64D4"/>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38">
    <w:nsid w:val="78B5E776"/>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39">
    <w:nsid w:val="75486E47"/>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40">
    <w:nsid w:val="6E534CDE"/>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2"/>
    </w:lvl>
  </w:abstractNum>
  <w:abstractNum w:abstractNumId="141">
    <w:nsid w:val="1A0DDE32"/>
    <w:multiLevelType w:val="hybridMultilevel"/>
    <w:lvl w:ilvl="0">
      <w:lvlJc w:val="left"/>
      <w:lvlText w:val="(%1)"/>
      <w:numFmt w:val="lowerRoman"/>
      <w:start w:val="4"/>
    </w:lvl>
  </w:abstractNum>
  <w:abstractNum w:abstractNumId="142">
    <w:nsid w:val="65968C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143">
    <w:nsid w:val="46263DEC"/>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44">
    <w:nsid w:val="260D8C4A"/>
    <w:multiLevelType w:val="hybridMultilevel"/>
    <w:lvl w:ilvl="0">
      <w:lvlJc w:val="left"/>
      <w:lvlText w:val="(%1)"/>
      <w:numFmt w:val="lowerLetter"/>
      <w:start w:val="9"/>
    </w:lvl>
    <w:lvl w:ilvl="1">
      <w:lvlJc w:val="left"/>
      <w:lvlText w:val="(%2)"/>
      <w:numFmt w:val="lowerLetter"/>
      <w:start w:val="9"/>
    </w:lvl>
    <w:lvl w:ilvl="2">
      <w:lvlJc w:val="left"/>
      <w:lvlText w:val="%3"/>
      <w:numFmt w:val="lowerRoman"/>
      <w:start w:val="1"/>
    </w:lvl>
  </w:abstractNum>
  <w:abstractNum w:abstractNumId="145">
    <w:nsid w:val="73D4D3C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46">
    <w:nsid w:val="746F2E3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47">
    <w:nsid w:val="6FDE8AF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48">
    <w:nsid w:val="3FC32E20"/>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49">
    <w:nsid w:val="49C0E823"/>
    <w:multiLevelType w:val="hybridMultilevel"/>
    <w:lvl w:ilvl="0">
      <w:lvlJc w:val="left"/>
      <w:lvlText w:val="(%1)"/>
      <w:numFmt w:val="lowerRoman"/>
      <w:start w:val="2"/>
    </w:lvl>
  </w:abstractNum>
  <w:abstractNum w:abstractNumId="150">
    <w:nsid w:val="14D5368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1">
    <w:nsid w:val="230F856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2">
    <w:nsid w:val="6EAA85FB"/>
    <w:multiLevelType w:val="hybridMultilevel"/>
    <w:lvl w:ilvl="0">
      <w:lvlJc w:val="left"/>
      <w:lvlText w:val="%1"/>
      <w:numFmt w:val="decimal"/>
      <w:start w:val="1"/>
    </w:lvl>
    <w:lvl w:ilvl="1">
      <w:lvlJc w:val="left"/>
      <w:lvlText w:val="(%2)"/>
      <w:numFmt w:val="lowerLetter"/>
      <w:start w:val="4"/>
    </w:lvl>
  </w:abstractNum>
  <w:abstractNum w:abstractNumId="153">
    <w:nsid w:val="3F06ECB2"/>
    <w:multiLevelType w:val="hybridMultilevel"/>
    <w:lvl w:ilvl="0">
      <w:lvlJc w:val="left"/>
      <w:lvlText w:val="%1."/>
      <w:numFmt w:val="decimal"/>
      <w:start w:val="7"/>
    </w:lvl>
    <w:lvl w:ilvl="1">
      <w:lvlJc w:val="left"/>
      <w:lvlText w:val="(%2)"/>
      <w:numFmt w:val="lowerLetter"/>
      <w:start w:val="1"/>
    </w:lvl>
  </w:abstractNum>
  <w:abstractNum w:abstractNumId="154">
    <w:nsid w:val="3B594807"/>
    <w:multiLevelType w:val="hybridMultilevel"/>
    <w:lvl w:ilvl="0">
      <w:lvlJc w:val="left"/>
      <w:lvlText w:val="%1."/>
      <w:numFmt w:val="decimal"/>
      <w:start w:val="8"/>
    </w:lvl>
    <w:lvl w:ilvl="1">
      <w:lvlJc w:val="left"/>
      <w:lvlText w:val="(%2)"/>
      <w:numFmt w:val="lowerLetter"/>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2019-12-08T14:19:40Z</dcterms:created>
  <dcterms:modified xsi:type="dcterms:W3CDTF">2019-12-08T14:19:40Z</dcterms:modified>
</cp:coreProperties>
</file>