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60" w:right="3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3800" w:type="dxa"/>
            <w:vAlign w:val="bottom"/>
            <w:gridSpan w:val="2"/>
          </w:tcPr>
          <w:p>
            <w:pPr>
              <w:ind w:left="640"/>
              <w:spacing w:after="0"/>
              <w:rPr>
                <w:sz w:val="20"/>
                <w:szCs w:val="20"/>
                <w:color w:val="auto"/>
              </w:rPr>
            </w:pPr>
            <w:r>
              <w:rPr>
                <w:rFonts w:ascii="Arial" w:cs="Arial" w:eastAsia="Arial" w:hAnsi="Arial"/>
                <w:sz w:val="16"/>
                <w:szCs w:val="16"/>
                <w:b w:val="1"/>
                <w:bCs w:val="1"/>
                <w:color w:val="auto"/>
              </w:rPr>
              <w:t>For the Transition Period from</w:t>
            </w:r>
          </w:p>
        </w:tc>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to</w:t>
            </w:r>
          </w:p>
        </w:tc>
        <w:tc>
          <w:tcPr>
            <w:tcW w:w="1660" w:type="dxa"/>
            <w:vAlign w:val="bottom"/>
          </w:tcPr>
          <w:p>
            <w:pPr>
              <w:spacing w:after="0"/>
              <w:rPr>
                <w:sz w:val="18"/>
                <w:szCs w:val="18"/>
                <w:color w:val="auto"/>
              </w:rPr>
            </w:pPr>
          </w:p>
        </w:tc>
      </w:tr>
      <w:tr>
        <w:trPr>
          <w:trHeight w:val="311"/>
        </w:trPr>
        <w:tc>
          <w:tcPr>
            <w:tcW w:w="1960" w:type="dxa"/>
            <w:vAlign w:val="bottom"/>
          </w:tcPr>
          <w:p>
            <w:pPr>
              <w:spacing w:after="0"/>
              <w:rPr>
                <w:sz w:val="24"/>
                <w:szCs w:val="24"/>
                <w:color w:val="auto"/>
              </w:rPr>
            </w:pPr>
          </w:p>
        </w:tc>
        <w:tc>
          <w:tcPr>
            <w:tcW w:w="57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Commission File Number: 001-37708</w:t>
            </w:r>
          </w:p>
        </w:tc>
        <w:tc>
          <w:tcPr>
            <w:tcW w:w="1660" w:type="dxa"/>
            <w:vAlign w:val="bottom"/>
          </w:tcPr>
          <w:p>
            <w:pPr>
              <w:spacing w:after="0"/>
              <w:rPr>
                <w:sz w:val="24"/>
                <w:szCs w:val="24"/>
                <w:color w:val="auto"/>
              </w:rPr>
            </w:pPr>
          </w:p>
        </w:tc>
      </w:tr>
      <w:tr>
        <w:trPr>
          <w:trHeight w:val="236"/>
        </w:trPr>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tcBorders>
              <w:bottom w:val="single" w:sz="8" w:color="auto"/>
            </w:tcBorders>
            <w:gridSpan w:val="2"/>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87"/>
        </w:trPr>
        <w:tc>
          <w:tcPr>
            <w:tcW w:w="1960" w:type="dxa"/>
            <w:vAlign w:val="bottom"/>
          </w:tcPr>
          <w:p>
            <w:pPr>
              <w:spacing w:after="0"/>
              <w:rPr>
                <w:sz w:val="24"/>
                <w:szCs w:val="24"/>
                <w:color w:val="auto"/>
              </w:rPr>
            </w:pPr>
          </w:p>
        </w:tc>
        <w:tc>
          <w:tcPr>
            <w:tcW w:w="5720" w:type="dxa"/>
            <w:vAlign w:val="bottom"/>
            <w:gridSpan w:val="4"/>
          </w:tcPr>
          <w:p>
            <w:pPr>
              <w:jc w:val="center"/>
              <w:ind w:right="160"/>
              <w:spacing w:after="0"/>
              <w:rPr>
                <w:sz w:val="20"/>
                <w:szCs w:val="20"/>
                <w:color w:val="auto"/>
              </w:rPr>
            </w:pPr>
            <w:r>
              <w:rPr>
                <w:rFonts w:ascii="Arial" w:cs="Arial" w:eastAsia="Arial" w:hAnsi="Arial"/>
                <w:sz w:val="43"/>
                <w:szCs w:val="43"/>
                <w:b w:val="1"/>
                <w:bCs w:val="1"/>
                <w:color w:val="auto"/>
                <w:w w:val="90"/>
              </w:rPr>
              <w:t>Syndax Pharmaceuticals, Inc.</w:t>
            </w:r>
          </w:p>
        </w:tc>
        <w:tc>
          <w:tcPr>
            <w:tcW w:w="1660" w:type="dxa"/>
            <w:vAlign w:val="bottom"/>
          </w:tcPr>
          <w:p>
            <w:pPr>
              <w:spacing w:after="0"/>
              <w:rPr>
                <w:sz w:val="24"/>
                <w:szCs w:val="24"/>
                <w:color w:val="auto"/>
              </w:rPr>
            </w:pPr>
          </w:p>
        </w:tc>
      </w:tr>
      <w:tr>
        <w:trPr>
          <w:trHeight w:val="210"/>
        </w:trPr>
        <w:tc>
          <w:tcPr>
            <w:tcW w:w="1960" w:type="dxa"/>
            <w:vAlign w:val="bottom"/>
          </w:tcPr>
          <w:p>
            <w:pPr>
              <w:spacing w:after="0"/>
              <w:rPr>
                <w:sz w:val="18"/>
                <w:szCs w:val="18"/>
                <w:color w:val="auto"/>
              </w:rPr>
            </w:pPr>
          </w:p>
        </w:tc>
        <w:tc>
          <w:tcPr>
            <w:tcW w:w="57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660" w:type="dxa"/>
            <w:vAlign w:val="bottom"/>
          </w:tcPr>
          <w:p>
            <w:pPr>
              <w:spacing w:after="0"/>
              <w:rPr>
                <w:sz w:val="18"/>
                <w:szCs w:val="18"/>
                <w:color w:val="auto"/>
              </w:rPr>
            </w:pPr>
          </w:p>
        </w:tc>
      </w:tr>
      <w:tr>
        <w:trPr>
          <w:trHeight w:val="249"/>
        </w:trPr>
        <w:tc>
          <w:tcPr>
            <w:tcW w:w="1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322"/>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800" w:type="dxa"/>
            <w:vAlign w:val="bottom"/>
            <w:gridSpan w:val="2"/>
          </w:tcPr>
          <w:p>
            <w:pPr>
              <w:jc w:val="center"/>
              <w:ind w:left="1892"/>
              <w:spacing w:after="0"/>
              <w:rPr>
                <w:sz w:val="20"/>
                <w:szCs w:val="20"/>
                <w:color w:val="auto"/>
              </w:rPr>
            </w:pPr>
            <w:r>
              <w:rPr>
                <w:rFonts w:ascii="Arial" w:cs="Arial" w:eastAsia="Arial" w:hAnsi="Arial"/>
                <w:sz w:val="16"/>
                <w:szCs w:val="16"/>
                <w:b w:val="1"/>
                <w:bCs w:val="1"/>
                <w:color w:val="auto"/>
                <w:w w:val="89"/>
              </w:rPr>
              <w:t>2834</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32-0162505</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80" w:type="dxa"/>
            <w:vAlign w:val="bottom"/>
          </w:tcPr>
          <w:p>
            <w:pPr>
              <w:spacing w:after="0"/>
              <w:rPr>
                <w:sz w:val="12"/>
                <w:szCs w:val="12"/>
                <w:color w:val="auto"/>
              </w:rPr>
            </w:pPr>
          </w:p>
        </w:tc>
        <w:tc>
          <w:tcPr>
            <w:tcW w:w="414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166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1580" w:type="dxa"/>
            <w:vAlign w:val="bottom"/>
          </w:tcPr>
          <w:p>
            <w:pPr>
              <w:spacing w:after="0"/>
              <w:rPr>
                <w:sz w:val="16"/>
                <w:szCs w:val="16"/>
                <w:color w:val="auto"/>
              </w:rPr>
            </w:pPr>
          </w:p>
        </w:tc>
        <w:tc>
          <w:tcPr>
            <w:tcW w:w="222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Classification Code Number)</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60" w:type="dxa"/>
            <w:vAlign w:val="bottom"/>
          </w:tcPr>
          <w:p>
            <w:pPr>
              <w:jc w:val="center"/>
              <w:ind w:left="14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35 Gatehouse Drive, Building D, Floor 3</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Waltham, Massachusetts 02451</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(781) 419-1400</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36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80" w:type="dxa"/>
            <w:vAlign w:val="bottom"/>
            <w:gridSpan w:val="5"/>
          </w:tcPr>
          <w:p>
            <w:pPr>
              <w:jc w:val="center"/>
              <w:ind w:right="1820"/>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28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60" w:type="dxa"/>
            <w:vAlign w:val="bottom"/>
            <w:gridSpan w:val="4"/>
          </w:tcPr>
          <w:p>
            <w:pPr>
              <w:ind w:left="80"/>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160" w:type="dxa"/>
            <w:vAlign w:val="bottom"/>
            <w:gridSpan w:val="3"/>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020" w:type="dxa"/>
            <w:vAlign w:val="bottom"/>
            <w:gridSpan w:val="2"/>
          </w:tcPr>
          <w:p>
            <w:pPr>
              <w:spacing w:after="0"/>
              <w:rPr>
                <w:sz w:val="21"/>
                <w:szCs w:val="21"/>
                <w:color w:val="auto"/>
              </w:rPr>
            </w:pPr>
          </w:p>
        </w:tc>
        <w:tc>
          <w:tcPr>
            <w:tcW w:w="30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1840" w:type="dxa"/>
            <w:vAlign w:val="bottom"/>
            <w:vMerge w:val="restart"/>
          </w:tcPr>
          <w:p>
            <w:pPr>
              <w:ind w:left="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12"/>
        </w:trPr>
        <w:tc>
          <w:tcPr>
            <w:tcW w:w="7560" w:type="dxa"/>
            <w:vAlign w:val="bottom"/>
            <w:gridSpan w:val="6"/>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  Yes</w:t>
            </w:r>
          </w:p>
        </w:tc>
        <w:tc>
          <w:tcPr>
            <w:tcW w:w="3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60" w:type="dxa"/>
            <w:vAlign w:val="bottom"/>
            <w:gridSpan w:val="6"/>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Securities Act.</w:t>
            </w:r>
          </w:p>
        </w:tc>
        <w:tc>
          <w:tcPr>
            <w:tcW w:w="300" w:type="dxa"/>
            <w:vAlign w:val="bottom"/>
          </w:tcPr>
          <w:p>
            <w:pPr>
              <w:ind w:left="40"/>
              <w:spacing w:after="0"/>
              <w:rPr>
                <w:sz w:val="20"/>
                <w:szCs w:val="20"/>
                <w:color w:val="auto"/>
              </w:rPr>
            </w:pPr>
            <w:r>
              <w:rPr>
                <w:rFonts w:ascii="Arial" w:cs="Arial" w:eastAsia="Arial" w:hAnsi="Arial"/>
                <w:sz w:val="15"/>
                <w:szCs w:val="15"/>
                <w:color w:val="auto"/>
                <w:w w:val="92"/>
              </w:rPr>
              <w:t>Yes</w:t>
            </w:r>
          </w:p>
        </w:tc>
        <w:tc>
          <w:tcPr>
            <w:tcW w:w="184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200" w:firstLine="342"/>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342"/>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w:t>
      </w:r>
    </w:p>
    <w:p>
      <w:pPr>
        <w:spacing w:after="0" w:line="173" w:lineRule="exact"/>
        <w:tabs>
          <w:tab w:leader="none" w:pos="800" w:val="left"/>
          <w:tab w:leader="none" w:pos="1400" w:val="left"/>
        </w:tabs>
        <w:rPr>
          <w:sz w:val="20"/>
          <w:szCs w:val="20"/>
          <w:color w:val="auto"/>
        </w:rPr>
      </w:pPr>
      <w:r>
        <w:rPr>
          <w:rFonts w:ascii="Arial" w:cs="Arial" w:eastAsia="Arial" w:hAnsi="Arial"/>
          <w:sz w:val="15"/>
          <w:szCs w:val="15"/>
          <w:color w:val="auto"/>
        </w:rPr>
        <w:t>such files).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5" w:lineRule="exact"/>
        <w:rPr>
          <w:sz w:val="24"/>
          <w:szCs w:val="24"/>
          <w:color w:val="auto"/>
        </w:rPr>
      </w:pPr>
    </w:p>
    <w:p>
      <w:pPr>
        <w:ind w:right="200" w:firstLine="342"/>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4" w:lineRule="exact"/>
        <w:rPr>
          <w:sz w:val="24"/>
          <w:szCs w:val="24"/>
          <w:color w:val="auto"/>
        </w:rPr>
      </w:pPr>
    </w:p>
    <w:p>
      <w:pPr>
        <w:ind w:right="140" w:firstLine="342"/>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0" w:right="319" w:bottom="1440" w:gutter="0" w:footer="0" w:header="0"/>
        </w:sectPr>
      </w:pP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4">
            <w:col w:w="1440" w:space="520"/>
            <w:col w:w="6260" w:space="720"/>
            <w:col w:w="1540" w:space="720"/>
            <w:col w:w="140"/>
          </w:cols>
          <w:pgMar w:left="240" w:top="230" w:right="31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1340" w:space="620"/>
            <w:col w:w="140" w:space="80"/>
            <w:col w:w="6040" w:space="720"/>
            <w:col w:w="1760" w:space="500"/>
            <w:col w:w="140"/>
          </w:cols>
          <w:pgMar w:left="240" w:top="230" w:right="319" w:bottom="1440" w:gutter="0" w:footer="0" w:header="0"/>
          <w:type w:val="continuous"/>
        </w:sectPr>
      </w:pPr>
    </w:p>
    <w:p>
      <w:pPr>
        <w:spacing w:after="0" w:line="30" w:lineRule="exact"/>
        <w:rPr>
          <w:sz w:val="24"/>
          <w:szCs w:val="24"/>
          <w:color w:val="auto"/>
        </w:rPr>
      </w:pPr>
    </w:p>
    <w:p>
      <w:pPr>
        <w:ind w:left="3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7300" w:space="140"/>
            <w:col w:w="220" w:space="80"/>
            <w:col w:w="140" w:space="140"/>
            <w:col w:w="200" w:space="60"/>
            <w:col w:w="3060"/>
          </w:cols>
          <w:pgMar w:left="240" w:top="230" w:right="319" w:bottom="1440" w:gutter="0" w:footer="0" w:header="0"/>
          <w:type w:val="continuous"/>
        </w:sectPr>
      </w:pPr>
    </w:p>
    <w:p>
      <w:pPr>
        <w:ind w:right="40" w:firstLine="342"/>
        <w:spacing w:after="0" w:line="236" w:lineRule="auto"/>
        <w:rPr>
          <w:sz w:val="20"/>
          <w:szCs w:val="20"/>
          <w:color w:val="auto"/>
        </w:rPr>
      </w:pPr>
      <w:r>
        <w:rPr>
          <w:rFonts w:ascii="Arial" w:cs="Arial" w:eastAsia="Arial" w:hAnsi="Arial"/>
          <w:sz w:val="15"/>
          <w:szCs w:val="15"/>
          <w:color w:val="auto"/>
        </w:rPr>
        <w:t>As of June 30, 2016, the last day of the registrant’s most recently completed second fiscal quarter, the aggregate market value of the Common Stock held by non-affiliates of the registrant was approximately $109.6 million, based on the closing price of the registrant’s common stock on June 30, 2016.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7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March 7, 2017, there were 18,244,423 shares of common stock outstanding.</w:t>
      </w:r>
    </w:p>
    <w:p>
      <w:pPr>
        <w:spacing w:after="0" w:line="94"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2" w:lineRule="exact"/>
        <w:rPr>
          <w:sz w:val="24"/>
          <w:szCs w:val="24"/>
          <w:color w:val="auto"/>
        </w:rPr>
      </w:pPr>
    </w:p>
    <w:p>
      <w:pPr>
        <w:ind w:right="20" w:firstLine="342"/>
        <w:spacing w:after="0"/>
        <w:rPr>
          <w:sz w:val="20"/>
          <w:szCs w:val="20"/>
          <w:color w:val="auto"/>
        </w:rPr>
      </w:pPr>
      <w:r>
        <w:rPr>
          <w:rFonts w:ascii="Arial" w:cs="Arial" w:eastAsia="Arial" w:hAnsi="Arial"/>
          <w:sz w:val="15"/>
          <w:szCs w:val="15"/>
          <w:color w:val="auto"/>
        </w:rPr>
        <w:t>Portions of the registrant’s definitive proxy statement for its 2017 Annual Meeting of Stockholders, which the registrant intends to file pursuant to Regulation 14A with the Securities and Exchange Commission not later than 120 days after the registrant’s fiscal year ended December 31,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2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940" w:type="dxa"/>
            <w:vAlign w:val="bottom"/>
            <w:gridSpan w:val="2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502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2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72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720" w:type="dxa"/>
            <w:vAlign w:val="bottom"/>
            <w:gridSpan w:val="2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68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Legal Proceedings</w:t>
              </w:r>
            </w:hyperlink>
          </w:p>
        </w:tc>
        <w:tc>
          <w:tcPr>
            <w:tcW w:w="838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720" w:type="dxa"/>
            <w:vAlign w:val="bottom"/>
            <w:gridSpan w:val="2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12"/>
          </w:tcPr>
          <w:p>
            <w:pPr>
              <w:jc w:val="center"/>
              <w:ind w:right="5000"/>
              <w:spacing w:after="0"/>
              <w:rPr>
                <w:rFonts w:ascii="Arial" w:cs="Arial" w:eastAsia="Arial" w:hAnsi="Arial"/>
                <w:sz w:val="18"/>
                <w:szCs w:val="18"/>
                <w:b w:val="1"/>
                <w:bCs w:val="1"/>
                <w:color w:val="0000EE"/>
                <w:w w:val="96"/>
              </w:rPr>
            </w:pPr>
            <w:hyperlink w:anchor="page80">
              <w:r>
                <w:rPr>
                  <w:rFonts w:ascii="Arial" w:cs="Arial" w:eastAsia="Arial" w:hAnsi="Arial"/>
                  <w:sz w:val="18"/>
                  <w:szCs w:val="18"/>
                  <w:b w:val="1"/>
                  <w:bCs w:val="1"/>
                  <w:color w:val="0000EE"/>
                  <w:w w:val="96"/>
                </w:rPr>
                <w:t>PART II</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1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Market for Registrant’s Common Equity, Related Stockholder Matters and Issuers Purchases of Equity Securities</w:t>
              </w:r>
            </w:hyperlink>
          </w:p>
        </w:tc>
        <w:tc>
          <w:tcPr>
            <w:tcW w:w="1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Selected Financial Data</w:t>
              </w:r>
            </w:hyperlink>
          </w:p>
        </w:tc>
        <w:tc>
          <w:tcPr>
            <w:tcW w:w="80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72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32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Financial Statements and Supplementary Data</w:t>
              </w:r>
            </w:hyperlink>
          </w:p>
        </w:tc>
        <w:tc>
          <w:tcPr>
            <w:tcW w:w="638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720" w:type="dxa"/>
            <w:vAlign w:val="bottom"/>
            <w:gridSpan w:val="2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7"/>
          </w:tcPr>
          <w:p>
            <w:pPr>
              <w:spacing w:after="0"/>
              <w:rPr>
                <w:sz w:val="17"/>
                <w:szCs w:val="17"/>
                <w:color w:val="auto"/>
              </w:rPr>
            </w:pPr>
          </w:p>
        </w:tc>
        <w:tc>
          <w:tcPr>
            <w:tcW w:w="32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720" w:type="dxa"/>
            <w:vAlign w:val="bottom"/>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49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Directors, Executive Officers and Corporate Governance</w:t>
              </w:r>
            </w:hyperlink>
          </w:p>
        </w:tc>
        <w:tc>
          <w:tcPr>
            <w:tcW w:w="56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72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Security Ownership of Certain Beneficial Owners and Management and Related Stockholder Matters</w:t>
              </w:r>
            </w:hyperlink>
          </w:p>
        </w:tc>
        <w:tc>
          <w:tcPr>
            <w:tcW w:w="2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Transactions, and Director Independence</w:t>
              </w:r>
            </w:hyperlink>
          </w:p>
        </w:tc>
        <w:tc>
          <w:tcPr>
            <w:tcW w:w="42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72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PART IV</w:t>
              </w:r>
            </w:hyperlink>
          </w:p>
        </w:tc>
        <w:tc>
          <w:tcPr>
            <w:tcW w:w="496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972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65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ovarian cancer and triple negative breast cancer;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and UCB Biopharma Sprl;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relating to our operations, results of operations, industry and future growth. Given these uncertainties, you should not rely on these forward-looking statements as predictions of future events.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are a clinical stage biopharmaceutical company developing an innovative pipeline of combination therapies in multiple cancer indications. Our lead product candidate, entinostat, is currently being evaluated in a Phase 3 clinical trial for advanced hormone receptor positive, or HR+, human epidermal growth factor receptor 2 negative, or HER2-, breast cancer. Entinostat was granted Breakthrough Therapy designation by the U.S. Food and Drug Administration, or the FDA, following positive results from our Phase 2b clinical trial, ENCORE 301. We are developing entinostat, which has direct effects on both cancer cells and immune regulatory cells, and SNDX-6352, a monoclonal antibody that targets the colony stimulating factor-1 receptor, or CSF-1R, to enhance the body’s immune response on tumors that have shown sensitivity to immunotherapy. We acquired the exclusive rights to SNDX-6352 in July 2016 and are evaluating entinostat as a combination therapeutic in Phase 1b/2 clinical trials with Merck &amp; Co., Inc., or Merck, for non-small cell lung cancer and melanoma; with Genentech, Inc., or Genentech, for triple negative breast cancer, or TNBC; and with Merck KGaA, Darmstadt, Germany, or Merck KGaA, and Pfizer Inc., or Pfizer, for ovarian cancer. We are evaluating SNDX-6352 in a single ascending dose Phase 1 clinical trial. We plan to continue to leverage the technical and business expertise of our management team and scientific collaborators to license, acquire and develop additional cancer therapies to expand our pipeline.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Entinostat is our oral, small molecule product candidate that has direct effects on both cancer cells and immune regulatory cells, potentially enhancing the body’s immune response to tumors. The favorable safety profile of entinostat has been demonstrated in clinical trials in more than 1,000 cancer patients. We believe that, based on its mechanism of action, entinostat may have broad applications in additional tumor types, including head and neck, bladder and renal cell, which are immuno-responsive, or sensitive to immunotherapy.</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Immuno-oncology is an emerging field of cancer medicine that has focused on the development of therapeutic approaches designed to activate the immune system to find and destroy cancer cells. Many tumors have the ability to evade the immune system through direct cellular interactions and recruitment of immuno-suppressive cells to the area surrounding the tumor. One such evasion mechanism is through the expression of proteins known as checkpoint proteins, such as programmed cell death protein ligand 1, or PD-L1, on the cancer cell surface. These checkpoint proteins bind to a corresponding receptor known as programmed cell death protein 1, or PD-1, which is expressed on particular immune cells known as cytotoxic T cells. Through this binding process, cytotoxic T cells are blocked from killing cancer cells. Antibodies known as immune checkpoint inhibitors block the interaction between PD-1 and PD-L1 to restore the ability of cytotoxic T cells to kill cancer cells and have shown significant clinical benefit in treating certain cancers. We believe that entinostat acts on a different tumor-evasion mechanism than is targeted by most other immunotherapies in development. Instead of focusing on the interaction between the T cell and the tumor, entinostat has been observed to decrease the population of immuno-suppressive cells known as myeloid-derived suppressor cells, or MDSCs, and regulatory T cells, or Tregs, which localize in the area surrounding the tumor and block T cells from killing cancer cells.</w:t>
      </w:r>
    </w:p>
    <w:p>
      <w:pPr>
        <w:spacing w:after="0" w:line="16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believe entinostat, a Class 1-specific histone deacetylase, or HDAC, inhibitor, is the therapy most advanced in development that can directly reduce both the number and activity of MDSCs and Tregs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 Through this important effect on MDSCs and Tregs, entinostat has the potential to be used synergistically with therapies working to stimulate the immune system. The long half-life of entinostat allows for continuous exposure to therapy potentially resulting in positive immuno-modulatory effects without corresponding cytotoxic effects. Another benefit of entinostat’s long half-life is the potential to minimize the frequency of dosing and reduce the severity and frequency of adverse events.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SNDX-6352</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SNDX-6352 is a humanized monoclonal antibody that binds with high affinity to CSF-1R. CSF-1R is expressed on the surface of specific immuno-suppressive cells (e.g., tumor-associated macrophages or TAMs) known to play a role in the growth, survival, and metastases of cancer. Inhibition of CSF-1R is thought to disrupt the activity of TAMs, resulting in a decrease in the immunosuppressive environment immediately surrounding the tumor, or tumor micro-environment. This mode of action is thought to make CSF-1R inhibitors well suited for use in combination with checkpoint inhibitors, particularly in cancers where there may be limited activity of immune checkpoint inhibitors as monotherapy.</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SNDX-6352 is an immunoglobulin G subclass 4, or IgG4, isotype that binds to the ligand binding domain of CSF-1R, blocking the binding and consequent activation by both natural ligands interleukin-34, or IL-34, and colony stimulating factor-1, or CSF-1, and disrupting TAM activity. We believe that the Ig subtype may provide differentiation in terms of safety and/or efficacy of the antibodies as single agent or in combinations. It is through this mechanism that we believe SNDX-6352 can decrease the ability of the tumor to grow and spread to other parts of the body. We believe that SNDX-6352 has the potential to be used to treat a variety of cancers in combination with entinostat and with other oncology agents, including immune checkpoint inhibitors, radiation, and chemotherapy.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focused on developing entinostat and SNDX-6352 to enhance the body’s immune response on tumors that have shown sensitivity to immunotherapy, as well as developing entinostat for use in multiple cancer indications in combination with complementary therapeutic drugs. Key elements of our strategy include:</w:t>
      </w:r>
    </w:p>
    <w:p>
      <w:pPr>
        <w:spacing w:after="0" w:line="87" w:lineRule="exact"/>
        <w:rPr>
          <w:sz w:val="20"/>
          <w:szCs w:val="20"/>
          <w:color w:val="auto"/>
        </w:rPr>
      </w:pPr>
    </w:p>
    <w:p>
      <w:pPr>
        <w:ind w:left="900" w:right="80" w:hanging="325"/>
        <w:spacing w:after="0" w:line="27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entinostat as the combination therapy of choice with immune checkpoint inhibitors, initially PD-1 and PD-L1 inhibitors. Our near-term focus is to rapidly establish proof of concept that entinostat can provide additional meaningful clinical benefit to patients in one or more tumor types when combined with a PD-1 inhibitor or a PD-L1 inhibitor. Our approach is to conduct clinical trials in patients with tumor types that are known to be responsive to PD-1 or PD-L1 inhibitors, such as NSCLC, melanoma, TNBC, ovarian cancer, head and neck cancer, bladder cancer and renal cell cancer. To that end, we have entered into non-exclusive collaborations with Merck, Genentech, and Merck KGaA and Pfizer. We intend to expand the existing collaborations or enter into additional collaborations through non-exclusive, clinical development agreements in order to assess entinostat’s impact across multiple tumor types while maintaining our ownership rights.</w:t>
      </w:r>
    </w:p>
    <w:p>
      <w:pPr>
        <w:spacing w:after="0" w:line="83" w:lineRule="exact"/>
        <w:rPr>
          <w:rFonts w:ascii="Arial" w:cs="Arial" w:eastAsia="Arial" w:hAnsi="Arial"/>
          <w:sz w:val="17"/>
          <w:szCs w:val="17"/>
          <w:color w:val="auto"/>
        </w:rPr>
      </w:pPr>
    </w:p>
    <w:p>
      <w:pPr>
        <w:ind w:left="900" w:right="4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regulatory approval of entinostat in indications with significant unmet need and commercial potential. Assuming that one or more of our Phase 1b/2 clinical trials are successful, we expect to conduct clinical trials that may lead to accelerated approval and/or conduct pivotal Phase 3 clinical trials, which would serve as the basis of approval from the FDA and the European Commission. We may also seek breakthrough therapy designation from the FDA depending on the magnitude of the clinical benefit observed. The order in which we choose to pursue FDA approvals will depend on the results of the entinostat proof-of-concept clinical trials, the relative speed to FDA approval for any given indication, the unmet need that exists within any given patient population and the competitive landscape of other therapies approved or in development for a given indication.</w:t>
      </w:r>
    </w:p>
    <w:p>
      <w:pPr>
        <w:spacing w:after="0" w:line="94"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obtain regulatory approval for entinostat in combination with hormone therapy in advanced HR+, HER2- breast cancer. Based on the positive results from our Phase 2b clinical trial, we received breakthrough therapy designation from the FDA for entinostat in combination with Aromasin in advanced HR+ breast cancer. We believe that the submission of the results of the Phase 3 clinical trial, if successful, would be sufficient for regulatory approval of entinostat in the United States.</w:t>
      </w:r>
    </w:p>
    <w:p>
      <w:pPr>
        <w:spacing w:after="0" w:line="92"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SNDX-6352 as a single agent and in combination in one or more tumor types. SNDX-6352 inhibits CSF-1R, a cell surface protein thought to control the survival and function of monocytes and macrophages. In many cancers, inhibition of CSF-1R will reduce the number of immunosuppressive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TAMs and enable an immune response against tumors. Our near-term focus is rapidly establishing proof of concept that SNDX-6352 can provide meaningful clinical benefit to patients in one or more tumor types when combined with standard-of-care therapies for a given indication. We commenced a single ascending dose Phase 1 clinical trial during the fourth quarter of 2016. We intend to conduct clinical trials in patients with tumor types having clear unmet needs and where we believe that the inhibition of TAMs via CSF-1R inhibition will synergize with the current standard of care, inducing tumor regressions.</w:t>
      </w:r>
    </w:p>
    <w:p>
      <w:pPr>
        <w:spacing w:after="0" w:line="94" w:lineRule="exact"/>
        <w:rPr>
          <w:sz w:val="20"/>
          <w:szCs w:val="20"/>
          <w:color w:val="auto"/>
        </w:rPr>
      </w:pPr>
    </w:p>
    <w:p>
      <w:pPr>
        <w:ind w:left="900" w:hanging="325"/>
        <w:spacing w:after="0" w:line="27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Leverage the technical and business expertise of our management team and scientific collaborators to license, acquire and develop additional cancer therapies to expand our pipeline. Our management team, advisors and scientific collaborators are or have been affiliated with some of the world’s leading research and development organizations and have a distinguished track record in product licensing, acquisitions and oncology drug development. We acquired the exclusive rights to SNDX-6352 in July 2016 and we intend to continue leveraging the collective talent within our organization and network of advisors to guide our pipeline expansion and development plans.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sets forth information pertaining to our principal clinical trials for (1) entinostat with our initial focus on advancing ENCORE 601, ENCORE 602 and ENCORE 603 in immuno-oncology and (2) entinostat in E2112, our collaboration with ECOG-ACRIN and the NCI, in HR+, HER2-breast cancer and (3) SNDX-6352 in immuno-oncology.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226175" cy="384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6175"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right="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Conducted pursuant to an Investigational New Drug, or IND, application, which was filed with the FDA by Syndax Pharmaceuticals, Inc. on April 20,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Syndax Pharmaceuticals, Inc. on January 26,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Syndax Pharmaceuticals, Inc. on September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October 24,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trial is in the planning phase and as such an IND has not yet been filed.</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Cancer is a complex, often fatal, disease arising from uncontrolled cell growth and the ability of cancer cells to avoid the immune system, the body’s primary defense mechanism for finding and destroying such cells. We are developing entinostat, which has direct effects on both cancer cells and immune regulatory cells. We have demonstrated that the delivery of entinostat in combination with hormone therapy can result in improvements in overall survival in advanced HR+ breast cancer patients. Entinostat has also demonstrated synergistic anti-tumor activity in combination with immune checkpoint inhibitors in preclinical studies. Entinostat is an oral, small molecule HDAC inhibitor. HDACs are enzymes that are subdivided into four classes and are known to play a role in controlling cell survival, proliferation, angiogenesis and immunity. While most HDAC inhibitors broadly inhibit multiple classes of HDACs, preclinical studies have shown that entinostat’s inhibitory activity is selective to Class 1 HDACs, which have been shown to impact the number and activity of MDSCs and Tregs. We believe that entinostat’s Class 1 selectivity enhances immune responses against cancer and is likely to lead to a better tolerability and combinability profile.</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Entinostat is currently being studied in clinical trials across a broad range of solid tumors, including breast cancer, NSCLC and melanoma. We are working in collaboration with Merck to study the combination of entinostat with Merck’s immune checkpoint inhibitor, </w:t>
      </w:r>
      <w:r>
        <w:rPr>
          <w:rFonts w:ascii="Arial" w:cs="Arial" w:eastAsia="Arial" w:hAnsi="Arial"/>
          <w:sz w:val="17"/>
          <w:szCs w:val="17"/>
          <w:i w:val="1"/>
          <w:iCs w:val="1"/>
          <w:color w:val="auto"/>
        </w:rPr>
        <w:t>Keytruda</w:t>
      </w:r>
      <w:r>
        <w:rPr>
          <w:rFonts w:ascii="Arial" w:cs="Arial" w:eastAsia="Arial" w:hAnsi="Arial"/>
          <w:sz w:val="14"/>
          <w:szCs w:val="14"/>
          <w:i w:val="1"/>
          <w:iCs w:val="1"/>
          <w:color w:val="auto"/>
        </w:rPr>
        <w:t>®</w:t>
      </w:r>
      <w:r>
        <w:rPr>
          <w:rFonts w:ascii="Arial" w:cs="Arial" w:eastAsia="Arial" w:hAnsi="Arial"/>
          <w:sz w:val="17"/>
          <w:szCs w:val="17"/>
          <w:color w:val="auto"/>
        </w:rPr>
        <w:t xml:space="preserve"> (pembrolizumab), in a Phase 1b/2 clinical trial (ENCORE 601) of up to 158 patients with NSCLC or melanoma. The Phase 1b portion of the clinical trial evaluated the safety and tolerability of the combination of entinostat and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and has progressed to the Phase 2 portion of the clinical trial, which is assessing the safety and efficacy of entinostat combined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either advanced metastatic or recurrent NSCLC or melanoma. Patient enrollment in the Phase 2 portion was initiated in October 2016. We have also entered into a collaboration with Genentech, Inc., or Genentech, to evaluate the safety, tolerability and preliminary efficacy of entinostat in combination with Genentech’s immune checkpoint inhibitor, </w:t>
      </w:r>
      <w:r>
        <w:rPr>
          <w:rFonts w:ascii="Arial" w:cs="Arial" w:eastAsia="Arial" w:hAnsi="Arial"/>
          <w:sz w:val="17"/>
          <w:szCs w:val="17"/>
          <w:i w:val="1"/>
          <w:iCs w:val="1"/>
          <w:color w:val="auto"/>
        </w:rPr>
        <w:t>Tecentriq</w:t>
      </w:r>
      <w:r>
        <w:rPr>
          <w:rFonts w:ascii="Arial" w:cs="Arial" w:eastAsia="Arial" w:hAnsi="Arial"/>
          <w:sz w:val="14"/>
          <w:szCs w:val="14"/>
          <w:color w:val="auto"/>
        </w:rPr>
        <w:t>®</w:t>
      </w:r>
      <w:r>
        <w:rPr>
          <w:rFonts w:ascii="Arial" w:cs="Arial" w:eastAsia="Arial" w:hAnsi="Arial"/>
          <w:sz w:val="17"/>
          <w:szCs w:val="17"/>
          <w:color w:val="auto"/>
        </w:rPr>
        <w:t xml:space="preserve"> (atezolizumab), in a Phase 1b/2 clinical trial (ENCORE 602) of patients with TNBC. Patient enrollment in the Phase 1b portion was completed in November 2016 and the Phase 2 portion of the trial was opened in December. We have also entered into a collaboration with Ares Trading, S.A., a subsidiary of Merck KGaA, Pfizer to evaluate the safety, tolerability and preliminary efficacy of entinostat in combination with the investigational monoclonal antibody targeting PD-L1, avelumab, in a Phase 1b/2 clinical trial, ENCORE 603, of patients with ovarian cancer. Avelumab is the proposed international non-proprietary name for the anti-PD-L1 IgG1 monoclonal antibody (MSB0010718C). We initiated ENCORE 603 in January 2017 and expect safety data from the Phase 1b safety portion during the first half of 2017. Additionally, entinostat is being evaluated in two ongoing and additional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Entinostat is also being evaluated in an ongoing Phase 3 clinical trial testing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in combination with entinostat versus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in combination with a placebo in patients with advanced HR+, HER2- breast cancer. ECOG Network Cancer Research Group, or ECOG-ACRIN, is conducting this clinical trial under sponsorship and funding support from the National Cancer Institute, or NCI. We are providing financial and operational support for this Phase 3 clinical trial under separate agreements with the NCI and ECOG-ACRIN. The protocol for the Phase 3 clinical trial was reviewed and agreed upon by the FDA under a Special Protocol Assessment, or SPA, agreement with the NCI. The Phase 3 clinical trial is designed to determine whether the addition of entinostat to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improves progression-free survival, or PFS, overall survival, or both in patients who have previously progressed after treatment with standard-of-care hormonal agents. We believe that the submission of</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Phase 3 clinical trial, if successful, would be sufficient for regulatory approval of entinostat in the United States.</w:t>
      </w:r>
    </w:p>
    <w:p>
      <w:pPr>
        <w:spacing w:after="0" w:line="22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are also developing SNDX-6352, which we believe may enhance the body’s immune response on tumors that have shown sensitivity to immunotherapy. With our entinostat program we have identified that many tumors have the ability to evade both the innate and adaptive immune system through direct cellular interactions and recruitment of immuno-suppressive cells such as MDSCs and Tregs to the area surrounding the tumor. Research has identified a third type of immuno-suppressive cell, known as a TAM, that is also recruited to the area surrounding the tumor and, together with MDSCs and Tregs, plays a significant role in helping a tumor evade detection and elimination by the immune system. TAMs are believed to play at least two key roles in promoting tumor cell growth. The first is to block the activity of those T cells that mediate the ability of the immune response to kill the tumor cell. The second is to secrete certain growth factors that induce the tumor cells to divide. Similar to MDSCs and Tregs, high levels of TAMs have been shown to correlate with poor prognosis for certain cancers and preclinical studies have demonstrated that inhibition of TAMs can enhance anti-tumor immune responses.</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Investigation into how TAMs are formed and recruited to the area surrounding the tumor has discovered that TAMs express on their cell surface a receptor known as CSF-1R that controls their growth. CSF-1R activity is regulated by two molecules, CSF-1 and IL-34, that have been shown by researchers to bind directly to CSF-1R. Studies show that blocking both CSF-1 and IL-34 may be required in order to fully block signaling through CSF-1R and reduce the number and function of TAMs. SNDX-6352 is an IgG4 isotype that binds to the ligand binding domain of CSF-1R, blocking the binding and consequent activation by both IL-34 and CSF-1 and disrupting TAM activity.</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SNDX-6352 is being evaluated in a single ascending dose Phase 1 clinical trial we commenced in the fourth quarter of 2016. We intend to conduct clinical trials in patients with tumor types having clear unmet needs and where we believe that the inhibition of TAMs via CSF-1R inhibition will synergize with the current standard of care, inducing tumor regressions.</w:t>
      </w:r>
    </w:p>
    <w:p>
      <w:pPr>
        <w:spacing w:after="0" w:line="289" w:lineRule="exact"/>
        <w:rPr>
          <w:sz w:val="20"/>
          <w:szCs w:val="20"/>
          <w:color w:val="auto"/>
        </w:rPr>
      </w:pPr>
    </w:p>
    <w:p>
      <w:pPr>
        <w:jc w:val="right"/>
        <w:ind w:right="9960"/>
        <w:spacing w:after="0"/>
        <w:rPr>
          <w:sz w:val="20"/>
          <w:szCs w:val="20"/>
          <w:color w:val="auto"/>
        </w:rPr>
      </w:pPr>
      <w:r>
        <w:rPr>
          <w:rFonts w:ascii="Arial" w:cs="Arial" w:eastAsia="Arial" w:hAnsi="Arial"/>
          <w:sz w:val="16"/>
          <w:szCs w:val="16"/>
          <w:b w:val="1"/>
          <w:bCs w:val="1"/>
          <w:i w:val="1"/>
          <w:iCs w:val="1"/>
          <w:color w:val="auto"/>
        </w:rPr>
        <w:t>Immuno-Oncology</w:t>
      </w:r>
    </w:p>
    <w:p>
      <w:pPr>
        <w:spacing w:after="0" w:line="140"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Immuno-oncology is an emerging field of cancer medicine that has focused on the development of therapeutic approaches designed to activate the immune system to find and destroy cancer cells. The immune system consists of two parts, the innate immune system and the adaptive immune system and both play a role in an effective anti-tumor immune response. The innate immune system, composed of key cells such as natural killer cells and neutrophils, is non-specific and is designed to rapidly identify and eliminate immediate threats to the body, such as infections and other pathogens. The adaptive immune system, composed of B cells, T cells and other immune regulatory cells, targets specific antigens and provides a long-term immune response, known as immunologic memory, to antigens it recognizes as foreign.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tumors have the ability to evade both the innate and adaptive immune system through direct cellular interactions and recruitment of immuno-suppressive cells to the area surrounding the tumor. Cancer cells can express proteins on their cell surface known as checkpoint proteins, such as PD-L1 and programmed cell death protein ligand 2, or PD-L2, that block the ability of immune cells known as cytotoxic T cells to kill cancer cells. Antibodies that block PD-L1 or PD-L2 restore the ability of cytotoxic T cells to kill cancer cells and have shown significant clinical benefit. Positive results notwithstanding, durable responses following treatment with immune checkpoint inhibitors have only been observed in a relatively small population of treated patients, with overall response rates falling below 30% depending on tumor type, and suggest that additional strategies enhancing the anti-tumor immune response are needed to improve the survival of cancer patients.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Research to identify the basis for the limited efficacy of recently developed immune therapies has provided investigators with an appreciation for the role that specific immune regulatory cells, such as MDSCs and Tregs, have in blocking the cytotoxic T cell response. MDSCs and Tregs localize in the area surrounding the tumor and, together with the immune checkpoints, play a significant role in helping a tumor evade detection and elimination by the immune system.</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MDSCs are a group of immature myeloid cells that are activated by disease or injury and are generally increased in cancer patients. The primary function of MDSCs is to suppress an activated T cell immune response through the production and secretion of enzymes, which deplete key amino acids required for the growth and function of cytotoxic T cells. High levels of circulating MDSCs in various cancers, including breast, lung and head and neck, and others correspond with a poor prognosis and limited response to cancer therapy. Recent data further indicates that high levels of circulating MDSCs in melanoma patients are inversely correlated with clinical response to immune checkpoint inhibitors suggesting that targeting MDSCs may offer new therapeutic opportunities that enhance the anti-tumor response to immune checkpoint inhibitors.</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Tregs are immune suppressor cells that are recruited to sites of active immune response in order to shut down the cytotoxic T cell response. A defining feature of immunosuppressive Tregs is the expression of a protein called FoxP3, or forkhead box p3. We refer to FoxP3+ Tregs as Tregs. Unlike MDSCs, which are found in activated states in circulating blood, Tregs may be recruited to the area surrounding the tumor and activated by local signals from the cancer cell. As with MDSCs, an increase in the level of activated Tregs correlates with poor prognosis in a number of tumor types including breast, colorectal, ovarian and other cancers. Tregs suppress cytotoxic T cell responses through the secretion of cytokines that inhibit the growth of cytotoxic T cells. In addition, Tregs can cause other immune regulatory cells in the area surrounding the tumor to secrete immune suppressive enzymes. Inhibiting Tregs may therefore relieve immune suppression in a way similar and potentially complementary to that of other immune-targeted approaches.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as Immunotherapy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Preclinical and clinical data combined with the safety data observed in treating more than 1,000 cancer patients to date support our belief that entinostat has the potential to enhance the efficacy of immune checkpoint inhibitors across multiple tumor types. Entinostat is a Class 1-specific HDAC inhibitor targeting those HDACs shown to impact the number and activity of MDSCs and Tregs. We believe that entinostat acts on a different tumor-evasion mechanism than that being targeted by most other immunotherapies in development and is the most advanced agent that can directly reduce both the number and activity of MDSCs and Tregs while sparing the cytotoxic T cells. This impact of entinostat’s effect is presented in Figure 1 below, which illustrates how this mechanism can be highly complementary to immune checkpoint inhibitors.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94615</wp:posOffset>
            </wp:positionV>
            <wp:extent cx="5213985" cy="3224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Syndax</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Supporting Entinostat as a Dual Inhibitor of Immune Suppressor Cells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Separate preclinical studies from investigators at Johns Hopkins University, or JHU, and Roswell Park Cancer Center have demonstrated that entinostat is a dual inhibitor of immune suppressor cells through its targeting of both MDSCs and Tregs. Figure 2 below shows that entinostat reduces the growth of MDSCs at concentrations that spare the growth of cytotoxic T cells. Approximately half of the MDSCs are stopped from growing at 200 nM of entinostat, which is 35 times less than the concentration of entinostat that stops half of the cytotoxic T cells from growing. Figure 3 shows that entinostat can also inhibit MDSC function. In this experiment the investigators mixed MDSCs with cytotoxic T cells and determined the level of T cell activity by measuring secreted amounts of interferon-gamma, a cytokine that is important for the anti-tumor immune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response. Adding increasing amounts of entinostat results in higher levels of interferon-gamma secretion indicating that entinostat is enhancing cytotoxic T cell activation by blocking MDSC suppression.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Figure 2.</w:t>
      </w:r>
      <w:r>
        <w:rPr>
          <w:sz w:val="20"/>
          <w:szCs w:val="20"/>
          <w:color w:val="auto"/>
        </w:rPr>
        <w:tab/>
      </w:r>
      <w:r>
        <w:rPr>
          <w:rFonts w:ascii="Arial" w:cs="Arial" w:eastAsia="Arial" w:hAnsi="Arial"/>
          <w:sz w:val="16"/>
          <w:szCs w:val="16"/>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85865" cy="1972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586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6340" w:val="left"/>
        </w:tabs>
        <w:rPr>
          <w:sz w:val="20"/>
          <w:szCs w:val="20"/>
          <w:color w:val="auto"/>
        </w:rPr>
      </w:pPr>
      <w:r>
        <w:rPr>
          <w:rFonts w:ascii="Arial" w:cs="Arial" w:eastAsia="Arial" w:hAnsi="Arial"/>
          <w:sz w:val="18"/>
          <w:szCs w:val="18"/>
          <w:i w:val="1"/>
          <w:iCs w:val="1"/>
          <w:color w:val="auto"/>
        </w:rPr>
        <w:t>Source: Kato et al 2007 American Association for Cancer Research</w:t>
      </w:r>
      <w:r>
        <w:rPr>
          <w:sz w:val="20"/>
          <w:szCs w:val="20"/>
          <w:color w:val="auto"/>
        </w:rPr>
        <w:tab/>
      </w:r>
      <w:r>
        <w:rPr>
          <w:rFonts w:ascii="Arial" w:cs="Arial" w:eastAsia="Arial" w:hAnsi="Arial"/>
          <w:sz w:val="16"/>
          <w:szCs w:val="16"/>
          <w:i w:val="1"/>
          <w:iCs w:val="1"/>
          <w:color w:val="auto"/>
        </w:rPr>
        <w:t>Source: Adapted from Shen et al 2012 Public Library of Science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Entinostat has also been shown to inhibit Treg activity in preclinical experiments. As shown in Figures 4 and 5 below, investigators have used an animal model of renal cell carcinoma called RENCA in order to demonstrate that entinostat could block Treg-mediated immune suppression in order to enhance the activity of </w:t>
      </w:r>
      <w:r>
        <w:rPr>
          <w:rFonts w:ascii="Arial" w:cs="Arial" w:eastAsia="Arial" w:hAnsi="Arial"/>
          <w:sz w:val="17"/>
          <w:szCs w:val="17"/>
          <w:i w:val="1"/>
          <w:iCs w:val="1"/>
          <w:color w:val="auto"/>
        </w:rPr>
        <w:t>Proleukin</w:t>
      </w:r>
      <w:r>
        <w:rPr>
          <w:rFonts w:ascii="Arial" w:cs="Arial" w:eastAsia="Arial" w:hAnsi="Arial"/>
          <w:sz w:val="14"/>
          <w:szCs w:val="14"/>
          <w:i w:val="1"/>
          <w:iCs w:val="1"/>
          <w:color w:val="auto"/>
        </w:rPr>
        <w:t>®</w:t>
      </w:r>
      <w:r>
        <w:rPr>
          <w:rFonts w:ascii="Arial" w:cs="Arial" w:eastAsia="Arial" w:hAnsi="Arial"/>
          <w:sz w:val="17"/>
          <w:szCs w:val="17"/>
          <w:color w:val="auto"/>
        </w:rPr>
        <w:t xml:space="preserve"> (aldesleukin) an approved immune therapy for renal cell carcinoma. In Figure 4, the shaded areas on the mice indicate tumor growth, and the size of individual tumors at the end of the study can be seen below each mouse. In this experiment, entinostat alone has some anti-tumor activity and when combined with </w:t>
      </w:r>
      <w:r>
        <w:rPr>
          <w:rFonts w:ascii="Arial" w:cs="Arial" w:eastAsia="Arial" w:hAnsi="Arial"/>
          <w:sz w:val="17"/>
          <w:szCs w:val="17"/>
          <w:i w:val="1"/>
          <w:iCs w:val="1"/>
          <w:color w:val="auto"/>
        </w:rPr>
        <w:t>Proleukin</w:t>
      </w:r>
      <w:r>
        <w:rPr>
          <w:rFonts w:ascii="Arial" w:cs="Arial" w:eastAsia="Arial" w:hAnsi="Arial"/>
          <w:sz w:val="17"/>
          <w:szCs w:val="17"/>
          <w:color w:val="auto"/>
        </w:rPr>
        <w:t xml:space="preserve"> results in a significant reduction in the growth and size of the tumors. The graph in Figure 5 shows that </w:t>
      </w:r>
      <w:r>
        <w:rPr>
          <w:rFonts w:ascii="Arial" w:cs="Arial" w:eastAsia="Arial" w:hAnsi="Arial"/>
          <w:sz w:val="17"/>
          <w:szCs w:val="17"/>
          <w:i w:val="1"/>
          <w:iCs w:val="1"/>
          <w:color w:val="auto"/>
        </w:rPr>
        <w:t xml:space="preserve">Proleukin </w:t>
      </w:r>
      <w:r>
        <w:rPr>
          <w:rFonts w:ascii="Arial" w:cs="Arial" w:eastAsia="Arial" w:hAnsi="Arial"/>
          <w:sz w:val="17"/>
          <w:szCs w:val="17"/>
          <w:color w:val="auto"/>
        </w:rPr>
        <w:t>alone increases the levels of Tregs as a consequence of its immune activity and that entinostat alone, and in combination with</w:t>
      </w:r>
      <w:r>
        <w:rPr>
          <w:rFonts w:ascii="Arial" w:cs="Arial" w:eastAsia="Arial" w:hAnsi="Arial"/>
          <w:sz w:val="17"/>
          <w:szCs w:val="17"/>
          <w:i w:val="1"/>
          <w:iCs w:val="1"/>
          <w:color w:val="auto"/>
        </w:rPr>
        <w:t xml:space="preserve"> Proleukin</w:t>
      </w:r>
      <w:r>
        <w:rPr>
          <w:rFonts w:ascii="Arial" w:cs="Arial" w:eastAsia="Arial" w:hAnsi="Arial"/>
          <w:sz w:val="17"/>
          <w:szCs w:val="17"/>
          <w:color w:val="auto"/>
        </w:rPr>
        <w:t>, blocks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Tregs and reduces the number of immune-suppressive Tregs that are present in the tumor. In addition to reducing the number of immune-suppressive Tregs in this study, entinostat also increases the number of activated cytotoxic T cells.</w:t>
      </w:r>
    </w:p>
    <w:p>
      <w:pPr>
        <w:spacing w:after="0" w:line="202"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Figure 4.</w:t>
      </w:r>
      <w:r>
        <w:rPr>
          <w:sz w:val="20"/>
          <w:szCs w:val="20"/>
          <w:color w:val="auto"/>
        </w:rPr>
        <w:tab/>
      </w:r>
      <w:r>
        <w:rPr>
          <w:rFonts w:ascii="Arial" w:cs="Arial" w:eastAsia="Arial" w:hAnsi="Arial"/>
          <w:sz w:val="16"/>
          <w:szCs w:val="16"/>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363335" cy="258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6333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order to determine whether the effect of entinostat observed in preclinical research studies can also be observed in cancer patients treated with entinostat, we conducted an analysis on immune cells found in blood samples collected from a subset of patients treated in ENCORE 301, our Phase 2b clinical trial in advanced HR+ breast cancer patients. As shown in Figure 6 below, in these peripheral blood samples, we observed a statistically significant reduction in the level of circulating MDSCs in patients treated with the combination of entinostat and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a hormone therapy, but not in patients treated with the combination of placebo and </w:t>
      </w:r>
      <w:r>
        <w:rPr>
          <w:rFonts w:ascii="Arial" w:cs="Arial" w:eastAsia="Arial" w:hAnsi="Arial"/>
          <w:sz w:val="18"/>
          <w:szCs w:val="18"/>
          <w:i w:val="1"/>
          <w:iCs w:val="1"/>
          <w:color w:val="auto"/>
        </w:rPr>
        <w:t>Aromasin</w:t>
      </w:r>
      <w:r>
        <w:rPr>
          <w:rFonts w:ascii="Arial" w:cs="Arial" w:eastAsia="Arial" w:hAnsi="Arial"/>
          <w:sz w:val="18"/>
          <w:szCs w:val="18"/>
          <w:color w:val="auto"/>
        </w:rPr>
        <w:t>. We believe this data collected from a subset of the ENCORE 301 patient population provided the first clinical evidence of entinostat-mediated reduction of immunosuppressive MDSCs in patients and is consistent with the impact on MDSCs observed in the preclinical animal studies.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94615</wp:posOffset>
            </wp:positionV>
            <wp:extent cx="2512695" cy="2341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269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Source: Syndax</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Supporting Entinostat in Combination with Immune Checkpoint Inhibitors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u w:val="single" w:color="auto"/>
          <w:color w:val="auto"/>
        </w:rPr>
        <w:t>Preclinical</w:t>
      </w:r>
      <w:r>
        <w:rPr>
          <w:rFonts w:ascii="Arial" w:cs="Arial" w:eastAsia="Arial" w:hAnsi="Arial"/>
          <w:sz w:val="18"/>
          <w:szCs w:val="18"/>
          <w:color w:val="auto"/>
        </w:rPr>
        <w:t>. In order to determine whether entinostat could combine effectively with immune checkpoint inhibitors, investigators from JHU tested entinostat in combination with anti-PD-1 and anti-cytotoxic T-lymphocyte-associated protein 4, or CTLA4, directed antibodies in immune-resistant animal models. As shown in Figure 7 below, the elimination of both primary and metastatic tumors was observed in a 4T1 mouse breast cancer model that was treated with entinostat together with dual PD-1/CTLA4 checkpoint inhibition.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researchers observed that entinostat, rather than attacking and destroying replicating cells as standard chemotherapy drugs do, reduced the number and activity of MDSCs.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94615</wp:posOffset>
            </wp:positionV>
            <wp:extent cx="5171440" cy="2418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144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Adapted from Kim et al 2014 Proceedings of the National Academy of Sciences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u w:val="single" w:color="auto"/>
          <w:color w:val="auto"/>
        </w:rPr>
        <w:t>Clinical</w:t>
      </w:r>
      <w:r>
        <w:rPr>
          <w:rFonts w:ascii="Arial" w:cs="Arial" w:eastAsia="Arial" w:hAnsi="Arial"/>
          <w:sz w:val="17"/>
          <w:szCs w:val="17"/>
          <w:color w:val="auto"/>
        </w:rPr>
        <w:t xml:space="preserve">. Based on the clinical outcome of patients who were treated in two unrelated clinical trials, physicians at JHU observed preliminary evidence for the potential beneficial effects of combining entinostat with a PD-1 or PD-L1 inhibitor. In a heavily pre-treated metastatic NSCLC population, patients given the combination of entinostat and </w:t>
      </w:r>
      <w:r>
        <w:rPr>
          <w:rFonts w:ascii="Arial" w:cs="Arial" w:eastAsia="Arial" w:hAnsi="Arial"/>
          <w:sz w:val="17"/>
          <w:szCs w:val="17"/>
          <w:i w:val="1"/>
          <w:iCs w:val="1"/>
          <w:color w:val="auto"/>
        </w:rPr>
        <w:t>Vidaza</w:t>
      </w:r>
      <w:r>
        <w:rPr>
          <w:rFonts w:ascii="Arial" w:cs="Arial" w:eastAsia="Arial" w:hAnsi="Arial"/>
          <w:sz w:val="14"/>
          <w:szCs w:val="14"/>
          <w:i w:val="1"/>
          <w:iCs w:val="1"/>
          <w:color w:val="auto"/>
        </w:rPr>
        <w:t>®</w:t>
      </w:r>
      <w:r>
        <w:rPr>
          <w:rFonts w:ascii="Arial" w:cs="Arial" w:eastAsia="Arial" w:hAnsi="Arial"/>
          <w:sz w:val="17"/>
          <w:szCs w:val="17"/>
          <w:color w:val="auto"/>
        </w:rPr>
        <w:t xml:space="preserve"> (azacitidine), an approved chemotherapeutic drug, achieved few objective responses and only a modest 4% overall response rate. However, investigators observed that these same patients who received the combination of entinostat and </w:t>
      </w:r>
      <w:r>
        <w:rPr>
          <w:rFonts w:ascii="Arial" w:cs="Arial" w:eastAsia="Arial" w:hAnsi="Arial"/>
          <w:sz w:val="17"/>
          <w:szCs w:val="17"/>
          <w:i w:val="1"/>
          <w:iCs w:val="1"/>
          <w:color w:val="auto"/>
        </w:rPr>
        <w:t>Vidaza</w:t>
      </w:r>
      <w:r>
        <w:rPr>
          <w:rFonts w:ascii="Arial" w:cs="Arial" w:eastAsia="Arial" w:hAnsi="Arial"/>
          <w:sz w:val="17"/>
          <w:szCs w:val="17"/>
          <w:color w:val="auto"/>
        </w:rPr>
        <w:t xml:space="preserve"> and who subsequently received immune checkpoint therapy demonstrated a higher response rate than that expected for this patient population. Figure 8 below illustrates that all five patients who received either </w:t>
      </w:r>
      <w:r>
        <w:rPr>
          <w:rFonts w:ascii="Arial" w:cs="Arial" w:eastAsia="Arial" w:hAnsi="Arial"/>
          <w:sz w:val="17"/>
          <w:szCs w:val="17"/>
          <w:i w:val="1"/>
          <w:iCs w:val="1"/>
          <w:color w:val="auto"/>
        </w:rPr>
        <w:t>Opdivo</w:t>
      </w:r>
      <w:r>
        <w:rPr>
          <w:rFonts w:ascii="Arial" w:cs="Arial" w:eastAsia="Arial" w:hAnsi="Arial"/>
          <w:sz w:val="14"/>
          <w:szCs w:val="14"/>
          <w:i w:val="1"/>
          <w:iCs w:val="1"/>
          <w:color w:val="auto"/>
        </w:rPr>
        <w:t>®</w:t>
      </w:r>
      <w:r>
        <w:rPr>
          <w:rFonts w:ascii="Arial" w:cs="Arial" w:eastAsia="Arial" w:hAnsi="Arial"/>
          <w:sz w:val="17"/>
          <w:szCs w:val="17"/>
          <w:color w:val="auto"/>
        </w:rPr>
        <w:t xml:space="preserve">, an approved anti-PD-1, or an investigational PD-L1 inhibitor as their next therapy derived durable clinical benefit. Three of the patients had durable responses and two had durable stable disease. This enhanced response rate was better than an expected 15% response to </w:t>
      </w:r>
      <w:r>
        <w:rPr>
          <w:rFonts w:ascii="Arial" w:cs="Arial" w:eastAsia="Arial" w:hAnsi="Arial"/>
          <w:sz w:val="17"/>
          <w:szCs w:val="17"/>
          <w:i w:val="1"/>
          <w:iCs w:val="1"/>
          <w:color w:val="auto"/>
        </w:rPr>
        <w:t xml:space="preserve">Opdivo </w:t>
      </w:r>
      <w:r>
        <w:rPr>
          <w:rFonts w:ascii="Arial" w:cs="Arial" w:eastAsia="Arial" w:hAnsi="Arial"/>
          <w:sz w:val="17"/>
          <w:szCs w:val="17"/>
          <w:color w:val="auto"/>
        </w:rPr>
        <w:t>alone observed in a similar advanced NSCLC population and led investigators to hypothesize that the prior effect of the combination of entinostat and</w:t>
      </w:r>
      <w:r>
        <w:rPr>
          <w:rFonts w:ascii="Arial" w:cs="Arial" w:eastAsia="Arial" w:hAnsi="Arial"/>
          <w:sz w:val="17"/>
          <w:szCs w:val="17"/>
          <w:i w:val="1"/>
          <w:iCs w:val="1"/>
          <w:color w:val="auto"/>
        </w:rPr>
        <w:t xml:space="preserve"> Vidaza </w:t>
      </w:r>
      <w:r>
        <w:rPr>
          <w:rFonts w:ascii="Arial" w:cs="Arial" w:eastAsia="Arial" w:hAnsi="Arial"/>
          <w:sz w:val="17"/>
          <w:szCs w:val="17"/>
          <w:color w:val="auto"/>
        </w:rPr>
        <w:t>therapy was “priming” the tumors to the subsequent immune therapy. To confirm these findings and further explore the ability of the combination of</w:t>
      </w:r>
      <w:r>
        <w:rPr>
          <w:rFonts w:ascii="Arial" w:cs="Arial" w:eastAsia="Arial" w:hAnsi="Arial"/>
          <w:sz w:val="17"/>
          <w:szCs w:val="17"/>
          <w:i w:val="1"/>
          <w:iCs w:val="1"/>
          <w:color w:val="auto"/>
        </w:rPr>
        <w:t xml:space="preserve"> Vidaza </w:t>
      </w:r>
      <w:r>
        <w:rPr>
          <w:rFonts w:ascii="Arial" w:cs="Arial" w:eastAsia="Arial" w:hAnsi="Arial"/>
          <w:sz w:val="17"/>
          <w:szCs w:val="17"/>
          <w:color w:val="auto"/>
        </w:rPr>
        <w:t>and entinostat to enhance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response of NSCLC patients to </w:t>
      </w:r>
      <w:r>
        <w:rPr>
          <w:rFonts w:ascii="Arial" w:cs="Arial" w:eastAsia="Arial" w:hAnsi="Arial"/>
          <w:sz w:val="18"/>
          <w:szCs w:val="18"/>
          <w:i w:val="1"/>
          <w:iCs w:val="1"/>
          <w:color w:val="auto"/>
        </w:rPr>
        <w:t>Opdivo</w:t>
      </w:r>
      <w:r>
        <w:rPr>
          <w:rFonts w:ascii="Arial" w:cs="Arial" w:eastAsia="Arial" w:hAnsi="Arial"/>
          <w:sz w:val="18"/>
          <w:szCs w:val="18"/>
          <w:color w:val="auto"/>
        </w:rPr>
        <w:t>, the investigators at JHU have initiated a follow-on randomized Phase 2 clinical trial, J1353.</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94615</wp:posOffset>
            </wp:positionV>
            <wp:extent cx="3515995" cy="2950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599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Adapted from Wrangle et al 2013 Oncotarget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NSCLC and Melanoma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Overview and Current Treatment—NSCLC</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Lung cancer is the leading cause of cancer death among men and women, with more people dying of lung cancer each year than of colon, breast, and prostate cancers combined. According to the American Cancer Society, approximately 80% to 85% of lung cancers are NSCLC; and in 2017, an estimated 222,500 new cases of lung cancer will be diagnosed and an estimated 155,870 people will die from lung cancer in the United States. The five-year survival rate for patients with NSCLC generally is 18% and for patients with Stage III/IV NSCLC is approximately 6%, indicating a significant need for new therapies that can prolong overall survival.</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Advanced metastatic NSCLC is a severe disease with a poor prognosis in the majority of patients with limited treatment options to date. Treatment typically includes a first-line combination chemotherapy followed by a choice of a second-line therapeutic approach. Most patients receiving first-line chemotherapy will relapse within one year of treatment with a median PFS of approximately five to six months and median overall survival of approximately 10 to 12 months. In the second-line setting, the median PFS is approximately three to four months and median overall survival is approximately six to seven months.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treatment paradigm of NSCLC has been changing significantly since early 2015 when the FDA approved </w:t>
      </w:r>
      <w:r>
        <w:rPr>
          <w:rFonts w:ascii="Arial" w:cs="Arial" w:eastAsia="Arial" w:hAnsi="Arial"/>
          <w:sz w:val="18"/>
          <w:szCs w:val="18"/>
          <w:i w:val="1"/>
          <w:iCs w:val="1"/>
          <w:color w:val="auto"/>
        </w:rPr>
        <w:t>Opdivo,</w:t>
      </w:r>
      <w:r>
        <w:rPr>
          <w:rFonts w:ascii="Arial" w:cs="Arial" w:eastAsia="Arial" w:hAnsi="Arial"/>
          <w:sz w:val="18"/>
          <w:szCs w:val="18"/>
          <w:color w:val="auto"/>
        </w:rPr>
        <w:t xml:space="preserve"> an anti-PD-1 monoclonal antibody as the first immune-targeted drug to treat people with squamous NSCLC in patients who have relapsed after platinum-based chemotherapy. Since the approval of </w:t>
      </w:r>
      <w:r>
        <w:rPr>
          <w:rFonts w:ascii="Arial" w:cs="Arial" w:eastAsia="Arial" w:hAnsi="Arial"/>
          <w:sz w:val="18"/>
          <w:szCs w:val="18"/>
          <w:i w:val="1"/>
          <w:iCs w:val="1"/>
          <w:color w:val="auto"/>
        </w:rPr>
        <w:t>Opdivo</w:t>
      </w:r>
      <w:r>
        <w:rPr>
          <w:rFonts w:ascii="Arial" w:cs="Arial" w:eastAsia="Arial" w:hAnsi="Arial"/>
          <w:sz w:val="18"/>
          <w:szCs w:val="18"/>
          <w:color w:val="auto"/>
        </w:rPr>
        <w:t xml:space="preserve"> (nivolumab), two additional check point inhibitors. Tecentriq a PD-L1 antibody from Roche/Genentech, and Keytruda, a PD-1 antibody from Merck, have also been approved as a treatment for both squamous and nonsquamos NSCLC patients after use of platinum-based chemotherapy. The efficacy data observed with these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agents represents a significant increase from what has traditionally been expected of drugs approved to treat advanced NSCLC, and we believe that immune checkpoint inhibitors have become the standard of care for this patient population. Keytruda has also demonstrated an improvement over standard platinum-based chemotherapy in patients with advanced NSCLC, with ³50% PD-L1 expression in their tumors that had not received prior systemic treatment for advanced NSCLC.</w:t>
      </w:r>
    </w:p>
    <w:p>
      <w:pPr>
        <w:spacing w:after="0" w:line="18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There are other PD-L1 inhibitors being developed to treat NSCLC, including AstraZeneca plc’s durvalumab (MEDI4736), and Merck KGaA /Pfizer’s avelumab. The clinical development programs for all of these therapies have been designed to understand the broad impact they could have across NSCLC, including chemotherapy-naive and previously treated patients. We anticipate the immune checkpoint inhibitors will be available for use across the spectrum of advanced NSCLC patients.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However, even as the development of these immune checkpoint inhibitors represent a significant advance for NSCLC patients, most patients may still see their disease progress and the proportion of treated patients with low PD-L1 expression who respond to approved regimens is quite low (15 to 20%). We believe with these disease-progressing patients and low response rates, there is significant room to improve upon the benefit of PD-L1 inhibitors through combinations with drugs, like entinostat, that target immune modulation through complementary mechanisms.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Overview and Current Treatment—Melanoma</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incidence of malignant melanoma in most developed countries has risen faster than any other cancer type since the mid-1950s. In 2011, the average survival duration for patients with Stage IV melanoma, in which the melanoma has metastasized, was only six to ten months; and the five-year survival rate for such patients was 16%. Although this rate had not changed in some time, a recent major advance for melanoma came with the development and approval of drugs such as </w:t>
      </w:r>
      <w:r>
        <w:rPr>
          <w:rFonts w:ascii="Arial" w:cs="Arial" w:eastAsia="Arial" w:hAnsi="Arial"/>
          <w:sz w:val="18"/>
          <w:szCs w:val="18"/>
          <w:i w:val="1"/>
          <w:iCs w:val="1"/>
          <w:color w:val="auto"/>
        </w:rPr>
        <w:t>Zelboraf</w:t>
      </w:r>
      <w:r>
        <w:rPr>
          <w:rFonts w:ascii="Arial" w:cs="Arial" w:eastAsia="Arial" w:hAnsi="Arial"/>
          <w:sz w:val="15"/>
          <w:szCs w:val="15"/>
          <w:i w:val="1"/>
          <w:iCs w:val="1"/>
          <w:color w:val="auto"/>
        </w:rPr>
        <w:t>®</w:t>
      </w:r>
      <w:r>
        <w:rPr>
          <w:rFonts w:ascii="Arial" w:cs="Arial" w:eastAsia="Arial" w:hAnsi="Arial"/>
          <w:sz w:val="18"/>
          <w:szCs w:val="18"/>
          <w:color w:val="auto"/>
        </w:rPr>
        <w:t xml:space="preserve"> (vemurafenib), </w:t>
      </w:r>
      <w:r>
        <w:rPr>
          <w:rFonts w:ascii="Arial" w:cs="Arial" w:eastAsia="Arial" w:hAnsi="Arial"/>
          <w:sz w:val="18"/>
          <w:szCs w:val="18"/>
          <w:i w:val="1"/>
          <w:iCs w:val="1"/>
          <w:color w:val="auto"/>
        </w:rPr>
        <w:t>Tafinlar</w:t>
      </w:r>
      <w:r>
        <w:rPr>
          <w:rFonts w:ascii="Arial" w:cs="Arial" w:eastAsia="Arial" w:hAnsi="Arial"/>
          <w:sz w:val="15"/>
          <w:szCs w:val="15"/>
          <w:i w:val="1"/>
          <w:iCs w:val="1"/>
          <w:color w:val="auto"/>
        </w:rPr>
        <w:t>®</w:t>
      </w:r>
      <w:r>
        <w:rPr>
          <w:rFonts w:ascii="Arial" w:cs="Arial" w:eastAsia="Arial" w:hAnsi="Arial"/>
          <w:sz w:val="18"/>
          <w:szCs w:val="18"/>
          <w:color w:val="auto"/>
        </w:rPr>
        <w:t xml:space="preserve"> (dabrafenib) and </w:t>
      </w:r>
      <w:r>
        <w:rPr>
          <w:rFonts w:ascii="Arial" w:cs="Arial" w:eastAsia="Arial" w:hAnsi="Arial"/>
          <w:sz w:val="18"/>
          <w:szCs w:val="18"/>
          <w:i w:val="1"/>
          <w:iCs w:val="1"/>
          <w:color w:val="auto"/>
        </w:rPr>
        <w:t>Mekinist</w:t>
      </w:r>
      <w:r>
        <w:rPr>
          <w:rFonts w:ascii="Arial" w:cs="Arial" w:eastAsia="Arial" w:hAnsi="Arial"/>
          <w:sz w:val="15"/>
          <w:szCs w:val="15"/>
          <w:i w:val="1"/>
          <w:iCs w:val="1"/>
          <w:color w:val="auto"/>
        </w:rPr>
        <w:t>®</w:t>
      </w:r>
      <w:r>
        <w:rPr>
          <w:rFonts w:ascii="Arial" w:cs="Arial" w:eastAsia="Arial" w:hAnsi="Arial"/>
          <w:sz w:val="18"/>
          <w:szCs w:val="18"/>
          <w:color w:val="auto"/>
        </w:rPr>
        <w:t xml:space="preserve"> (trametinib), for patients with a mutated BRAF gene, which is a human gene that encodes a protein called B Raf.</w:t>
      </w:r>
    </w:p>
    <w:p>
      <w:pPr>
        <w:spacing w:after="0" w:line="188"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 xml:space="preserve">Melanoma is a particularly immuno-responsive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5"/>
          <w:szCs w:val="15"/>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8"/>
          <w:szCs w:val="18"/>
          <w:color w:val="auto"/>
        </w:rPr>
        <w:t>, have been approved for the treatment of malignant melanoma patients with unresectable or metastatic disease. However,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complementary mechanisms.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Development of Entinostat in NSCLC and Melanoma</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We have a clinical collaboration underway with Merck to study the safety and efficacy of entinostat in combination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NSCLC and malignant melanoma. The ENCORE 601 clinical trial is a Phase 1b/2 clinical trial. The Phase 1b portion evaluated the safety, tolerability and biomarker correlates of the combination of entinostat and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NSCLC. The Phase 2 portion is assessing both the safety and efficacy of entinostat combined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NSCLC and melanoma. The trial is an open label, dose escalation study with cohort expansions at the recommended Phase 2 dose, or RP2D, in NSCLC and melanoma patients. We are conducting the trial in the United States and will enroll 158 patients with 22 of those having been enrolled in the Phase 1b portion and approximately 136 of those to be enrolled in the Phase 2 portion. We announced safety data and RP2D data from the Phase 1b portion in the first half of 2016 and in the second half of 2016, respectively. Patient enrollment in the Phase 2 portion was initiated in October 2016, and we expect final efficacy data in 2018.</w:t>
      </w:r>
    </w:p>
    <w:p>
      <w:pPr>
        <w:spacing w:after="0" w:line="17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The primary objective of the Phase 1b portion of the trial was to determine the dose-limiting toxicities, or DLT, maximum tolerated dose, or MTD, or the RP2D of entinostat given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initial three patients in Cohort 1 received weekly oral entinostat at a starting dose of 3 mg along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200 mg via intravenous infusion. Enrollment in Cohort 1 was increased to six patients after one of the initial three patients developed a serious immune-mediated adverse event. The patient in question developed Grade 3 elevations in alkaline phosphatase and serum bilirubin, which were considered to be manifestations of immune-mediated hepatitis. Immune-mediated hepatitis is included in the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U.S. Prescribing Information as a potential adverse drug reaction. The adverse event was successfully managed by withholding study drugs and administering systemic corticosteroids, leading to a rapid normalization of the abnormal laboratory values and resolution of symptoms. Based on a thorough safety review of all six patients, which demonstrated no similar events or any other dose-limiting toxicities, the 3 mg dosing was deemed tolerable; and in December 2015, dosing was escalated to entinostat weekly oral doses of 5 mg, which enrolled seven patients. The prospective RP2D was confirmed in nine additional patients. The Phase 1b portion of the clinical trial also characterized the effect of the combination therapy on numerous biomarkers, including expression of PD-1 and PD-L1, the number and function of different types of T cells and the number of MDSCs. We are assessing these biomarkers both in peripheral blood and in serial tumor biopsies.</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the Phase 2 portion of the clinical trial, we are evaluating entinostat in combination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using the RP2D identified in the Phase 1b portion with the primary objective of evaluating the efficacy of the combination in three expansion cohorts. In each cohort we are using a two-stage design in which a defined minimum number of responders must be seen in the first stage in order for the cohort to advance to full enrollment in the second stage. We have recently completed enrollment of the three cohorts in the first stage of the Phase 2 portion in patients with NSCLC and melanoma and therefore have closed enrollment for these cohorts. The first stage of the Phase 2 portion of the trial was designed to evaluate the results from these first cohorts and make an informed decision around expanding and progressing any, all or none of the cohorts into the next stage of the trial only after attaining a certain pre-specified and meaningful level of objective response in each cohort. In February 2017, the melanoma cohort of the 601 trial met the pre-specified objective response threshold; and we progressed to the second stage of the trial. This cohort will now enroll an additional 21 patients</w:t>
      </w:r>
      <w:r>
        <w:rPr>
          <w:rFonts w:ascii="Arial" w:cs="Arial" w:eastAsia="Arial" w:hAnsi="Arial"/>
          <w:sz w:val="17"/>
          <w:szCs w:val="17"/>
          <w:b w:val="1"/>
          <w:bCs w:val="1"/>
          <w:color w:val="auto"/>
        </w:rPr>
        <w:t>.</w:t>
      </w:r>
      <w:r>
        <w:rPr>
          <w:rFonts w:ascii="Arial" w:cs="Arial" w:eastAsia="Arial" w:hAnsi="Arial"/>
          <w:sz w:val="17"/>
          <w:szCs w:val="17"/>
          <w:color w:val="auto"/>
        </w:rPr>
        <w:t xml:space="preserve"> Data from the other two cohorts, which will determine whether or not they continue onto Stage 2, is still maturing and is expected in the first half of 2017. If the pre-specified level of objective response is achieved and we reopen enrollment, Cohort 1 will enroll up to 46 NSCLC patients with any histology who have not previously been treated with a PD-1/PD-L1 inhibitor. We anticipate all 46 patients would be enrolled by the end of the second half of 2017. If the prescribed level of objective response is achieved and we reopen enrollment, Cohort 2 will enroll up to 56 patients with NSCLC of any histology who have previously been treated and progressed on a PD-1 or PD-L1 blocking antibody. We anticipate that all 56 patients would be enrolled by the end of the second half of 2017. Cohort 3 is enrolling up to 34 patients with melanoma who have previously been treated and progressed on a PD-1 or PD-L1 blocking antibody. We anticipate all 34 patients will be enrolled by the end of the second half of 2017.</w:t>
      </w:r>
    </w:p>
    <w:p>
      <w:pPr>
        <w:spacing w:after="0" w:line="18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Secondary objectives of the trial include assessments of safety, efficacy as measured by clinical benefit rate at six months, PFS at six months, overall PFS, overall survival, duration of response and time to response. Additional exploratory objectives include evaluation of changes in biomarkers in blood and tissue samples collected from patients that may reflect entinostat activity on immune cells.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169545</wp:posOffset>
            </wp:positionV>
            <wp:extent cx="3481705" cy="2710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170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Entinostat with Immune Checkpoint Inhibitors in TNBC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Overview and Current Treatment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Breast cancer is the leading cause of cancer death in women worldwide and the second leading cause of cancer death in women in the United States after lung cancer. According to the American Cancer Society, in 2017 approximately 253,000 new cases of invasive breast cancer will be diagnosed in the United States and an estimated 41,000 people will die from breast cancer in the United States. Although the five-year survival rate for women diagnosed with non-metastatic breast cancer is over 85%, the five-year survival rate for women diagnosed with metastatic breast cancer is only 24%, indicating the need for new therapies that can prolong overall survival.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Breast cancers can be divided into three subsets based on the presence or absence in the tumor of the following protein receptors:</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HR+, which means expressing the estrogen receptor, or ER, or progesterone receptor, or PR, alone or in combination with each other;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HER2+, which means expressing the human epidermal growth factor receptor 2, or HER2 receptor;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Triple negative, which means not expressing ER, PR or HER2.</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TNBC represents 15-20% of newly diagnosed breast cancer cases, and is associated with a younger age at diagnosis, advanced stage at diagnosis, increased risk of visceral metastasis and poorer outcome. The five-year survival rate for women diagnosed with Stage IV TNBC is only 22% with limited treatment options. Preliminary data has indicated that treatment with PD-L1 inhibitors results in approximately a 20% response rate in women with TNBC, and Tecentriq and Keytruda are currently being studied in Phase 3 clinical trials.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Development Plan of Entinostat in TNBC</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established a clinical collaboration with Genentech to study the safety and efficacy of entinostat in combination with atezolizumab, an anti-PD-L1 antibody, in patients with TNBC. The ENCORE 602 clinical trial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is a Phase 1b/2 clinical trial, and the Phase 1b portion is initially evaluating the safety of weekly oral entinostat at a dose of 5 mg administered in combination with 1,200 mg of atezolizumab given intravenously every three weeks. Enrollment in the Phase 1b trial was completed in November 2016. The RP2D of entinostat was established as 5 mg weekly. The Phase 2 portion of the trial was opened in December 2016. The Phase 2 portion of the clinical trial is a randomized, double-blind, placebo-controlled trial. The primary endpoint of the Phase 2 clinical trial is PFS, with response rate, duration of response, time to response and overall survival as secondary end points. Additional exploratory objectives include evaluation of changes in biomarkers in blood and tissue samples collected from patients that may reflect entinostat activity on immune cells. We anticipate efficacy and safety data from the Phase 2 portion in 2018.</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Ovarian Cancer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Overview and Current Treatment—Ovarian Cancer</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American Cancer Society indicates that approximately 22,000 women will be diagnosed and just over 14,000 will die from ovarian cancer in the United States in 2017. The past few decades have seen some improvement in median five-year survival for women diagnosed with ovarian cancer, but the trend has been modest, increasing from 36% in 1977 to 45% in 2017.</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Currently, more than 60% of women are diagnosed with advanced disease and therapeutic options for these patients are still dominated by traditional chemotherapeutics, such as platinums, taxanes and anthracyclines. Since 2014, three targeted agents have been approved for later line treatment of refractory patients: </w:t>
      </w:r>
      <w:r>
        <w:rPr>
          <w:rFonts w:ascii="Arial" w:cs="Arial" w:eastAsia="Arial" w:hAnsi="Arial"/>
          <w:sz w:val="18"/>
          <w:szCs w:val="18"/>
          <w:i w:val="1"/>
          <w:iCs w:val="1"/>
          <w:color w:val="auto"/>
        </w:rPr>
        <w:t>Avastin</w:t>
      </w:r>
      <w:r>
        <w:rPr>
          <w:rFonts w:ascii="Arial" w:cs="Arial" w:eastAsia="Arial" w:hAnsi="Arial"/>
          <w:sz w:val="15"/>
          <w:szCs w:val="15"/>
          <w:color w:val="auto"/>
        </w:rPr>
        <w:t>®</w:t>
      </w:r>
      <w:r>
        <w:rPr>
          <w:rFonts w:ascii="Arial" w:cs="Arial" w:eastAsia="Arial" w:hAnsi="Arial"/>
          <w:sz w:val="18"/>
          <w:szCs w:val="18"/>
          <w:color w:val="auto"/>
        </w:rPr>
        <w:t xml:space="preserve"> (bevacizumab), a vascular endothelial growth factor specific angiogenesis inhibitor, and two poly ADP-ribose polymerase, or PARP, inhibitors, </w:t>
      </w:r>
      <w:r>
        <w:rPr>
          <w:rFonts w:ascii="Arial" w:cs="Arial" w:eastAsia="Arial" w:hAnsi="Arial"/>
          <w:sz w:val="18"/>
          <w:szCs w:val="18"/>
          <w:i w:val="1"/>
          <w:iCs w:val="1"/>
          <w:color w:val="auto"/>
        </w:rPr>
        <w:t>Lynparza</w:t>
      </w:r>
      <w:r>
        <w:rPr>
          <w:rFonts w:ascii="Arial" w:cs="Arial" w:eastAsia="Arial" w:hAnsi="Arial"/>
          <w:sz w:val="15"/>
          <w:szCs w:val="15"/>
          <w:color w:val="auto"/>
        </w:rPr>
        <w:t>®</w:t>
      </w:r>
      <w:r>
        <w:rPr>
          <w:rFonts w:ascii="Arial" w:cs="Arial" w:eastAsia="Arial" w:hAnsi="Arial"/>
          <w:sz w:val="18"/>
          <w:szCs w:val="18"/>
          <w:color w:val="auto"/>
        </w:rPr>
        <w:t xml:space="preserve"> (olaparib), and </w:t>
      </w:r>
      <w:r>
        <w:rPr>
          <w:rFonts w:ascii="Arial" w:cs="Arial" w:eastAsia="Arial" w:hAnsi="Arial"/>
          <w:sz w:val="18"/>
          <w:szCs w:val="18"/>
          <w:i w:val="1"/>
          <w:iCs w:val="1"/>
          <w:color w:val="auto"/>
        </w:rPr>
        <w:t>Rubraca</w:t>
      </w:r>
      <w:r>
        <w:rPr>
          <w:rFonts w:ascii="Arial" w:cs="Arial" w:eastAsia="Arial" w:hAnsi="Arial"/>
          <w:sz w:val="15"/>
          <w:szCs w:val="15"/>
          <w:color w:val="auto"/>
        </w:rPr>
        <w:t>TM</w:t>
      </w:r>
      <w:r>
        <w:rPr>
          <w:rFonts w:ascii="Arial" w:cs="Arial" w:eastAsia="Arial" w:hAnsi="Arial"/>
          <w:sz w:val="18"/>
          <w:szCs w:val="18"/>
          <w:color w:val="auto"/>
        </w:rPr>
        <w:t xml:space="preserve"> (rucaparib), which recently received accelerated approval for patients with deleterious breast cancer susceptibility gene, or BRAC, mutations. However, the median duration of response to any of these drugs was still less than 10 months, highlighting the need to further improve upon patient care. The safety and the efficacy of immune-targeted therapy in ovarian cancer has not yet been demonstrated, but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avelumab are in Phase 3 development.</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Development Plan of Entinostat in Ovarian Cancer</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clinical trial collaboration with Merck KGaA and Pfizer to study the safety and efficacy of entinostat in combination with avelumab, an investigational anti-PD-L1 antibody, in patients with ovarian cancer. The ENCORE 603 clinical trial is designed as a Phase 1b/2 clinical trial, where the Phase 1b portion will initially evaluate the safety of weekly, oral entinostat with avelumab. If this combination is well tolerated, the Phase 2 portion of the clinical trial will be designed as a randomized, double-blind, placebo-controlled trial. The primary endpoint of the Phase 2 clinical trial will be PFS, with response rate, duration of response, time to response and overall survival as secondary end points. Additional exploratory objectives include evaluation of changes in biomarkers in blood and tissue samples collected from patients that may reflect the effect of entinostat on immune cells. Enrollment of patients into the Phase 1b portion of the ENCORE 603 clinical trial began in January 2017; and safety data, including the determination of the RP2D, is expected from the Phase 1b portion in the first half of 2017.</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Investigator-Sponsored Clinical Trials of Entinostat in Immuno-Oncology</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We believe that there are additional opportunities for expanding the indications in which entinostat may target immunologic mechanisms of resistance to cancer therapies. In addition to our collaborations with Merck, Genentech, Merck KGaA and Pfizer, we have partnered with independent investigators to support clinical trials that are designed to validate both clinical and preclinical observations that entinostat can enhance the clinical activity of immune therapy in patients. We do not control the timing of these clinical trials and cannot provide any assurance with respect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J1353: Epigenetic Priming to Immunotherapy Trial</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JHU investigator-sponsored Phase 2 clinical trial, funded by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Stand Up To Cancer</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currently enrolling up to 90 patients with metastatic NSCLC and is designed to test the ability of epigenetic therapy—a combination of entinostat and </w:t>
      </w:r>
      <w:r>
        <w:rPr>
          <w:rFonts w:ascii="Arial" w:cs="Arial" w:eastAsia="Arial" w:hAnsi="Arial"/>
          <w:sz w:val="18"/>
          <w:szCs w:val="18"/>
          <w:i w:val="1"/>
          <w:iCs w:val="1"/>
          <w:color w:val="auto"/>
        </w:rPr>
        <w:t>Vidaza</w:t>
      </w:r>
      <w:r>
        <w:rPr>
          <w:rFonts w:ascii="Arial" w:cs="Arial" w:eastAsia="Arial" w:hAnsi="Arial"/>
          <w:sz w:val="18"/>
          <w:szCs w:val="18"/>
          <w:color w:val="auto"/>
        </w:rPr>
        <w:t xml:space="preserve"> —to enhance the response of NSCLC patients to </w:t>
      </w:r>
      <w:r>
        <w:rPr>
          <w:rFonts w:ascii="Arial" w:cs="Arial" w:eastAsia="Arial" w:hAnsi="Arial"/>
          <w:sz w:val="18"/>
          <w:szCs w:val="18"/>
          <w:i w:val="1"/>
          <w:iCs w:val="1"/>
          <w:color w:val="auto"/>
        </w:rPr>
        <w:t>Opdivo</w:t>
      </w:r>
      <w:r>
        <w:rPr>
          <w:rFonts w:ascii="Arial" w:cs="Arial" w:eastAsia="Arial" w:hAnsi="Arial"/>
          <w:sz w:val="18"/>
          <w:szCs w:val="18"/>
          <w:color w:val="auto"/>
        </w:rPr>
        <w:t>.</w:t>
      </w:r>
    </w:p>
    <w:p>
      <w:pPr>
        <w:spacing w:after="0" w:line="17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NCI-7870: Entinostat + High Dose Interleukin in Metastatic Renal Cell Carcinoma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investigator-sponsored Phase 1/2 clinical trial funded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NCI was designed to determine the safety and efficacy of entinostat combined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an approved immune therapy for patients with metastatic renal cell carcinoma.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as a single agent in metastatic renal cell carcinoma has demonstrated a 15% to 25% objective response rate and approximately four months median PFS. The clinical trial was designed to test whether entinostat combined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could increase the primary endpoint of response rate from 20% to 40%; the secondary endpoint was PFS. Entinostat was dosed orally starting at 3 mg once every other week, and once that dose was shown to be well-tolerated, additional patients were enrolled at a dose of 5 mg of entinostat once every other week.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was provided at the standard dose of 600,000 units/kg every eight hours for five days followed by a second course. Preliminary results from the completed Phase 1 portion indicated that entinostat may be given safely in combination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and indicated that entinostat potentially enhances the response to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with evidence of causing beneficial changes in certain immune cell functions such as reduction of immune-suppressive Tregs. Phase 1 portion indicated that entinostat can be given safely in combination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and indicated that entinostat potentially enhances the response to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with evidence of causing beneficial changes in certain immune cell functions such as reduction of immune-suppressive Tregs. The Phase 2 portion of the trial has completed enrollment with 47 patients evaluable for safety and 43 evaluable for efficacy. Data were presented at the annual meeting of the American Society of Clinical Oncology in June 2016 demonstrating a response rate of 37% (95% CI 22, 53%) in 41 patients with measurable disease and a median PFS of 13.8 months (95% CI 6.0, 18.8 months). The investigators concluded that the results suggest that entinostat may increase the anti-tumor activity of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by modulating immunosuppressive cells.</w:t>
      </w:r>
    </w:p>
    <w:p>
      <w:pPr>
        <w:spacing w:after="0" w:line="172" w:lineRule="exact"/>
        <w:rPr>
          <w:sz w:val="20"/>
          <w:szCs w:val="20"/>
          <w:color w:val="auto"/>
        </w:rPr>
      </w:pPr>
    </w:p>
    <w:p>
      <w:pPr>
        <w:ind w:right="180" w:firstLine="456"/>
        <w:spacing w:after="0" w:line="281" w:lineRule="auto"/>
        <w:rPr>
          <w:sz w:val="20"/>
          <w:szCs w:val="20"/>
          <w:color w:val="auto"/>
        </w:rPr>
      </w:pPr>
      <w:r>
        <w:rPr>
          <w:rFonts w:ascii="Arial" w:cs="Arial" w:eastAsia="Arial" w:hAnsi="Arial"/>
          <w:sz w:val="17"/>
          <w:szCs w:val="17"/>
          <w:b w:val="1"/>
          <w:bCs w:val="1"/>
          <w:color w:val="auto"/>
        </w:rPr>
        <w:t xml:space="preserve">NCI-9844: Efficacy of Entinostat in Combination with </w:t>
      </w:r>
      <w:r>
        <w:rPr>
          <w:rFonts w:ascii="Arial" w:cs="Arial" w:eastAsia="Arial" w:hAnsi="Arial"/>
          <w:sz w:val="17"/>
          <w:szCs w:val="17"/>
          <w:b w:val="1"/>
          <w:bCs w:val="1"/>
          <w:i w:val="1"/>
          <w:iCs w:val="1"/>
          <w:color w:val="auto"/>
        </w:rPr>
        <w:t>Opdivo</w:t>
      </w:r>
      <w:r>
        <w:rPr>
          <w:rFonts w:ascii="Arial" w:cs="Arial" w:eastAsia="Arial" w:hAnsi="Arial"/>
          <w:sz w:val="17"/>
          <w:szCs w:val="17"/>
          <w:b w:val="1"/>
          <w:bCs w:val="1"/>
          <w:color w:val="auto"/>
        </w:rPr>
        <w:t xml:space="preserve"> and </w:t>
      </w:r>
      <w:r>
        <w:rPr>
          <w:rFonts w:ascii="Arial" w:cs="Arial" w:eastAsia="Arial" w:hAnsi="Arial"/>
          <w:sz w:val="17"/>
          <w:szCs w:val="17"/>
          <w:b w:val="1"/>
          <w:bCs w:val="1"/>
          <w:i w:val="1"/>
          <w:iCs w:val="1"/>
          <w:color w:val="auto"/>
        </w:rPr>
        <w:t>Yervoy</w:t>
      </w:r>
      <w:r>
        <w:rPr>
          <w:rFonts w:ascii="Arial" w:cs="Arial" w:eastAsia="Arial" w:hAnsi="Arial"/>
          <w:sz w:val="17"/>
          <w:szCs w:val="17"/>
          <w:b w:val="1"/>
          <w:bCs w:val="1"/>
          <w:color w:val="auto"/>
        </w:rPr>
        <w:t xml:space="preserve"> in Patients with Metastatic or Unresectable Solid Tumors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investigator-sponsored Phase 1 clinical trial, which is being sponsored by the NCI, is designed to enroll up to 39 patients to study the safety profile and best dose of entinostat and </w:t>
      </w:r>
      <w:r>
        <w:rPr>
          <w:rFonts w:ascii="Arial" w:cs="Arial" w:eastAsia="Arial" w:hAnsi="Arial"/>
          <w:sz w:val="17"/>
          <w:szCs w:val="17"/>
          <w:i w:val="1"/>
          <w:iCs w:val="1"/>
          <w:color w:val="auto"/>
        </w:rPr>
        <w:t>Opdivo</w:t>
      </w:r>
      <w:r>
        <w:rPr>
          <w:rFonts w:ascii="Arial" w:cs="Arial" w:eastAsia="Arial" w:hAnsi="Arial"/>
          <w:sz w:val="17"/>
          <w:szCs w:val="17"/>
          <w:color w:val="auto"/>
        </w:rPr>
        <w:t xml:space="preserve"> when given together with </w:t>
      </w:r>
      <w:r>
        <w:rPr>
          <w:rFonts w:ascii="Arial" w:cs="Arial" w:eastAsia="Arial" w:hAnsi="Arial"/>
          <w:sz w:val="17"/>
          <w:szCs w:val="17"/>
          <w:i w:val="1"/>
          <w:iCs w:val="1"/>
          <w:color w:val="auto"/>
        </w:rPr>
        <w:t>Yervoy</w:t>
      </w:r>
      <w:r>
        <w:rPr>
          <w:rFonts w:ascii="Arial" w:cs="Arial" w:eastAsia="Arial" w:hAnsi="Arial"/>
          <w:sz w:val="17"/>
          <w:szCs w:val="17"/>
          <w:color w:val="auto"/>
        </w:rPr>
        <w:t xml:space="preserve"> in treating patients with metastatic or unresectable solid tumors or metastatic HER2- breast cancer. The trial began enrolling patients in the first quarter of 2016 with data expected in the second half of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Overview and Current Treatment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past, certain patients in the United States with advanced HR+ breast cancer were treated with hormone therapies with the goal to prolong overall survival and to delay treatment with more toxic chemotherapies. Hormone therapies are designed to inhibit estrogen stimulation of advanced HR+ breast cancers. Due to limited efficacy of hormone therapies in the advanced HR+ breast cancer setting, multiple lines of treatment are typically used, with each additional line of hormone therapy resulting in a shorter PFS and lower overall survival. Resistance to hormone therapies develops as a result of activation of growth-factor signaling pathways. The median overall survival for advanced HR+ breast cancer in the first- and second-line setting is approximately three to four years and two years, respectively.</w:t>
      </w:r>
    </w:p>
    <w:p>
      <w:pPr>
        <w:spacing w:after="0" w:line="193"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In 2016, approximately 34,000 patients with HR+ breast cancer were treated with a hormone therapy as second-line or later treatment in the United States. Researchers have demonstrated that the diminished clinical benefit of each hormone therapy is due to primary and acquired resistance to hormone therapy. The cause of resistance is multi-factorial and results in tumor progression independent of estrogen stimulation.</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Current treatment of advanced HR+ breast cancer usually includes multiple courses of hormone therapy followed ultimately by chemotherapy. There are three types of commonly used hormone therapies. These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Soltamox</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(tamoxifen), a selective ER modulator,</w:t>
      </w:r>
      <w:r>
        <w:rPr>
          <w:rFonts w:ascii="Arial" w:cs="Arial" w:eastAsia="Arial" w:hAnsi="Arial"/>
          <w:sz w:val="16"/>
          <w:szCs w:val="16"/>
          <w:i w:val="1"/>
          <w:iCs w:val="1"/>
          <w:color w:val="auto"/>
        </w:rPr>
        <w:t xml:space="preserve"> Faslodex</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(fulvestrant), a selective ER downregulator, and aromatase inhibitors, such as</w:t>
      </w:r>
      <w:r>
        <w:rPr>
          <w:rFonts w:ascii="Arial" w:cs="Arial" w:eastAsia="Arial" w:hAnsi="Arial"/>
          <w:sz w:val="16"/>
          <w:szCs w:val="16"/>
          <w:i w:val="1"/>
          <w:iCs w:val="1"/>
          <w:color w:val="auto"/>
        </w:rPr>
        <w:t xml:space="preserve"> Arimidex</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(anastrozole), </w:t>
      </w:r>
      <w:r>
        <w:rPr>
          <w:rFonts w:ascii="Arial" w:cs="Arial" w:eastAsia="Arial" w:hAnsi="Arial"/>
          <w:sz w:val="16"/>
          <w:szCs w:val="16"/>
          <w:i w:val="1"/>
          <w:iCs w:val="1"/>
          <w:color w:val="auto"/>
        </w:rPr>
        <w:t>Femara</w:t>
      </w:r>
      <w:r>
        <w:rPr>
          <w:rFonts w:ascii="Arial" w:cs="Arial" w:eastAsia="Arial" w:hAnsi="Arial"/>
          <w:sz w:val="13"/>
          <w:szCs w:val="13"/>
          <w:i w:val="1"/>
          <w:iCs w:val="1"/>
          <w:color w:val="auto"/>
        </w:rPr>
        <w:t>®</w:t>
      </w:r>
      <w:r>
        <w:rPr>
          <w:rFonts w:ascii="Arial" w:cs="Arial" w:eastAsia="Arial" w:hAnsi="Arial"/>
          <w:sz w:val="16"/>
          <w:szCs w:val="16"/>
          <w:color w:val="auto"/>
        </w:rPr>
        <w:t xml:space="preserve"> (letrozole) and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which interfere with estrogen production.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 steroidal aromatase inhibitor, is typically used as a second- or third-line treatment upon progression from first-line treatment with the non-steroidal aromatase inhibitors </w:t>
      </w:r>
      <w:r>
        <w:rPr>
          <w:rFonts w:ascii="Arial" w:cs="Arial" w:eastAsia="Arial" w:hAnsi="Arial"/>
          <w:sz w:val="16"/>
          <w:szCs w:val="16"/>
          <w:i w:val="1"/>
          <w:iCs w:val="1"/>
          <w:color w:val="auto"/>
        </w:rPr>
        <w:t>Arimidex</w:t>
      </w:r>
      <w:r>
        <w:rPr>
          <w:rFonts w:ascii="Arial" w:cs="Arial" w:eastAsia="Arial" w:hAnsi="Arial"/>
          <w:sz w:val="16"/>
          <w:szCs w:val="16"/>
          <w:color w:val="auto"/>
        </w:rPr>
        <w:t xml:space="preserve"> and </w:t>
      </w:r>
      <w:r>
        <w:rPr>
          <w:rFonts w:ascii="Arial" w:cs="Arial" w:eastAsia="Arial" w:hAnsi="Arial"/>
          <w:sz w:val="16"/>
          <w:szCs w:val="16"/>
          <w:i w:val="1"/>
          <w:iCs w:val="1"/>
          <w:color w:val="auto"/>
        </w:rPr>
        <w:t>Femara</w:t>
      </w:r>
      <w:r>
        <w:rPr>
          <w:rFonts w:ascii="Arial" w:cs="Arial" w:eastAsia="Arial" w:hAnsi="Arial"/>
          <w:sz w:val="16"/>
          <w:szCs w:val="16"/>
          <w:color w:val="auto"/>
        </w:rPr>
        <w:t>.</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In 2012, the FDA approved </w:t>
      </w:r>
      <w:r>
        <w:rPr>
          <w:rFonts w:ascii="Arial" w:cs="Arial" w:eastAsia="Arial" w:hAnsi="Arial"/>
          <w:sz w:val="17"/>
          <w:szCs w:val="17"/>
          <w:i w:val="1"/>
          <w:iCs w:val="1"/>
          <w:color w:val="auto"/>
        </w:rPr>
        <w:t>Afinitor</w:t>
      </w:r>
      <w:r>
        <w:rPr>
          <w:rFonts w:ascii="Arial" w:cs="Arial" w:eastAsia="Arial" w:hAnsi="Arial"/>
          <w:sz w:val="14"/>
          <w:szCs w:val="14"/>
          <w:color w:val="auto"/>
        </w:rPr>
        <w:t>®</w:t>
      </w:r>
      <w:r>
        <w:rPr>
          <w:rFonts w:ascii="Arial" w:cs="Arial" w:eastAsia="Arial" w:hAnsi="Arial"/>
          <w:sz w:val="17"/>
          <w:szCs w:val="17"/>
          <w:color w:val="auto"/>
        </w:rPr>
        <w:t xml:space="preserve"> (everolimus), an inhibitor of mammalian target of rapamycin for the treatment of postmenopausal women with advanced HR+ and HER2-, breast cancer in combination with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after failure of treatment with </w:t>
      </w:r>
      <w:r>
        <w:rPr>
          <w:rFonts w:ascii="Arial" w:cs="Arial" w:eastAsia="Arial" w:hAnsi="Arial"/>
          <w:sz w:val="17"/>
          <w:szCs w:val="17"/>
          <w:i w:val="1"/>
          <w:iCs w:val="1"/>
          <w:color w:val="auto"/>
        </w:rPr>
        <w:t>Femara</w:t>
      </w:r>
      <w:r>
        <w:rPr>
          <w:rFonts w:ascii="Arial" w:cs="Arial" w:eastAsia="Arial" w:hAnsi="Arial"/>
          <w:sz w:val="17"/>
          <w:szCs w:val="17"/>
          <w:color w:val="auto"/>
        </w:rPr>
        <w:t xml:space="preserve"> or </w:t>
      </w:r>
      <w:r>
        <w:rPr>
          <w:rFonts w:ascii="Arial" w:cs="Arial" w:eastAsia="Arial" w:hAnsi="Arial"/>
          <w:sz w:val="17"/>
          <w:szCs w:val="17"/>
          <w:i w:val="1"/>
          <w:iCs w:val="1"/>
          <w:color w:val="auto"/>
        </w:rPr>
        <w:t>Arimidex</w:t>
      </w:r>
      <w:r>
        <w:rPr>
          <w:rFonts w:ascii="Arial" w:cs="Arial" w:eastAsia="Arial" w:hAnsi="Arial"/>
          <w:sz w:val="17"/>
          <w:szCs w:val="17"/>
          <w:color w:val="auto"/>
        </w:rPr>
        <w:t xml:space="preserve">. The approval was based on results from a randomized Phase 3 clinical trial of postmenopausal women with advanced estrogen receptor-positive, HER2-, breast cancer with recurrence or progression following prior therapy with </w:t>
      </w:r>
      <w:r>
        <w:rPr>
          <w:rFonts w:ascii="Arial" w:cs="Arial" w:eastAsia="Arial" w:hAnsi="Arial"/>
          <w:sz w:val="17"/>
          <w:szCs w:val="17"/>
          <w:i w:val="1"/>
          <w:iCs w:val="1"/>
          <w:color w:val="auto"/>
        </w:rPr>
        <w:t>Femara</w:t>
      </w:r>
      <w:r>
        <w:rPr>
          <w:rFonts w:ascii="Arial" w:cs="Arial" w:eastAsia="Arial" w:hAnsi="Arial"/>
          <w:sz w:val="17"/>
          <w:szCs w:val="17"/>
          <w:color w:val="auto"/>
        </w:rPr>
        <w:t xml:space="preserve"> or anastrozole. The median PFS was 7.8 months for patients receiving </w:t>
      </w:r>
      <w:r>
        <w:rPr>
          <w:rFonts w:ascii="Arial" w:cs="Arial" w:eastAsia="Arial" w:hAnsi="Arial"/>
          <w:sz w:val="17"/>
          <w:szCs w:val="17"/>
          <w:i w:val="1"/>
          <w:iCs w:val="1"/>
          <w:color w:val="auto"/>
        </w:rPr>
        <w:t>Afinitor</w:t>
      </w:r>
      <w:r>
        <w:rPr>
          <w:rFonts w:ascii="Arial" w:cs="Arial" w:eastAsia="Arial" w:hAnsi="Arial"/>
          <w:sz w:val="17"/>
          <w:szCs w:val="17"/>
          <w:color w:val="auto"/>
        </w:rPr>
        <w:t xml:space="preserve"> and 3.2 months for patients receiving placebo. Based on these results, </w:t>
      </w:r>
      <w:r>
        <w:rPr>
          <w:rFonts w:ascii="Arial" w:cs="Arial" w:eastAsia="Arial" w:hAnsi="Arial"/>
          <w:sz w:val="17"/>
          <w:szCs w:val="17"/>
          <w:i w:val="1"/>
          <w:iCs w:val="1"/>
          <w:color w:val="auto"/>
        </w:rPr>
        <w:t>Afinitor</w:t>
      </w:r>
      <w:r>
        <w:rPr>
          <w:rFonts w:ascii="Arial" w:cs="Arial" w:eastAsia="Arial" w:hAnsi="Arial"/>
          <w:sz w:val="17"/>
          <w:szCs w:val="17"/>
          <w:color w:val="auto"/>
        </w:rPr>
        <w:t xml:space="preserve"> has become a treatment option for patients refractory to aromatase inhibitor therapy. However, the combination of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and </w:t>
      </w:r>
      <w:r>
        <w:rPr>
          <w:rFonts w:ascii="Arial" w:cs="Arial" w:eastAsia="Arial" w:hAnsi="Arial"/>
          <w:sz w:val="17"/>
          <w:szCs w:val="17"/>
          <w:i w:val="1"/>
          <w:iCs w:val="1"/>
          <w:color w:val="auto"/>
        </w:rPr>
        <w:t>Afinitor</w:t>
      </w:r>
      <w:r>
        <w:rPr>
          <w:rFonts w:ascii="Arial" w:cs="Arial" w:eastAsia="Arial" w:hAnsi="Arial"/>
          <w:sz w:val="17"/>
          <w:szCs w:val="17"/>
          <w:color w:val="auto"/>
        </w:rPr>
        <w:t xml:space="preserve"> did not confer an improvement in overall survival.</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More recently, in early 2015, the FDA granted accelerated approval to </w:t>
      </w:r>
      <w:r>
        <w:rPr>
          <w:rFonts w:ascii="Arial" w:cs="Arial" w:eastAsia="Arial" w:hAnsi="Arial"/>
          <w:sz w:val="17"/>
          <w:szCs w:val="17"/>
          <w:i w:val="1"/>
          <w:iCs w:val="1"/>
          <w:color w:val="auto"/>
        </w:rPr>
        <w:t>Ibrance</w:t>
      </w:r>
      <w:r>
        <w:rPr>
          <w:rFonts w:ascii="Arial" w:cs="Arial" w:eastAsia="Arial" w:hAnsi="Arial"/>
          <w:sz w:val="14"/>
          <w:szCs w:val="14"/>
          <w:color w:val="auto"/>
        </w:rPr>
        <w:t>®</w:t>
      </w:r>
      <w:r>
        <w:rPr>
          <w:rFonts w:ascii="Arial" w:cs="Arial" w:eastAsia="Arial" w:hAnsi="Arial"/>
          <w:sz w:val="17"/>
          <w:szCs w:val="17"/>
          <w:color w:val="auto"/>
        </w:rPr>
        <w:t xml:space="preserve"> (palbociclib), a cyclin-dependent kinase 4 and 6 inhibitor, or CDK4/6, for the treatment of breast cancer in the first-line setting in postmenopausal women with metastatic disease, in combination with </w:t>
      </w:r>
      <w:r>
        <w:rPr>
          <w:rFonts w:ascii="Arial" w:cs="Arial" w:eastAsia="Arial" w:hAnsi="Arial"/>
          <w:sz w:val="17"/>
          <w:szCs w:val="17"/>
          <w:i w:val="1"/>
          <w:iCs w:val="1"/>
          <w:color w:val="auto"/>
        </w:rPr>
        <w:t>Femara</w:t>
      </w:r>
      <w:r>
        <w:rPr>
          <w:rFonts w:ascii="Arial" w:cs="Arial" w:eastAsia="Arial" w:hAnsi="Arial"/>
          <w:sz w:val="17"/>
          <w:szCs w:val="17"/>
          <w:color w:val="auto"/>
        </w:rPr>
        <w:t xml:space="preserve">, an aromatase inhibitor. The approval of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was based on the results of a randomized Phase 2 clinical trial of postmenopausal women with ER+, HER2- breast cancer, which demonstrated a 10-month increase in median PFS for the combination of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and </w:t>
      </w:r>
      <w:r>
        <w:rPr>
          <w:rFonts w:ascii="Arial" w:cs="Arial" w:eastAsia="Arial" w:hAnsi="Arial"/>
          <w:sz w:val="17"/>
          <w:szCs w:val="17"/>
          <w:i w:val="1"/>
          <w:iCs w:val="1"/>
          <w:color w:val="auto"/>
        </w:rPr>
        <w:t>Femara</w:t>
      </w:r>
      <w:r>
        <w:rPr>
          <w:rFonts w:ascii="Arial" w:cs="Arial" w:eastAsia="Arial" w:hAnsi="Arial"/>
          <w:sz w:val="17"/>
          <w:szCs w:val="17"/>
          <w:color w:val="auto"/>
        </w:rPr>
        <w:t xml:space="preserve"> versus </w:t>
      </w:r>
      <w:r>
        <w:rPr>
          <w:rFonts w:ascii="Arial" w:cs="Arial" w:eastAsia="Arial" w:hAnsi="Arial"/>
          <w:sz w:val="17"/>
          <w:szCs w:val="17"/>
          <w:i w:val="1"/>
          <w:iCs w:val="1"/>
          <w:color w:val="auto"/>
        </w:rPr>
        <w:t>Femara</w:t>
      </w:r>
      <w:r>
        <w:rPr>
          <w:rFonts w:ascii="Arial" w:cs="Arial" w:eastAsia="Arial" w:hAnsi="Arial"/>
          <w:sz w:val="17"/>
          <w:szCs w:val="17"/>
          <w:color w:val="auto"/>
        </w:rPr>
        <w:t xml:space="preserve"> alone. During the first quarter of 2016, the FDA granted approval to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for use in combination with </w:t>
      </w:r>
      <w:r>
        <w:rPr>
          <w:rFonts w:ascii="Arial" w:cs="Arial" w:eastAsia="Arial" w:hAnsi="Arial"/>
          <w:sz w:val="17"/>
          <w:szCs w:val="17"/>
          <w:i w:val="1"/>
          <w:iCs w:val="1"/>
          <w:color w:val="auto"/>
        </w:rPr>
        <w:t>Faslodex</w:t>
      </w:r>
      <w:r>
        <w:rPr>
          <w:rFonts w:ascii="Arial" w:cs="Arial" w:eastAsia="Arial" w:hAnsi="Arial"/>
          <w:sz w:val="17"/>
          <w:szCs w:val="17"/>
          <w:color w:val="auto"/>
        </w:rPr>
        <w:t xml:space="preserve"> in women with HR+, HER2- breast cancer disease progression following endocrine therapy. Overall survival has not been reported for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clinical trials to date. However, based on the significant PFS benefit observed with </w:t>
      </w:r>
      <w:r>
        <w:rPr>
          <w:rFonts w:ascii="Arial" w:cs="Arial" w:eastAsia="Arial" w:hAnsi="Arial"/>
          <w:sz w:val="17"/>
          <w:szCs w:val="17"/>
          <w:i w:val="1"/>
          <w:iCs w:val="1"/>
          <w:color w:val="auto"/>
        </w:rPr>
        <w:t xml:space="preserve">Ibrance </w:t>
      </w:r>
      <w:r>
        <w:rPr>
          <w:rFonts w:ascii="Arial" w:cs="Arial" w:eastAsia="Arial" w:hAnsi="Arial"/>
          <w:sz w:val="17"/>
          <w:szCs w:val="17"/>
          <w:color w:val="auto"/>
        </w:rPr>
        <w:t>with endocrine therapy, it has become the standard first-line therapy in this patient population.</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Ribociclib</w:t>
      </w:r>
      <w:r>
        <w:rPr>
          <w:rFonts w:ascii="Arial" w:cs="Arial" w:eastAsia="Arial" w:hAnsi="Arial"/>
          <w:sz w:val="18"/>
          <w:szCs w:val="18"/>
          <w:color w:val="auto"/>
        </w:rPr>
        <w:t>, a CDK4/6 inhibitor from Novartis International AG, or Novartis, has demonstrated PFS benefit in a Phase 3 trial in combination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letrozole. Novartis has indicated that it expects an approval decision for </w:t>
      </w:r>
      <w:r>
        <w:rPr>
          <w:rFonts w:ascii="Arial" w:cs="Arial" w:eastAsia="Arial" w:hAnsi="Arial"/>
          <w:sz w:val="18"/>
          <w:szCs w:val="18"/>
          <w:i w:val="1"/>
          <w:iCs w:val="1"/>
          <w:color w:val="auto"/>
        </w:rPr>
        <w:t>ribociclib</w:t>
      </w:r>
      <w:r>
        <w:rPr>
          <w:rFonts w:ascii="Arial" w:cs="Arial" w:eastAsia="Arial" w:hAnsi="Arial"/>
          <w:sz w:val="18"/>
          <w:szCs w:val="18"/>
          <w:color w:val="auto"/>
        </w:rPr>
        <w:t xml:space="preserve"> from the FDA in the first half of 2017. Based on the results and preclinical cross resistance between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ribociclib</w:t>
      </w:r>
      <w:r>
        <w:rPr>
          <w:rFonts w:ascii="Arial" w:cs="Arial" w:eastAsia="Arial" w:hAnsi="Arial"/>
          <w:sz w:val="18"/>
          <w:szCs w:val="18"/>
          <w:color w:val="auto"/>
        </w:rPr>
        <w:t xml:space="preserve">, we believe </w:t>
      </w:r>
      <w:r>
        <w:rPr>
          <w:rFonts w:ascii="Arial" w:cs="Arial" w:eastAsia="Arial" w:hAnsi="Arial"/>
          <w:sz w:val="18"/>
          <w:szCs w:val="18"/>
          <w:i w:val="1"/>
          <w:iCs w:val="1"/>
          <w:color w:val="auto"/>
        </w:rPr>
        <w:t>ribociclib</w:t>
      </w:r>
      <w:r>
        <w:rPr>
          <w:rFonts w:ascii="Arial" w:cs="Arial" w:eastAsia="Arial" w:hAnsi="Arial"/>
          <w:sz w:val="18"/>
          <w:szCs w:val="18"/>
          <w:color w:val="auto"/>
        </w:rPr>
        <w:t xml:space="preserve">, if approved, would compete for the patient population already being treated by </w:t>
      </w:r>
      <w:r>
        <w:rPr>
          <w:rFonts w:ascii="Arial" w:cs="Arial" w:eastAsia="Arial" w:hAnsi="Arial"/>
          <w:sz w:val="18"/>
          <w:szCs w:val="18"/>
          <w:i w:val="1"/>
          <w:iCs w:val="1"/>
          <w:color w:val="auto"/>
        </w:rPr>
        <w:t>Ibrance</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While the treatment of advanced HR+ breast cancer is evolving given the introduction of both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we believe physicians will welcome the introduction of a well-tolerated therapy that improves overall survival, which has not been demonstrated to date for either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or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in combination with hormone therapy. Current data suggest that entinostat could demonstrate a favorable benefit-risk profile and an improvement in overall survival, and thus may become a preferred treatment option for patients with advanced HR+ breast cancer who have stopped responding to their first line endocrine-based regimen.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of Entinostat in Advanced HR+ Breast Cancer</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We have completed a Phase 2b clinical trial, ENCORE 301, of entinostat in advanced HR+ breast cancer in 130 postmenopausal patients. The trial was a randomized, placebo-controlled clinical trial in which treatment with entinostat was observed to result in a significant advantage to patients when given in addition to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therapy. Postmenopausal patients with advanced HR+ breast cancer progressing on a non-steroidal aromatase inhibitor were randomly assigned to the combination of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(25 mg daily) and entinostat (5 mg once per week) or to the combination of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(25 mg daily) and a placebo. The primary endpoint was PFS, with overall survival as an exploratory endpoint.</w:t>
      </w:r>
    </w:p>
    <w:p>
      <w:pPr>
        <w:spacing w:after="0" w:line="17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 Kaplan-Meier plot is a graphical statistical method commonly used to describe survival characteristics. The following are explanations of the meanings of the various efficacy endpoints that we have used in describing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our Phase 2b clinical trial. Each is determined in accordance with Response Criteria in Solid Tumors measurement guidelines.</w:t>
      </w:r>
    </w:p>
    <w:p>
      <w:pPr>
        <w:spacing w:after="0" w:line="127" w:lineRule="exact"/>
        <w:rPr>
          <w:sz w:val="20"/>
          <w:szCs w:val="20"/>
          <w:color w:val="auto"/>
        </w:rPr>
      </w:pPr>
    </w:p>
    <w:p>
      <w:pPr>
        <w:ind w:left="900" w:right="240" w:hanging="325"/>
        <w:spacing w:after="0" w:line="26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P-value</w:t>
      </w:r>
      <w:r>
        <w:rPr>
          <w:rFonts w:ascii="Arial" w:cs="Arial" w:eastAsia="Arial" w:hAnsi="Arial"/>
          <w:sz w:val="18"/>
          <w:szCs w:val="18"/>
          <w:color w:val="auto"/>
        </w:rPr>
        <w:t>: a statistical measure that represents the probability that the difference that is observed between two treatment arms is due to random</w:t>
      </w:r>
      <w:r>
        <w:rPr>
          <w:rFonts w:ascii="Arial" w:cs="Arial" w:eastAsia="Arial" w:hAnsi="Arial"/>
          <w:sz w:val="18"/>
          <w:szCs w:val="18"/>
          <w:b w:val="1"/>
          <w:bCs w:val="1"/>
          <w:color w:val="auto"/>
        </w:rPr>
        <w:t xml:space="preserve"> </w:t>
      </w:r>
      <w:r>
        <w:rPr>
          <w:rFonts w:ascii="Arial" w:cs="Arial" w:eastAsia="Arial" w:hAnsi="Arial"/>
          <w:sz w:val="18"/>
          <w:szCs w:val="18"/>
          <w:color w:val="auto"/>
        </w:rPr>
        <w:t>chance and is not actually related to the treatments being compared. For example, p-value of 0.1 indicates there is a 10% chance the difference that is observed between the treatment arms is due to random chance.</w:t>
      </w:r>
    </w:p>
    <w:p>
      <w:pPr>
        <w:spacing w:after="0" w:line="81" w:lineRule="exact"/>
        <w:rPr>
          <w:rFonts w:ascii="Arial" w:cs="Arial" w:eastAsia="Arial" w:hAnsi="Arial"/>
          <w:sz w:val="18"/>
          <w:szCs w:val="18"/>
          <w:color w:val="auto"/>
        </w:rPr>
      </w:pPr>
    </w:p>
    <w:p>
      <w:pPr>
        <w:ind w:left="900" w:right="280" w:hanging="325"/>
        <w:spacing w:after="0" w:line="26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Confidence interval</w:t>
      </w:r>
      <w:r>
        <w:rPr>
          <w:rFonts w:ascii="Arial" w:cs="Arial" w:eastAsia="Arial" w:hAnsi="Arial"/>
          <w:sz w:val="18"/>
          <w:szCs w:val="18"/>
          <w:color w:val="auto"/>
        </w:rPr>
        <w:t>: a statistical measure that indicates a range, which is believed to include the true effect parameter with some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For example, a 95% CI is the range at which one is 95% sure, with a 5% chance of being wrong, that the range given includes the true effect parameter.</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Hazard ratio</w:t>
      </w:r>
      <w:r>
        <w:rPr>
          <w:rFonts w:ascii="Arial" w:cs="Arial" w:eastAsia="Arial" w:hAnsi="Arial"/>
          <w:sz w:val="18"/>
          <w:szCs w:val="18"/>
          <w:color w:val="auto"/>
        </w:rPr>
        <w:t>: represents the chance of events occurring in the treatment arm relative to the chance of events occurring in the control arm. A</w:t>
      </w:r>
      <w:r>
        <w:rPr>
          <w:rFonts w:ascii="Arial" w:cs="Arial" w:eastAsia="Arial" w:hAnsi="Arial"/>
          <w:sz w:val="18"/>
          <w:szCs w:val="18"/>
          <w:b w:val="1"/>
          <w:bCs w:val="1"/>
          <w:color w:val="auto"/>
        </w:rPr>
        <w:t xml:space="preserve"> </w:t>
      </w:r>
      <w:r>
        <w:rPr>
          <w:rFonts w:ascii="Arial" w:cs="Arial" w:eastAsia="Arial" w:hAnsi="Arial"/>
          <w:sz w:val="18"/>
          <w:szCs w:val="18"/>
          <w:color w:val="auto"/>
        </w:rPr>
        <w:t>hazard ratio of one means that there is no difference in survival between the two groups. A hazard ratio of greater than one or less than one means that survival was better in one of the groups.</w:t>
      </w:r>
    </w:p>
    <w:p>
      <w:pPr>
        <w:spacing w:after="0" w:line="18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trial met the statistical criteria for a positive PFS endpoint using a pre-specified p-value of 0.10 from a one-sided test for statistical significance. The overall survival benefit observed in the entinostat/</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 (EE) group was also statistically significant versus the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tablets)/placebo (EP) group. The results are summarized below along with the Kaplan-Meier plot for PFS and overall survival.</w:t>
      </w:r>
    </w:p>
    <w:p>
      <w:pPr>
        <w:spacing w:after="0" w:line="52" w:lineRule="exact"/>
        <w:rPr>
          <w:sz w:val="20"/>
          <w:szCs w:val="20"/>
          <w:color w:val="auto"/>
        </w:rPr>
      </w:pPr>
    </w:p>
    <w:p>
      <w:pPr>
        <w:ind w:left="900" w:right="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Median PFS approximately doubled to 4.3 months in the EE group versus 2.3 months in the EP group, corresponding to a statistically significant hazard ratio of 0.73; 95% CI, 0.50 to 1.07; P2-sided=0.11; P1-sided=0.055.</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Median overall survival improved to 28.1 months in the EE group versus 19.8 months in the EP group, corresponding to a statistically significant hazard ratio of 0.59; 95% CI, 0.36 to 0.97; P2-sided=0.036; P1-sided=0.018.</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Fatigue and neutropenia were the most frequent Grade 3 and Grade 4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169545</wp:posOffset>
            </wp:positionV>
            <wp:extent cx="5908675" cy="2152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086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utilized forest plots, which are a form of graphical display designed to illustrate the relative strength of treatment effects across multiple subgroups, to highlight the consistency of the clinical benefit of EE treatment across multiple subgroups for both the PFS and overall survival endpoints. In addition, we analyzed the post-study treatments that patients received to determine whether there were imbalances in the subsequent treatment that could account for the difference in overall survival observed between the EE and EP groups.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two groups were well balanced for the first and all subsequent cancer therapies, which suggest that a favorable result for overall survival is unlikely due to differences in the therapies patients received after discontinuing study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134620</wp:posOffset>
            </wp:positionV>
            <wp:extent cx="5068570" cy="4271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Plot Legend</w:t>
      </w:r>
    </w:p>
    <w:p>
      <w:pPr>
        <w:spacing w:after="0" w:line="131"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NSAI</w:t>
      </w:r>
      <w:r>
        <w:rPr>
          <w:rFonts w:ascii="Arial" w:cs="Arial" w:eastAsia="Arial" w:hAnsi="Arial"/>
          <w:sz w:val="18"/>
          <w:szCs w:val="18"/>
          <w:color w:val="auto"/>
        </w:rPr>
        <w:t>: non-steroidal aromatase inhibitor.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Visceral involvement</w:t>
      </w:r>
      <w:r>
        <w:rPr>
          <w:rFonts w:ascii="Arial" w:cs="Arial" w:eastAsia="Arial" w:hAnsi="Arial"/>
          <w:sz w:val="18"/>
          <w:szCs w:val="18"/>
          <w:color w:val="auto"/>
        </w:rPr>
        <w:t>: refers to advanced HR+ breast cancer that has spread to any of the internal organs in the body.</w:t>
      </w:r>
    </w:p>
    <w:p>
      <w:pPr>
        <w:spacing w:after="0" w:line="130" w:lineRule="exact"/>
        <w:rPr>
          <w:rFonts w:ascii="Arial" w:cs="Arial" w:eastAsia="Arial" w:hAnsi="Arial"/>
          <w:sz w:val="18"/>
          <w:szCs w:val="18"/>
          <w:color w:val="auto"/>
        </w:rPr>
      </w:pPr>
    </w:p>
    <w:p>
      <w:pPr>
        <w:ind w:left="440" w:right="420" w:hanging="324"/>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NSAI sensitive</w:t>
      </w:r>
      <w:r>
        <w:rPr>
          <w:rFonts w:ascii="Arial" w:cs="Arial" w:eastAsia="Arial" w:hAnsi="Arial"/>
          <w:sz w:val="18"/>
          <w:szCs w:val="18"/>
          <w:color w:val="auto"/>
        </w:rPr>
        <w:t>: indicates a complete response, partial response or stable disease greater than six months on prior non-steroidal aromatase inhibitor therapy; all other patients considered NSAI resistant.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Safety was assessed by utilizing the NCI’s Common Terminology Criteria for Adverse Events—Version 3. When entinostat was added to </w:t>
      </w:r>
      <w:r>
        <w:rPr>
          <w:rFonts w:ascii="Arial" w:cs="Arial" w:eastAsia="Arial" w:hAnsi="Arial"/>
          <w:sz w:val="16"/>
          <w:szCs w:val="16"/>
          <w:i w:val="1"/>
          <w:iCs w:val="1"/>
          <w:color w:val="auto"/>
        </w:rPr>
        <w:t>Aromasin</w:t>
      </w:r>
      <w:r>
        <w:rPr>
          <w:rFonts w:ascii="Arial" w:cs="Arial" w:eastAsia="Arial" w:hAnsi="Arial"/>
          <w:sz w:val="16"/>
          <w:szCs w:val="16"/>
          <w:color w:val="auto"/>
        </w:rPr>
        <w:t>, the adverse event, or AE, profile was consistent with previous clinical experience with entinostat treatment. Overall, the EE group had a higher rate of AEs versus the EP group at 95% and 85%, respectively, with the most common AEs in the EE group being fatigue, gastrointestinal disturbances, such as nausea, vomiting and diarrhea, and hematologic toxicities, such as uncomplicated neutropenia, thrombocytopenia and anemia. The EE group had more AEs leading to dose modification (35% versus 6%), and more AEs leading to study discontinuation (11% versus 2%), irrespective of study drug relationship.</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hematological toxicities, thrombocytopenia was managed by dose modification during entinostat treatment, with all cases being non-severe and none requiring drug discontinuation. In approximately half of the patients who experienced Grade 3 neutropenia, it was managed by dose modification, with only one case leading to entinostat discontinuation. Additional reasons leading to EE discontinuation included two patients owing to nausea and vomiting and one patient each owing to weakness in extremities, hypoxia/radiation pneumonitis, fatigue and mucositis.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incidence of serious AEs was similar between the EE and EP groups at 16% and 12%, respectively, with four EE patients each experiencing a Grade 4 AE, including fatigue, leucopenia, neutropenia and hypercalcemia. One fatal AE occurred in each treatment arm with the EE event considered related to disease progression. We did not observe significant cardiovascular effects in this trial, which have been reported with other HDAC inhibitors.</w:t>
      </w:r>
    </w:p>
    <w:p>
      <w:pPr>
        <w:spacing w:after="0" w:line="14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 xml:space="preserve">Following positive results from our Phase 2b clinical trial,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was granted breakthrough therapy designation by the FDA in advanced HR+ breast cancer and is currently being evaluated in a Phase 3 clinical trial for advanced HR+, HER2- breast cancer.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E2112: Ongoing Pivotal Phase 3 Clinical Trial</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In order to confirm the PFS and overall survival benefits observed in the Phase 2b clinical trial, we have partnered with ECOG-ACRIN to develop and conduct the Phase 3 clinical trial. ECOG-ACRIN is conducting the trial under sponsorship and funding support from the NCI. We are providing financial and operational support for the Phase 3 clinical trial under a Cooperative Research and Development Agreement, or CRADA, with the NCI and a separate agreement with ECOG-ACRIN. The trial is a randomized, double-blind, placebo-controlled trial of entinostat in combination with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compared to </w:t>
      </w:r>
      <w:r>
        <w:rPr>
          <w:rFonts w:ascii="Arial" w:cs="Arial" w:eastAsia="Arial" w:hAnsi="Arial"/>
          <w:sz w:val="17"/>
          <w:szCs w:val="17"/>
          <w:i w:val="1"/>
          <w:iCs w:val="1"/>
          <w:color w:val="auto"/>
        </w:rPr>
        <w:t xml:space="preserve">Aromasin </w:t>
      </w:r>
      <w:r>
        <w:rPr>
          <w:rFonts w:ascii="Arial" w:cs="Arial" w:eastAsia="Arial" w:hAnsi="Arial"/>
          <w:sz w:val="17"/>
          <w:szCs w:val="17"/>
          <w:color w:val="auto"/>
        </w:rPr>
        <w:t>and a placebo. The protocol for the Phase 3 clinical trial was reviewed and agreed upon by the FDA under a Special Protocol Assessment, or SPA,</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the NCI in January 2014. The trial initiated enrollment of 600 patients in the second quarter of 2014. Based on information received from ECOG-ACRIN to date, we expect that the trial will require at least 40 months to fully enroll patients with primary PFS endpoint data expected no sooner than the end of the second half of 2017. Since we are not responsible for the conduct of the E2112 clinical trial, we cannot provide assurance that this trial will be completed or that data will be received on the timeline indicated.</w:t>
      </w:r>
    </w:p>
    <w:p>
      <w:pPr>
        <w:spacing w:after="0" w:line="18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primary objective of the trial is to evaluate whether the addition of entinostat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improves PFS, overall survival or both PFS and overall survival in patients with advanced HR+, HER2- breast cancer who have previously progressed after treatment with standard of care hormonal agents such as NSAIs or </w:t>
      </w:r>
      <w:r>
        <w:rPr>
          <w:rFonts w:ascii="Arial" w:cs="Arial" w:eastAsia="Arial" w:hAnsi="Arial"/>
          <w:sz w:val="16"/>
          <w:szCs w:val="16"/>
          <w:i w:val="1"/>
          <w:iCs w:val="1"/>
          <w:color w:val="auto"/>
        </w:rPr>
        <w:t>Faslodex</w:t>
      </w:r>
      <w:r>
        <w:rPr>
          <w:rFonts w:ascii="Arial" w:cs="Arial" w:eastAsia="Arial" w:hAnsi="Arial"/>
          <w:sz w:val="16"/>
          <w:szCs w:val="16"/>
          <w:color w:val="auto"/>
        </w:rPr>
        <w:t>. The NCI and ECOG-ACRIN, in collaboration with us, have designed the trial to have two primary endpoints of PFS and overall survival. If data are positive, we expect that either endpoint may serve as the basis for submitting a new drug application, or NDA. The Phase 3 clinical trial also contains secondary patient-reported outcomes, or PRO, endpoints to evaluate differences between arms in treatment toxicities, reduced symptom burden as an indicator of treatment response, and overall health-related quality of life. PRO measures are common in ECOG-ACRIN therapeutic trials due to the scientific aims of its Cancer Control &amp; Outcomes Program, which seeks to increase understanding, from the patient perspective, about how novel therapies impact quality of life. Secondary objectives of the trial include assessments of safety, response rate and biomarker analysis.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169545</wp:posOffset>
            </wp:positionV>
            <wp:extent cx="4853940" cy="2084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539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enrollment size of 600 patients in the trial is adequate for achieving a statistically significant difference in median PFS with a p-value less than 0.002 and in median overall survival with a p-value less than 0.048 based on the trial supporting a hypothesized hazard ratio of 0.58 for PFS and 0.75 for overall survival. If the hypothesized hazard ratio for PFS is true, the PFS endpoint has an 88.5% chance of success. Similarly, if the hypothesized hazard ratio of overall survival is true, the overall survival endpoint has an 80% chance of success.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primary analysis of PFS will be conducted when 247 PFS events occur out of the initial 360 patients enrolled. At the time of the primary PFS analysis, the first interim analysis of overall survival will also be conducted. Stopping rules based upon the interim analyses of overall survival have been outlined such that enrollment may terminate early if the statistical boundary for overall survival is met. Because of the smaller numbers of patients and limited length of follow-up at the time of the first interim analysis of overall survival, we do not expect to meet the criteria for early stopping at that time.</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the absence of early stopping, the results of the primary analysis of PFS will be made available to us when all 600 patients have entered the trial, which is anticipated to be no sooner than the second half of 2017. If the PFS endpoint is met, interim overall survival results will be released to us at that time as well. If the overall survival data demonstrate a positive trend, we expect they will be used to supplement new drug application, or NDA, submission based on meeting the primary PFS endpoint and agreement with the FDA that the PFS data are statistically significant and clinically meaningful to support an NDA submission.</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primary analysis of overall survival data represents another opportunity for submission of an NDA to the FDA for potential approval. The primary analysis of overall survival will occur when 410 deaths from among the 600 patients enrolled have occurred. Based on information received from ECOG-ACRIN to date, we expect this analysis to occur no sooner than 2019.</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addition to these analyses, if the primary analysis of PFS fails to achieve statistical significance, a positive overall survival outcome at any interim analysis during the conduct of the trial will also be a potential approval pathway. ECOG-ACRIN will perform up to seven interim analyses of overall survival, approximately every six months, to assess the potential superiority of the combination of entinostat and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relative to the combination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and a placebo. The 410 deaths required for the primary analysis of overall survival takes into consideration any statistical impact of the various interim analyses on the analysis of the overall survival endpoint. If the interim analyses do not demonstrate a statistically significant overall survival benefit, ECOG-ACRIN will not release the results of such interim analyses to 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Clinical Trials in Support of the Entinostat NDA Entinostat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parallel with the pivotal Phase 3 clinical trial, we are conducting a number of required clinical pharmacology trials required for the submission of the NDA for entinostat. In 2015, we conducted a Phase 1 clinical trial to determine how much entinostat is absorbed by patients, how it is distributed in the body and how it is metabolized and excreted. Results of this clinical trial were released in 2016 and consistent with prior entinostat pharmacokinetic data and showed that entinostat is primarily excreted through the kidneys. Data results have also lead to an investigation into whether or not identification of other entinostat metabolites are necessary.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are currently conducting a Phase 1 clinical trial, which was initiated in June 2016, to determine whether entinostat interferes with the pharmacological properties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(drug-drug interaction trial) and a Phase 1 clinical trial, which was initiated in September 2016, to confirm previous findings that there are no cardiac safety signals associated with entinostat treatment. Other trials, which were initiated in the second half of 2016 include a healthy volunteer trial of the effect of proton pump inhibitors on entinostat and a healthy volunteer trial to examine the pharmacokinetics of the effects of food on entinostat dosing. These trials are expected to have data readouts in the second half of 2017.</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also anticipate conducting a drug-drug interaction trial to determine whether entinostat interferes with the pharmacological properties of midazolam in healthy volunteers. A clinical trial to assess whether or not patients with renal impairment are able to achieve clearance of entinostat to the same extent as patients without renal impairment, is also planned in 2017 with data expected by the end of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Activities of Entinostat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collaborating with the NCI and investigators on combination trials of entinostat with other therapies across additional multiple tumor types such as HER2+ breast cancer, NSCLC and acute myeloid leukemia. Each of these trials is being funded either by the NCI or as investigator-initiated studies funded through grants and sponsoring institutions. Since we are not responsible for the conduct of these clinical trials, we cannot provide assurance that they will be completed or that data will be received on the timeline indicated.</w:t>
      </w:r>
    </w:p>
    <w:p>
      <w:pPr>
        <w:spacing w:after="0" w:line="88" w:lineRule="exact"/>
        <w:rPr>
          <w:sz w:val="20"/>
          <w:szCs w:val="20"/>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NCI-8871: HER2+ Breast Cancer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are collaborating with investigators at MD Anderson Cancer Center to determine whether the addition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entinostat to a second HER2 targeted therapy can overcome the resistance that had developed in response to prior HER2 targeted therapy. A Phase 1 dose escalation trial of entinostat with </w:t>
      </w:r>
      <w:r>
        <w:rPr>
          <w:rFonts w:ascii="Arial" w:cs="Arial" w:eastAsia="Arial" w:hAnsi="Arial"/>
          <w:sz w:val="16"/>
          <w:szCs w:val="16"/>
          <w:i w:val="1"/>
          <w:iCs w:val="1"/>
          <w:color w:val="auto"/>
        </w:rPr>
        <w:t>Tykerb</w:t>
      </w:r>
      <w:r>
        <w:rPr>
          <w:rFonts w:ascii="Arial" w:cs="Arial" w:eastAsia="Arial" w:hAnsi="Arial"/>
          <w:sz w:val="13"/>
          <w:szCs w:val="13"/>
          <w:color w:val="auto"/>
        </w:rPr>
        <w:t>®</w:t>
      </w:r>
      <w:r>
        <w:rPr>
          <w:rFonts w:ascii="Arial" w:cs="Arial" w:eastAsia="Arial" w:hAnsi="Arial"/>
          <w:sz w:val="16"/>
          <w:szCs w:val="16"/>
          <w:color w:val="auto"/>
        </w:rPr>
        <w:t xml:space="preserve"> (lapatinib), a small molecule dual inhibitor of HER2 and EGFR signaling, has established the feasibility and safety of that combination. A second Phase 1 clinical trial studying entinostat in combination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3"/>
          <w:szCs w:val="13"/>
          <w:color w:val="auto"/>
        </w:rPr>
        <w:t>®</w:t>
      </w:r>
      <w:r>
        <w:rPr>
          <w:rFonts w:ascii="Arial" w:cs="Arial" w:eastAsia="Arial" w:hAnsi="Arial"/>
          <w:sz w:val="16"/>
          <w:szCs w:val="16"/>
          <w:color w:val="auto"/>
        </w:rPr>
        <w:t xml:space="preserve"> (trastuzumab), a monoclonal antibody inhibitor of HER2 signaling, has recently completed patient enrollment and has established the feasibility and safety of the triple combination. A total of 37 patients have been enrolled in the Phase 1 trial. Preliminary data from this trial was presented at the 2015 San Antonio Breast Cancer Symposium with the authors concluding that entinostat combined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6"/>
          <w:szCs w:val="16"/>
          <w:color w:val="auto"/>
        </w:rPr>
        <w:t xml:space="preserve"> was generally well tolerated with preliminary evidence of efficacy in metastatic HER2+ patients whose disease progressed on </w:t>
      </w:r>
      <w:r>
        <w:rPr>
          <w:rFonts w:ascii="Arial" w:cs="Arial" w:eastAsia="Arial" w:hAnsi="Arial"/>
          <w:sz w:val="16"/>
          <w:szCs w:val="16"/>
          <w:i w:val="1"/>
          <w:iCs w:val="1"/>
          <w:color w:val="auto"/>
        </w:rPr>
        <w:t>Herceptin</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900" w:right="180" w:hanging="325"/>
        <w:spacing w:after="0" w:line="26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NCI-9253: Epigenetic Priming to Chemotherapy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NCI-sponsored Phase 2 clinical trial is currently enrolling up to 165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advanced NSCLC and is designed to test the ability of epigenetic therapy—a combination of entinostat and </w:t>
      </w:r>
      <w:r>
        <w:rPr>
          <w:rFonts w:ascii="Arial" w:cs="Arial" w:eastAsia="Arial" w:hAnsi="Arial"/>
          <w:sz w:val="18"/>
          <w:szCs w:val="18"/>
          <w:i w:val="1"/>
          <w:iCs w:val="1"/>
          <w:color w:val="auto"/>
        </w:rPr>
        <w:t>Vidaza</w:t>
      </w:r>
      <w:r>
        <w:rPr>
          <w:rFonts w:ascii="Arial" w:cs="Arial" w:eastAsia="Arial" w:hAnsi="Arial"/>
          <w:sz w:val="18"/>
          <w:szCs w:val="18"/>
          <w:color w:val="auto"/>
        </w:rPr>
        <w:t>—to enhance the response of NSCLC patients to chemotherapy. Data from this trial are expected in the second half of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w:t>
      </w:r>
    </w:p>
    <w:p>
      <w:pPr>
        <w:spacing w:after="0" w:line="117"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and our collaborators are developing SNDX-6352 to bind to CSF-1R and block the ability of CSF-1 and IL-34 to bind to and activate CSF-1R signaling. UCB Biopharma Sprl, or UCB, has demonstrated in preclinical studies that were designed to measure the amount of SNDX-6352 bound to the CSF-1R, that SNDX-6352 binds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human CSF-1R with high affinity as indicated by a dissociation constant value, or KD, of 4-8 picomolar (pM). These studies also showed that SNDX-6352 can bind to human and cynomolgus monkey CSF-1R but not rodent CSF-1R.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One way in which investigators show that CSF-1 and IL-34 bind to and activate CSF-1R is to measure the amount of a secreted factor known as monocyte chemotactic protein 1, or MCP-1, that is released by cells when CSF-1R signaling is activated. A lower amount of MCP-1 can mean that the binding of CSF-1 and IL-34 have been blocked. Preliminary research shows that SNDX-6352 potently inhibits both CSF-1 and IL-34 induced MCP-1 release from human monocytes (IC50, 270pM and 100pM, respectively).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second way in which investigators measure the activity of CSF-1R blockade is to count the number of circulating cells known as non-classical monocytes. The cells can be identified by expression of cell surface markers called CD14 and CD16. Researchers have shown that blocking CSF-1R signaling results in a decrease in the number of non-classical monocytes, and SNDX-6352 has been shown to reduce the number of non-classical monocytes in a preclinical trial.</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third way to demonstrate that SNDX-6352 can bind to CSF-1R and block binding of CSF-1 is to measure the level of circulating CSF-1 in the blood. Researchers have shown that blocking CSF-1R results in increased levels of CSF-1. The amount of circulating CSF-1 can therefore be used as measurement of the amount of SNDX-6352 bound to CSF-1R. In order to understand the expected clinical activity of SNDX-6352 in human subjects, we and our collaborators have conducted studies with SNDX-6352 across a range of doses in cynomolgus monkeys. Our preclinical data indicate that SNDX-6352 causes sustained increases in CSF-1 levels for at least 14 days at doses greater than 5 mg per kilogram of bodyweight.</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results of UCB’s preclinical studies combined demonstrate that SNDX-6352 is a potent CSF-1R binding antibody that can block the activation of CSF-1R signaling through both IL-34 and CSF-1 and reduce the number of CSF-1R expressing target cells.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near-term focus is to rapidly establish proof of concept that SNDX-6352 can provide meaningful clinical benefit to patients in one or more tumor types when combined with standard of care therapies for a given indication. We intend to conduct clinical trials in patients with tumor types having clear unmet needs (e.g., NSCLC, TNBC, prostate, melanoma, pancreatic, ovarian) and where we believe that the inhibition of TAMs via CSF-1R inhibition will synergize with the current standard of care, inducing tumor regressions.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order to determine the initial safety profile of SNDX-6352, we commenced SNDX-6352-0001, a single ascending dose Phase 1 clinical trial in the fourth quarter of 2016. In addition to assessing safety assessment at increasing doses of SNDX-6352, we will collect information on the concentration of SNDX-6352 and levels of CSF-1, IL-34 and non-classical monocytes in the blood. We are conducting the trial in the Netherlands and will be enrolling up to 36 healthy subjects. We expect to complete enrollment in this Phase 1 trial by the end of second quarter of 2017. We expect to utilize the safety assessment of single doses of SNDX-6352 in deciding the starting dose for subsequent clinical trials testing multiple doses of SNDX-6352 as a single agent and in combinations.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Merck—MSD International GmbH</w:t>
      </w:r>
    </w:p>
    <w:p>
      <w:pPr>
        <w:spacing w:after="0" w:line="11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 xml:space="preserve">In March 2015, we entered into a clinical trial collaboration and supply agreement with MSD International GmbH, an affiliate of Merck, under which we will conduct a clinical trial evaluating entinostat in combination with Merck’s drug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NSCLC and melanoma. We are the sponsor of the clinical trial. Merck will supply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for use in the clinical trial. Neither party will have any obligation to reimburse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incurred by the other party, except that a party may be required to reimburse the manufacturing costs of the other party upon certain early termination events.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To the extent any inventions arise from the clinical trial, each party will solely own inventions relating to its drug alone, and the parties will jointly own any inventions relating to the combination of the two drugs. In most cases, clinical data from the trial will be jointly owned. However, each party will separately analyze clinical samples obtained from trial participants, and each party will solely own the sample analysis data that it generates.</w:t>
      </w:r>
    </w:p>
    <w:p>
      <w:pPr>
        <w:spacing w:after="0" w:line="166"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Either party may terminate the agreement for the other party’s uncured material breach. In addition, either party may terminate the agreement if it believes that there is imminent danger to patients in the clinical trial, or if a regulatory authority takes an action that prevent such party from supplying its drug, or if such party decides to discontinue development of its drug. Merck may terminate the agreement if we fail to make any changes to the clinical trial protocol that are reasonably requested by Merck to address a perceived safety issue or if we undergo a change of control with a company that is clinically developing or marketing a drug having the same mechanism of action as </w:t>
      </w:r>
      <w:r>
        <w:rPr>
          <w:rFonts w:ascii="Arial" w:cs="Arial" w:eastAsia="Arial" w:hAnsi="Arial"/>
          <w:sz w:val="17"/>
          <w:szCs w:val="17"/>
          <w:i w:val="1"/>
          <w:iCs w:val="1"/>
          <w:color w:val="auto"/>
        </w:rPr>
        <w:t>Keytruda</w:t>
      </w:r>
      <w:r>
        <w:rPr>
          <w:rFonts w:ascii="Arial" w:cs="Arial" w:eastAsia="Arial" w:hAnsi="Arial"/>
          <w:sz w:val="17"/>
          <w:szCs w:val="17"/>
          <w:color w:val="auto"/>
        </w:rPr>
        <w: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August 2015, we entered into a combination study collaboration agreement with Genentech under which we will conduct a clinical trial evaluating entinostat in combination with Genentech’s drug atezolizumab in patients with TNBC. We will be the sponsor of the clinical trial. Genentech will supply atezolizumab for use in the clinical trial. Each party will perform its obligations under the agreement at its own expense, including its internal costs.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Either party may terminate the agreement for the other party’s uncured material breach. In addition, either party may terminate the agreement if it determines that the trial may unreasonably affect patient safety, or if a regulatory authority withdraws the approval to conduct the trial or takes an action that prevent such party from supplying its drug, or if the other party or its employees are sanctioned under certain healthcare-related laws, or if such party decides to discontinue development of its drug.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Merck KGaA and Pfizer</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December 2015, we entered into a clinical trial collaboration and supply agreement with Merck KGaA and Pfizer under which we will conduct a clinical trial evaluating entinostat in combination with an investigational monoclonal antibody, avelumab, in patients with ovarian cancer. Avelumab is being developed collaboratively by Merck KGaA and Pfizer, which are together treated as a single party for purposes of this agreement. We will be the sponsor of the clinical trial. Merck KGaA and Pfizer will supply avelumab for use in the clinical trial. During the term of the trial or the term of the agreement, whichever is shorter, each party has agreed not to initiate any clinical trial in combination with such party’s drug and a third party drug for the treatment of ovarian cancer if the third party drug has the same target and mechanism of action as the other party’s drug, subject to certain exceptions.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Either party may terminate the agreement for the other party’s uncured material breach. In addition, either party may terminate the agreement if it determines that the trial may unreasonably affect patient safety, or if a regulatory authority takes an action that prevent such party from supplying its drug, or if such party decides to discontinue development of its drug. Merck KGaA and Pfizer may also terminate the agreement if we fail to make any changes to the clinical trial protocol that are reasonably requested by them to address a perceived safety issue.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collaboration with the NCI is governed by a cooperative research and development agreement, or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88"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Either party may terminate the CRADA either by mutual consent or unilaterally upon advance written notice to the other party. Absent such early termination, the CRADA will expire on May 21, 2017. As we have in the past, we expect to renew the CRADA at that time.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March 2014, we entered into a clinical trial agreement with Eastern Cooperative Oncology Group, a contracting entity for ECOG-ACRIN, which describes the parties’ obligations with respect to the NCI-sponsored pivotal Phase 3 clinical trial of entinostat. Under the terms of the clinical trial agreement, ECOG-ACRIN will perform this clinical trial in accordance with the clinical trial protocol and a mutually agreed scope of work. In January 2015, we amended the agreement to provide for additional patient site reimbursement funds, which will be paid based on milestone-based payments. We will provide a fixed level of financial support for the clinical trial through an upfront payment of $695,000 and a series of time- and milestone-based payments of up to $970,000, and we are obligated to supply entinostat and placebo to ECOG-ACRIN for use in the clinical trial. During the second quarter of 2016, the agreement was amended to provide additional study activities and the contractual obligation increased by $0.8 million. We have agreed to provide this additional financial support to fund the additional activities required to ensure that the E2112 clinical trial will satisfy FDA registration requirements. As of December 31, 2016, our aggregate payment obligations under this agreement are approximately $21.4 million; and our remaining obligations under this agreement were $12.9 million over an estimated period of approximately four years. During the first quarter of 2017, the agreement was amended to expand the study to include enrollments from Korean sites, and the contractual obligation increased by $0.5 million.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Data and inventions from the Phase 3 clinical trial are owned by ECOG-ACRIN.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 and SNDX-6352</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September 2016, we entered into a collaboration with the NCI related to both entinostat and SNDX-6352 is governed by a CRADA between us and the NCI. Under the CRADA, the NCI sponsors clinical studies on entinostat and SNDX-6352 using researchers at the NCI as well as NCI-funded researchers at other institutions. In return, we receive access to the data generated in these clinical studies, and we are obligated to supply the clinical trial sites with sufficient quantities of entinostat and SNDX-6352. Additionally, we are required to make an annual payment to a particular NCI laboratory to help support certain research studies related to this and other clinical trial. We have no other payment obligations under the CRADA.</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own all intellectual property generated in the course of the collaboration with the NCI, or 6352 Collaboration IP, to the extent that 6352 Collaboration IP is generated by our employees. We also have an exclusive option to obtain an exclusive or non-exclusive commercialization license under 6352 Collaboration IP generated by the NCI. With respect to any 6352 Collaboration IP that is owned by or licensed to us, we have agreed to grant the United States government a non-exclusive license to practice or have practiced this 6352 Collaboration IP throughout the world by or on behalf of the government for research or other government purposes.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Investigator Collaborations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have collaborated with a limited number of third parties on the clinical development of entinostat and SNDX-6352. For example, we have supplied entinostat for use in investigator-sponsored clinical trials conducted at JHU and we plan to enter into similar arrangements with other hospitals and medical centers in the future. Investigator-sponsored clinical trials are generally performed under an IND application filed by the investigator or his or her institution. To date, our sole obligation with respect to these investigator-sponsored clinical trials has been to supply entinostat for use in the trials.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2014, we entered into a license, development and commercialization agreement with Kyowa Hakko Kirin Co., Ltd., or KHK, under which KHK received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1 HDAC, such drug will be included in this license as well. We will manufacture and supply entinostat to KHK during the term of the agreement, and such obligation may continue for a longer period if KHK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1 HDACs for the same indication as entinostat, with all forms of cancer being treated as the same indication.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received an upfront license fee of $17.5 million, and KHK purchased 536,049 shares of our Series B-1 Preferred Stock for an aggregate price of approximately $7.5 million. We are eligible to receive up to $50.0 million in development and regulatory milestone payments and up to $25.0 million in sales milestone payments. KHK will pay us a transfer price for the supply of entinostat as well as royalties on net sales of entinostat above a specified threshold each calendar year by KHK, its affiliates and sublicensees in the low single digits. Royalty payment obligations will be payable in each country in the KHK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KHK’s development and commercialization of entinostat in the KHK territory will be made by us out of the payments we receive from KHK.</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agreement with KHK will expire with respect to each country in the KHK territory upon the expiration of all royalty payment obligations in such country. In addition, we may terminate the agreement in its entirety upon written notice to KHK if KHK or any affiliate commences any action or proceeding that challenges the validity, enforceability or scope of any licensed patent in the KHK territory. KHK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KHK may, instead of terminating the agreement, elect to continue the agreement in full force and effect except certain payments to us will be reduced.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build a commercial infrastructure to support sales of entinostat and SNDX-6352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own or operate manufacturing facilities for the production of entinostat or SNDX-6352,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or SNDX-6352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In October 2015, the FDA approved for the first time the combination of two immuno-oncology drugs, </w:t>
      </w:r>
      <w:r>
        <w:rPr>
          <w:rFonts w:ascii="Arial" w:cs="Arial" w:eastAsia="Arial" w:hAnsi="Arial"/>
          <w:sz w:val="18"/>
          <w:szCs w:val="18"/>
          <w:i w:val="1"/>
          <w:iCs w:val="1"/>
          <w:color w:val="auto"/>
        </w:rPr>
        <w:t>Opdivo</w:t>
      </w:r>
      <w:r>
        <w:rPr>
          <w:rFonts w:ascii="Arial" w:cs="Arial" w:eastAsia="Arial" w:hAnsi="Arial"/>
          <w:sz w:val="18"/>
          <w:szCs w:val="18"/>
          <w:color w:val="auto"/>
        </w:rPr>
        <w:t xml:space="preserve"> and </w:t>
      </w:r>
      <w:r>
        <w:rPr>
          <w:rFonts w:ascii="Arial" w:cs="Arial" w:eastAsia="Arial" w:hAnsi="Arial"/>
          <w:sz w:val="18"/>
          <w:szCs w:val="18"/>
          <w:i w:val="1"/>
          <w:iCs w:val="1"/>
          <w:color w:val="auto"/>
        </w:rPr>
        <w:t>Yervoy</w:t>
      </w:r>
      <w:r>
        <w:rPr>
          <w:rFonts w:ascii="Arial" w:cs="Arial" w:eastAsia="Arial" w:hAnsi="Arial"/>
          <w:sz w:val="18"/>
          <w:szCs w:val="18"/>
          <w:color w:val="auto"/>
        </w:rPr>
        <w:t xml:space="preserve">, for the treatment of melanoma. There are currently numerous drugs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atezolizumab or avelumab were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approved for the treatment of NSCLC, melanoma, TNBC or ovarian cancer, it would face competition from these standard-of-care approaches and other investigational drugs being tested in combination with any of these approaches.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developed by Novartis, and other therapies currently in Phase 3 clinical development such as abemaciclib being developed by Eli Lilly and Company, and ribociclib and buparlisib both of which are being developed by Novartis.</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6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expect any treatments that we develop and commercialize to compete on the basis of, among other things, efficacy, safety, convenience of administration and delivery, price and the availability of reimbursement from government and other third-party payors.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Through licensed intellectual property and our owned intellectual property, we seek patent protection in the United States and internationally for entinostat and SNDX-6352, its methods of use and processes for its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strive to protect entinostat with multiple layers of patents. As of December 31, 2016, our portfolio included two owned U.S. provisional patent applications, two owned pending U.S. non-provisional patent applications one granted non-U.S. patent and 19 non-U.S. pending patent applications (including four pending international patent applications under the Patent Cooperation Treaty, or PCT). Also, we have filed national phase applications in the Eurasia Regional Patent Office, Ukraine and Georgia based on our owned PCT application directed to treatment of selected breast cancer patients with a combination of entinostat and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Aromasin</w:t>
      </w:r>
      <w:r>
        <w:rPr>
          <w:rFonts w:ascii="Arial" w:cs="Arial" w:eastAsia="Arial" w:hAnsi="Arial"/>
          <w:sz w:val="16"/>
          <w:szCs w:val="16"/>
          <w:color w:val="auto"/>
        </w:rPr>
        <w:t>. We have assigned our rights to the application we filed in the Eurasia Regional Patent Office to Domain Russia Investments Limited, or DRI.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the U.S. Patent and Trademark Office, or USPTO, the European Patent Office, or EPO, China, India, Australia, Canada, Japan, South Korea, South Africa, Brazil and Mexico. Our owned entinostat patent portfolio includes pending U.S. patent applications directed to methods of treating cancer patients by administration of entinostat according to selected dosing regimens, methods of treating cancer patients by administration of entinostat in combination with an HER2 inhibitor and methods of treating lung cancer patients by administration of entinostat in combination with an EGFR inhibitor. Our owned pending U.S. provisional and PCT applications relate to treatments with entinostat combined with anti PD-1 or anti PD-L1 antibodies. If issued, patents based on our owned pending U.S. applications and non-U.S. filings based on our owned PCT application would expire between April 2029 and December 2036.</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2016,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expiring in September 2017.</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expires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9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Of the 62 foreign-granted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15 of the 17 pending foreign applications are counterparts of the ‘166 crystalline polymorph B patent. Other patents and patent applications in the licensed Bayer portfolio cover methods of treatment by administration of entinostat. For example, U.S. Patent 7,317,028, which expires in October 2017, covers methods of treating selected cancers by administration of entinostat; U.S. Patent 7,687,525, which also expires in September 2017, covers methods of treating autoimmune disease by administration of entinostat; U.S. Patent 6,320,078, which expires in July 2019, covers methods of manufacturing entinostat; U.S. Patent No. 8,026,239, which expires in September 2017, covers methods of treating certain malignant tumors by administration of a compound within a subgenus of benzamide compounds including entinostat; U.S. Patent RE40,703, which expires in September 2017, covers a subgenus of benzamide compounds that does not include entinostat; and U.S. Patent 6,794,392, which expires in September 2017, covers a subgenus of benzamide compounds that does not include entinostat.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 Patent Portfolio</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also in-licensed from UCB patent portfolio directed to SNDX-6352, an IND-ready anti-CSF-1R monoclonal antibody. As of December 31, 2016, the SNDX-6352 composition-of-matter patent portfolio included one pending U.S. non-provisional patent application, one granted non-U.S. patent and 38 non-U.S. pending patent applications. If issued, patents based on the in-licensed pending U.S. application and non-U.S. applications covering SNDX-6352 would expire in August 2034. 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issued, patents based on these pending applications would expire between November 2024 and February 2036. Further, the in-licensed portfolio includes three non-U.S. patents directed to methods of treating solid tumors by administration of an inhibitor of CSF-1R activity. The three patents will expire in October 2024.</w:t>
      </w:r>
    </w:p>
    <w:p>
      <w:pPr>
        <w:spacing w:after="0" w:line="19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5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connection with the execution of the Bayer license agreement, we were obligated to pay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 In June 2014, we achieved a research and development milestone, and in accordance with the terms of the Bayer license agreement, we paid $2.0 million to Bayer.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UCB</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July 2016, we entered into a license agreement with UCB, or the UCB license agreement, under which UCB granted us a worldwide, sublicenseable, exclusive license to UCB6352, which the Company refers to as SNDX-6352, an IND-ready anti-CSF-1R monoclonal antibody. The UCB license agreement permits us to use SNDX-6352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consideration for the license grant, we made a nonrefundable upfront payment of $5.0 million to UCB in the third quarter of 2016. Additionally,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We are solely responsible for the development and commercialization of SNDX-6352, except that UCB is performing a limited set of transitional chemistry, manufacturing and control tasks related to SNDX-6352.</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developed or made known during the course of the relationship with us be kept confidential and not disclosed to third parties except in specific circumstances.</w:t>
      </w:r>
    </w:p>
    <w:p>
      <w:pPr>
        <w:spacing w:after="0" w:line="170"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ind w:right="500" w:firstLine="456"/>
        <w:spacing w:after="0" w:line="302"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or delay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Failure to comply with the applicable United States regulatory requirements at any time during the product development process, approval process or after approval may subject an applicant to administrative or judicial enforcement actions. These actions could include the suspension or termination of clinical trials by the FDA, the FDA’s refusal to approve pending applications or supplemental applications, withdrawal of an approval, warning or untitled letters, product recalls, product seizures, total or partial suspension of production or distribution, import detention, injunctions, fines, civil penalties or criminal prosecution. Any such administrative or judicial action could have a material adverse effect on us.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Although this discussion focuses on regulation in the United States, we anticipate seeking approval for and marketing of our product candidates in other countries. Generally, our product candidates will be subject to regulation in other countries that is similar in nature and scope as those imposed in the United States, although there can be important differences. In Europe, for example, some significant aspects of regulation are addressed in a centralized way through the European Medicines Agency, but country-specific regulation remains essential in many respects.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131" w:lineRule="exact"/>
        <w:rPr>
          <w:sz w:val="20"/>
          <w:szCs w:val="20"/>
          <w:color w:val="auto"/>
        </w:rPr>
      </w:pPr>
    </w:p>
    <w:p>
      <w:pPr>
        <w:ind w:left="900" w:right="4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30"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an NDA for filing and review;</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Practices, or cGMP, regulations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an NDA prior to any commercial marketing or sale of the drug in the United States.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Testing</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testing stage. Preclinical tests include laboratory evaluations of product chemistry and formulation, as well as animal studies to assess the potential safety, toxicity profile and activity of the drug candidate. The conduct of the preclinical tests must comply with federal regulations and requirements including GLPs.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 Application</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31" w:lineRule="exact"/>
        <w:rPr>
          <w:sz w:val="20"/>
          <w:szCs w:val="20"/>
          <w:color w:val="auto"/>
        </w:rPr>
      </w:pPr>
    </w:p>
    <w:p>
      <w:pPr>
        <w:ind w:left="900" w:right="56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29" w:lineRule="exact"/>
        <w:rPr>
          <w:rFonts w:ascii="Arial" w:cs="Arial" w:eastAsia="Arial" w:hAnsi="Arial"/>
          <w:sz w:val="16"/>
          <w:szCs w:val="16"/>
          <w:color w:val="auto"/>
        </w:rPr>
      </w:pPr>
    </w:p>
    <w:p>
      <w:pPr>
        <w:ind w:left="900" w:right="16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FDCA permits the FDA and an IND sponsor to agree in writing on the design and size of clinical studies intended to form the primary basis of a claim of effectiveness in an NDA.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8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fail to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drug product. Additionally, appropriate packaging must be selected and tested and stability studies must be conducted to demonstrate that the drug candidate does not undergo unacceptable deterioration over its shelf life.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FDA will initially review an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If it is not, the FDA may refuse to file an NDA and request additional information, in which case the application must be resubmitted with the supplemental information, and review of the application is delayed. After an NDA submission is accepted for filing, the FDA reviews an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filing of an NDA,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 Whether priority or standard review applies, an additional 60 days is added to the target date for FDA action for new molecular entities.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an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an NDA. Additionally,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 Depending on the FDA’s evaluation of a 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even after regulatory approval is obtained, later discovery of previously unknown problems with a product may result in restrictions on the product or even complete withdrawal of the product from the market. In addition, we cannot predict what adverse governmental regulations may arise from future U.S. or foreign governmental action.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For a Fast Track product, the FDA may consider for review sections of an NDA on a rolling basis before the complete application is submitted, if the sponsor provides a schedule for the submission of the sections of an NDA, the FDA agrees to accept sections of an NDA and determines that the schedule is acceptable, and the sponsor pays any required user fees upon submission of the first section of an NDA.</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Drug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product receiving accelerated approval perform adequate and well-controlled post-marketing clinical studies. In addition, the FDA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FDA may also expedite the review of a drug designated as a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The designation of a drug as a breakthrough therapy provides the same benefits as are available under the Fast Track program, as well as intensive FDA guidance on the product’s development program.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review process.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Drug Price Competition and Patent Term Restoration Act of 1984, known as the “Hatch-Waxman Act,” Congress created an abbreviated FDA review process for generic versions of approved pioneer (brand name) NDA products. In considering whether to approve such a generic drug product submitted under an Abbreviated New Drug Application, or ANDA, the FDA generally requires that an ANDA applicant demonstrate that the proposed generic drug product’s active ingredient, strength, dosage form, and route of administration are the same as that of the reference product, that the two drugs are bioequivalent, that any impurities in the proposed product do not affect the product’s safety or effectiveness, and that its manufacturing processes and methods ensure the consistent potency and purity of its proposed product. Similarly, section 505(b)(2) of the Federal Food, Drug, and Cosmetic Act provides a reduced burden of demonstrating safety and effectiveness for an NDA for a product that is similar, but not identical, to the pioneer product.</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Hatch Waxman Act requires NDA applicants and NDA holders to provide certain information about patents related to the drug for listing in its publication Approved Drug Products with Therapeutic Equivalence Evaluations, referred to as the Orange Book. ANDA and 505(b)(2) applicants who seek to reference a pioneer drug must then certify regarding each of the patents listed with the FDA for the reference product. A certification that a listed patent is invalid or will not be infringed by the marketing of the applicant’s product is called a “Paragraph IV certification.”</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Hatch Waxman Act also provides periods of regulatory exclusivity for certain pioneer products during which FDA review or approval of an ANDA or 505(b)(2) application is precluded. If the pioneer product is a New Chemical Entity, or NCE, the FDA is precluded for a period of five years from accepting for review an ANDA or 505(b)(2) application for the same chemical entity. Under NCE exclusivity, the FDA may accept an ANDA or 505(b)(2) application for review after four years, however, if that application contains a Paragraph IV certification challenging one of the pioneer’s listed patents.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Hatch 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During this three-year exclusivity period, the FDA may review but not approve an ANDA or 505(b)(2) application for a product with the same conditions of use as supported by those new clinical investigations. This exclusivity will not necessarily prohibit the FDA from accepting or approving ANDAs or 505(b)(2) applications for other products containing the same active ingredient.</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an ANDA or 505(b)(2) application containing a Paragraph IV certification is accepted for filing by the FDA, the applicant must within 20 days provide notice to an NDA holder and patent owner that the application has been submitted and provide the factual and legal basis for the applicant’s opinion that the patent is invalid or not infringed. An NDA holder or patent owner may then file suit against the ANDA or 505(b)(2) applicant for patent infringement. If a suit is filed within 45 days of receiving notice of the Paragraph IV certification, the FDA is precluded from approving the ANDA or 505(b)(2) application for a period of 30 months. The 30-month stay generally begins on the date of the receipt of notice by an NDA holder or patent owner. If the pioneer product has NCE exclusivity and the pioneer files suit against the ANDA or 505(b)(2) application during the fifth year of exclusivity, however, the 30-month stay will not be triggered until five years from the date of the reference drug’s approval.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 Manufacturing Practices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shut down manufacturing operations or withdraw approval of an NDA for that drug, or we may recall the drug from distribution. Noncompliance with cGMP or other requirements can result in issuance of warning letters, civil and criminal penalties, seizures and injunctive action.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17"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providers,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 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1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federal Anti-Kickback Statute prohibits persons and entities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some common activities from prosecution, the exemptions and safe harbors are drawn narrowly.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reach of the Anti-Kickback Statute was also broadened by the Patient Protection and Affordable Care Act, as amended by the Health Care and Education Reconciliation Act of 2010, or collectively the Affordable Care Act, which, among other things, amended the intent requirement of the federal Anti-Kickback Statute such that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federal False Claims Act prohibits any person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prosecuted for causing false claims to be submitted because of the companies’ marketing of products for unapproved, and thus non-reimbursable, uses. In addition, the federal Health Insurance Portability and Accountability Act of 1996, and its implementing regulations, or HIPAA, created federal criminal laws that prohibit knowingly and willfully executing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Many states have similar fraud and abuse statutes or regulations, including, without limitation, laws analogous to the federal Anti-Kickback Statute and the federal False Claims Act, that apply to items and services reimbursed under Medicaid and other state programs, or, in several states, apply regardless of the payor. Some of these state laws apply to a broader range of conduct and may not have the same exceptions as analogous federal laws. Accordingly, our business will be subject to these provisions as well in the states in which we do business.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federal Physician Payments Sunshine Act, enacted as part of the Affordable Care Act requires applicable manufacturers of drugs, devices, biologics and medical supplies for which payment is available under Medicare, Medicaid, or the Children’s Health Insurance Program, with specific exceptions, to track and annually report to the Centers for Medicare and Medicaid Service, or CMS, payments and other transfers of value provided to physicians and teaching hospitals and certain ownership and investment interests held by physicians or their immediate family members. If our operations are found to be in violation of any of such laws we may be subject to penalties, which could adversely affect our ability to operate our business and our financial results.</w:t>
      </w:r>
    </w:p>
    <w:p>
      <w:pPr>
        <w:spacing w:after="0" w:line="1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addition, we may be subject to data privacy and data security regulation by both the federal government and the states in which we conduct our business. HIPAA, as amended by the Health Information Technology for Economic and Clinical Health Act, and their implementing regulations, imposes specified requirements relating to the privacy, security and transmission of certain individually identifiable health information. HIPAA applies to certain covered entity health care providers, health plans and health care clearinghouses as well as their business associates, which are entities that create, receive, maintain or transmit protected health information in connection with providing a service to or performing an activity for or on behalf of a covered entity. Violations of HIPAA may result in civil and/or criminal penalties and state attorneys’ general have authority to file civil actions for damages or injunctions in federal courts to enforce HIPAA and seek attorney’s fees and costs associated with pursuing federal civil actions. Even if we are not directly subject to HIPAA, we could be subject to criminal penalties if we knowingly obtain or disclose individually identifiable health information maintained by a HIPAA covered entity in a manner not authorized or permitted by HIPAA. In addition, state laws govern the privacy and security of health information in certain circumstances, many of which differ from each other in significant ways and often are not preempted by HIPAA, thus complicating compliance efforts. 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individual imprisonment,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receive approval and are sold in a foreign country, we may be subject to similar foreign laws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regulations, which may include, for instance, applicable post-marketing requirements, including safety surveillance, anti-fraud and abuse laws, international data protection laws (including the EU Directive 95/46/EC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changes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87" w:lineRule="exact"/>
        <w:rPr>
          <w:sz w:val="20"/>
          <w:szCs w:val="20"/>
          <w:color w:val="auto"/>
        </w:rPr>
      </w:pPr>
    </w:p>
    <w:p>
      <w:pPr>
        <w:ind w:left="90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branded prescription drugs and biologic agents, apportioned among these entities according to their sales of branded prescription drugs under certain government healthcare programs, such as Medicare and Medicaid;</w:t>
      </w:r>
    </w:p>
    <w:p>
      <w:pPr>
        <w:spacing w:after="0" w:line="29" w:lineRule="exact"/>
        <w:rPr>
          <w:rFonts w:ascii="Arial" w:cs="Arial" w:eastAsia="Arial" w:hAnsi="Arial"/>
          <w:sz w:val="16"/>
          <w:szCs w:val="16"/>
          <w:color w:val="auto"/>
        </w:rPr>
      </w:pPr>
    </w:p>
    <w:p>
      <w:pPr>
        <w:ind w:left="900" w:right="42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the statutory minimum rebates a manufacturer must pay as a condition to having covered drugs available for payment under the Medicaid Drug Rebate program to 23.1% and 13% of the average manufacturer price for branded and generic drugs, respectively;</w:t>
      </w:r>
    </w:p>
    <w:p>
      <w:pPr>
        <w:spacing w:after="0" w:line="29"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a participating manufacturer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76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eligibility categories for certain individuals with income at or below 133% of the federal poverty level;</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known as the 340B drug pricing program;</w:t>
      </w:r>
    </w:p>
    <w:p>
      <w:pPr>
        <w:spacing w:after="0" w:line="75" w:lineRule="exact"/>
        <w:rPr>
          <w:rFonts w:ascii="Arial" w:cs="Arial" w:eastAsia="Arial" w:hAnsi="Arial"/>
          <w:sz w:val="18"/>
          <w:szCs w:val="18"/>
          <w:color w:val="auto"/>
        </w:rPr>
      </w:pPr>
    </w:p>
    <w:p>
      <w:pPr>
        <w:ind w:left="900" w:right="6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new requirements under the federal Open Payments program created as part of the Physician Payments Sunshine Act under Section 6002 of the Affordable Care Act and its implementing regulations, which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Applicable manufacturers and applicable group purchasing organizations must also report annually to the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Department of Health and Human Services ownership and investment interests held by physicians (as defined above) and their immediate family members. Covered manufacturers are required to submit data reports by the 90th day of each calendar year;</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have been judicial and Congressional challenges to certain aspects of the Affordable Care Act, and we expect such challenges and amendments to continue. In January, Congress voted to adopt a budget resolution for fiscal year 2017, or the Budget Resolution, that authorizes the implementation of legislation that would repeal portions of the Affordable Care Act. The Budget Resolution is not a law; however, it is widely viewed as the first step toward the passage of repeal legislation.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Congress also could consider subsequent legislation to replace elements of the Affordable Care Act that are repealed.</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 aggregate reductions to Medicare payments to providers of up to 2% per fiscal year, on average, through 2025, which went into effect in April 2013.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For example, based on scientific advice from the European Medicines Agency, or the EMA, we believe our current clinical development plan is likely to be insufficient to receive regulatory approval in Europe. During the next year, we plan to work with the EMA to formulate a development plan that may be more acceptable, but may be unsuccessful in doing so or such plan may not be feasible.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7, 2017, we had 32 full-time employees and one part-time employee. Of the full-time employees, 19 were primarily engaged in research and development activities and ten have an M.D. or Ph.D. degree. None of our employees are represented by labor unions or covered by collective bargaining agreements. We consider our relationship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dedicated a significant portion of our resources to our efforts to develop our product candidates, entinostat and SNDX-6352. We incurred research and development expenses of $31.7 million, $9.5 million and $10.2 million during the years ended December 31, 2016, 2015 and 2014, respectively. We anticipate that a significant portion of our operating expenses will continue to be related to research and development in 2017, as we continue to advance our product candidates through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were incorporated in Delaware in 2005. In 2011, we established a wholly owned subsidiary in the United Kingdom and in 2014 we established a wholly owned U.S. subsidiary. There have been no material activities for these entities to date. We currently operate in one segment.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w:t>
      </w:r>
    </w:p>
    <w:p>
      <w:pPr>
        <w:spacing w:after="0" w:line="46" w:lineRule="exact"/>
        <w:rPr>
          <w:sz w:val="20"/>
          <w:szCs w:val="20"/>
          <w:color w:val="auto"/>
        </w:rPr>
      </w:pPr>
    </w:p>
    <w:p>
      <w:pPr>
        <w:ind w:right="140" w:firstLine="8"/>
        <w:spacing w:after="0" w:line="261"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419-1400. Our corporate website address is www.syndax.com. Information contained on or accessible through our website is not a part of this Annual Report, and the inclusion of our website address in this Annual Report is an inactive textual reference only.</w:t>
      </w:r>
    </w:p>
    <w:p>
      <w:pPr>
        <w:spacing w:after="0" w:line="18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Arial" w:cs="Arial" w:eastAsia="Arial" w:hAnsi="Arial"/>
          <w:sz w:val="16"/>
          <w:szCs w:val="16"/>
          <w:u w:val="single" w:color="auto"/>
          <w:color w:val="auto"/>
        </w:rPr>
        <w:t>www.syndax.com</w:t>
      </w:r>
      <w:r>
        <w:rPr>
          <w:rFonts w:ascii="Arial" w:cs="Arial" w:eastAsia="Arial" w:hAnsi="Arial"/>
          <w:sz w:val="16"/>
          <w:szCs w:val="16"/>
          <w:color w:val="auto"/>
        </w:rPr>
        <w:t>, under “Investors,” free of charge, copies of these reports as soon as reasonably practicable after filing or furnishing these reports with the SEC.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year ended December 31, 2016, we reported a net loss of $44.5 million; and as of December 31, 2016, we had an accumulated deficit of $305.3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two product candidates, entinostat and SNDX-6352.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79" w:lineRule="exact"/>
        <w:rPr>
          <w:sz w:val="20"/>
          <w:szCs w:val="20"/>
          <w:color w:val="auto"/>
        </w:rPr>
      </w:pPr>
    </w:p>
    <w:p>
      <w:pPr>
        <w:jc w:val="both"/>
        <w:ind w:right="140"/>
        <w:spacing w:after="0" w:line="375"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entinostat or SNDX-6352 or develop new product candidates.</w:t>
      </w:r>
    </w:p>
    <w:p>
      <w:pPr>
        <w:spacing w:after="0" w:line="1"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ind w:right="20"/>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3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entinostat and SNDX-6352 and any future product candidates. Any efforts to secure additional financing may divert our management from our day-to-day activities, which may adversely affect our ability to develop and commercialize entinostat and SNDX-6352.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64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8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Entinostat and SNDX-6352 are currently our only product candidates. If we are unable to successfully complete clinical development of, obtain regulatory approval for and commercialize entinostat or SNDX-6352, our business prospects will be significantly harmed.</w:t>
      </w:r>
    </w:p>
    <w:p>
      <w:pPr>
        <w:spacing w:after="0" w:line="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Entinostat and SNDX-6352 are currently our only product candidates. Our financial success will depend substantially on our ability to effectively and profitably commercialize entinostat and SNDX-6352. In order to commercialize entinostat and SNDX-6352, we will be required to obtain regulatory approvals by establishing that each of them is sufficiently safe and effective. The clinical and commercial success of entinostat and SNDX-6352 will depend on a number of factors, including the following:</w:t>
      </w:r>
    </w:p>
    <w:p>
      <w:pPr>
        <w:spacing w:after="0" w:line="92" w:lineRule="exact"/>
        <w:rPr>
          <w:sz w:val="20"/>
          <w:szCs w:val="20"/>
          <w:color w:val="auto"/>
        </w:rPr>
      </w:pPr>
    </w:p>
    <w:p>
      <w:pPr>
        <w:ind w:left="900" w:right="4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commencement and completion of the planned Phase 1b/2 clinical trial of entinostat in combination with avelumab and the Phase 1 clinical trial of SNDX-6352;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completion of the planned Phase 1b/2 clinical trials of entinostat in combination with each of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atezolizumab;</w:t>
      </w:r>
    </w:p>
    <w:p>
      <w:pPr>
        <w:spacing w:after="0" w:line="130"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HR+, HER2- breast cancer, which may be significantly slower than we currently anticipate and will depend substantially upon the satisfactory performance of the ECOG-ACRIN and the NCI and other third-party contractors for entinostat;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SNDX-6352, and to develop, validate and maintain a commercially viable manufacturing process that is compliant with cGMP;</w:t>
      </w:r>
    </w:p>
    <w:p>
      <w:pPr>
        <w:spacing w:after="0" w:line="75" w:lineRule="exact"/>
        <w:rPr>
          <w:rFonts w:ascii="Arial" w:cs="Arial" w:eastAsia="Arial" w:hAnsi="Arial"/>
          <w:sz w:val="18"/>
          <w:szCs w:val="18"/>
          <w:color w:val="auto"/>
        </w:rPr>
      </w:pPr>
    </w:p>
    <w:p>
      <w:pPr>
        <w:ind w:left="900" w:right="50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availability of commercial supplies of therapeutics, including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w:t>
      </w:r>
      <w:r>
        <w:rPr>
          <w:rFonts w:ascii="Arial" w:cs="Arial" w:eastAsia="Arial" w:hAnsi="Arial"/>
          <w:sz w:val="16"/>
          <w:szCs w:val="16"/>
          <w:i w:val="1"/>
          <w:iCs w:val="1"/>
          <w:color w:val="auto"/>
        </w:rPr>
        <w:t>Keytruda</w:t>
      </w:r>
      <w:r>
        <w:rPr>
          <w:rFonts w:ascii="Arial" w:cs="Arial" w:eastAsia="Arial" w:hAnsi="Arial"/>
          <w:sz w:val="16"/>
          <w:szCs w:val="16"/>
          <w:color w:val="auto"/>
        </w:rPr>
        <w:t>, and clinical supplies of investigational drugs, to support the development and marketing of the entinostat therapy as a component of a combination drug regimen for entinostat;</w:t>
      </w:r>
    </w:p>
    <w:p>
      <w:pPr>
        <w:spacing w:after="0" w:line="29"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 and SNDX-6352.</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29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was reviewed and agreed upon by the FDA under an SPA agreement with the NCI. The SPA agreement allows for FDA evaluation of whether a clinical trial protocol could form the primary basis of an efficacy claim in support of a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8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If the Phase 3 clinical trial of entinostat in combination with Aromasin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5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patients. The trial will measure two primary endpoints of PFS, and overall survival. Based on information received from ECOG-ACRIN to date, PFS data is expected no sooner than the end of 2017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6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 xml:space="preserve">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6"/>
          <w:szCs w:val="16"/>
          <w:i w:val="1"/>
          <w:iCs w:val="1"/>
          <w:color w:val="auto"/>
        </w:rPr>
        <w:t>Aromasin</w:t>
      </w:r>
      <w:r>
        <w:rPr>
          <w:rFonts w:ascii="Arial" w:cs="Arial" w:eastAsia="Arial" w:hAnsi="Arial"/>
          <w:sz w:val="16"/>
          <w:szCs w:val="16"/>
          <w:color w:val="auto"/>
        </w:rPr>
        <w:t>, we cannot be certain that we will not observe these toxicities or unexpected side effects in the Phase 3 clinical trial.</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 xml:space="preserve">Faslodex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received </w:t>
      </w:r>
      <w:r>
        <w:rPr>
          <w:rFonts w:ascii="Arial" w:cs="Arial" w:eastAsia="Arial" w:hAnsi="Arial"/>
          <w:sz w:val="18"/>
          <w:szCs w:val="18"/>
          <w:i w:val="1"/>
          <w:iCs w:val="1"/>
          <w:color w:val="auto"/>
        </w:rPr>
        <w:t>Faslodex</w:t>
      </w:r>
      <w:r>
        <w:rPr>
          <w:rFonts w:ascii="Arial" w:cs="Arial" w:eastAsia="Arial" w:hAnsi="Arial"/>
          <w:sz w:val="18"/>
          <w:szCs w:val="18"/>
          <w:color w:val="auto"/>
        </w:rPr>
        <w:t xml:space="preserve"> and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297"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88"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The Phase 3 clinical trial of entinostat in combination with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in advanced HR+, HER2- breast cancer commenced in the second quarter of 2014, and ECOG-ACRIN expects to have PFS data from this trial no sooner than the end of the second half of 2017.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8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75"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Merck, Genentech, Merck KGaA and Pfizer and any future collaborators to perform satisfactorily under our agreements.</w:t>
      </w:r>
    </w:p>
    <w:p>
      <w:pPr>
        <w:spacing w:after="0" w:line="14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transferring to us certain data and materials, provide limited technical assistance and certain transitional services, and manufacture and supply us with a preliminary supply of SNDX-6352, which we expect will assist us with the development, manufacture and commercialization of SNDX-6352. If UCB fails to complete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7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 NDA or other submission or to obtain regulatory approval;</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and/or SNDX-6352 for a more limited patient population than we request, may grant approval contingent on the performance of costly post-marketing trials, may impose a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Aromasin, Keytruda, atezolizumab, avelumab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Cancer drugs have from time to time been in short supply and, because many or all of these cancer drugs are also widely used in cancer treatment currently, we will compete with a broad range of healthcare providers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other companies for availability of those drugs. Any shortage of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atezolizumab, avelumab or other drugs that we are testing in combination with entinostat could adversely affect our ability to timely conduct the Phase 3 clinical trial in advanced HR+, HER2- breast cancer and the Phase 1b/2 clinical trials in NSCLC, melanoma, ovarian cancer and TNBC, and if entinostat receives regulatory approval, to commercialize entinostat for treatment of advanced HR+, HER2- breast cancer, NSCLC, melanoma, ovarian cancer or TNBC. A shortage of supply may also result in an increase, which could be significant, in our costs of procuring </w:t>
      </w:r>
      <w:r>
        <w:rPr>
          <w:rFonts w:ascii="Arial" w:cs="Arial" w:eastAsia="Arial" w:hAnsi="Arial"/>
          <w:sz w:val="18"/>
          <w:szCs w:val="18"/>
          <w:i w:val="1"/>
          <w:iCs w:val="1"/>
          <w:color w:val="auto"/>
        </w:rPr>
        <w:t>Aromasin</w:t>
      </w:r>
      <w:r>
        <w:rPr>
          <w:rFonts w:ascii="Arial" w:cs="Arial" w:eastAsia="Arial" w:hAnsi="Arial"/>
          <w:sz w:val="18"/>
          <w:szCs w:val="18"/>
          <w:color w:val="auto"/>
        </w:rPr>
        <w:t>.</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preclinical, clinical or commercial quantities of drug substance or drug product, including entinostat and SNDX-6352. While we expect to continue to depend on third-party manufacturers for the foreseeable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We have received breakthrough therapy designation from the FDA for entinostat when used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its regulatory approval, limit the commercial scope of its approved use, or result in significant negative consequences following any marketing approval.</w:t>
      </w:r>
    </w:p>
    <w:p>
      <w:pPr>
        <w:spacing w:after="0" w:line="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from the European Medicines Agency,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3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Arial" w:cs="Arial" w:eastAsia="Arial" w:hAnsi="Arial"/>
          <w:sz w:val="18"/>
          <w:szCs w:val="18"/>
          <w:i w:val="1"/>
          <w:iCs w:val="1"/>
          <w:color w:val="auto"/>
        </w:rPr>
        <w:t>Keytruda</w:t>
      </w:r>
      <w:r>
        <w:rPr>
          <w:rFonts w:ascii="Arial" w:cs="Arial" w:eastAsia="Arial" w:hAnsi="Arial"/>
          <w:sz w:val="18"/>
          <w:szCs w:val="18"/>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and other therapies currently in Phase 3 clinical development such as abemaciclib, being developed by Eli Lilly and Company, and ribociclib and buparlisib, both of which are being developed by Novartis.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Limitation on coverage and reimbursement may impact the demand for, or the price of, and our ability to successfully commercialize entinostat or any other product candidates that we develop.</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Private payors often follow the CMS’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judicial and Congressional challenges to certain aspects of the Affordable Care Act, and we expect there will be additional challenges and amendments in the future. In January, Congress voted to adopt a budget resolution for fiscal year 2017, or the Budget Resolution, that authorizes the implementation of legislation that would repeal portions of the Affordable Care Act. The Budget Resolution is not a law; however, it is widely viewed as the first step toward the passage of repeal legislation.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Congress also could consider subsequent legislation to replace elements of the Affordable Care Act that are repealed. We cannot predict how the Affordable Care Act, its possible repeal, or any legislation that may be proposed to replace the Affordable Care Act will impact our business.</w:t>
      </w:r>
    </w:p>
    <w:p>
      <w:pPr>
        <w:spacing w:after="0" w:line="18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2025.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8" w:lineRule="exact"/>
        <w:rPr>
          <w:sz w:val="20"/>
          <w:szCs w:val="20"/>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87" w:lineRule="exact"/>
        <w:rPr>
          <w:sz w:val="20"/>
          <w:szCs w:val="20"/>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59" w:lineRule="exact"/>
        <w:rPr>
          <w:rFonts w:ascii="Arial" w:cs="Arial" w:eastAsia="Arial" w:hAnsi="Arial"/>
          <w:sz w:val="16"/>
          <w:szCs w:val="16"/>
          <w:color w:val="auto"/>
        </w:rPr>
      </w:pPr>
    </w:p>
    <w:p>
      <w:pPr>
        <w:ind w:left="900" w:right="34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4" w:lineRule="exact"/>
        <w:rPr>
          <w:rFonts w:ascii="Arial" w:cs="Arial" w:eastAsia="Arial" w:hAnsi="Arial"/>
          <w:sz w:val="18"/>
          <w:szCs w:val="18"/>
          <w:color w:val="auto"/>
        </w:rPr>
      </w:pPr>
    </w:p>
    <w:p>
      <w:pPr>
        <w:ind w:left="900" w:right="20" w:hanging="325"/>
        <w:spacing w:after="0" w:line="28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September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an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in September 2017, a competitor may develop a competing polymorphic form other than based on polymorph B, which could compete with polymorph B.</w:t>
      </w:r>
    </w:p>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portfolio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commercial success depends upon our ability to develop, manufacture, market and sell entinostat. In March 2007, we entered into a license, development and commercialization agreement, or the Bayer license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9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8"/>
        <w:spacing w:after="0" w:line="264"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9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 our licensors fail to maintain the patents and patent applications covering our product candidates, our competitors might be able to enter the market, which would harm our business.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We may also seek additional funding through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As of December 31, 2016, our executive officers, directors, holders of 5% or more of our capital stock and their respective affiliates beneficially own approximately 74%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6"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87" w:lineRule="exact"/>
        <w:rPr>
          <w:sz w:val="20"/>
          <w:szCs w:val="20"/>
          <w:color w:val="auto"/>
        </w:rPr>
      </w:pPr>
    </w:p>
    <w:p>
      <w:pPr>
        <w:ind w:left="900" w:hanging="325"/>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upon the earliest of: (i) the first fiscal year following the fifth anniversary of our IPO; (ii) the first fiscal year after our annual gross revenues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or more; (iii) the date on which we have, during the previous three-year period, issued more than $1.0 billion in non-convertible debt securities; or</w:t>
      </w:r>
    </w:p>
    <w:p>
      <w:pPr>
        <w:spacing w:after="0" w:line="32" w:lineRule="exact"/>
        <w:rPr>
          <w:sz w:val="20"/>
          <w:szCs w:val="20"/>
          <w:color w:val="auto"/>
        </w:rPr>
      </w:pPr>
    </w:p>
    <w:p>
      <w:pPr>
        <w:ind w:right="180" w:firstLine="8"/>
        <w:spacing w:after="0" w:line="261" w:lineRule="auto"/>
        <w:tabs>
          <w:tab w:leader="none" w:pos="3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end of any fiscal year in which the market value of our common stock held by non-affiliates exceeded $700 million as of the end of the second quarter of that fiscal year.</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7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5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headquarters is currently located in Waltham, Massachusetts, and consists of 12,207 square feet of leased office space under a lease that expires on March 1, 2022. We also have 4,039 square feet of leased office space in New York, New York, under a lease that expires on February 28, 2021. We believe that our existing facilities are sufficient for our needs for the foreseeable future. If we determine that additional or new facilities are needed in the future, we believe that sufficient options would be available to us on commercially reasonable terms.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 The following table sets forth the high and low closing sales prices per share of our common stock as reported on The NASDAQ Global Select Market for the periods indicated.</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2016</w:t>
            </w:r>
          </w:p>
        </w:tc>
        <w:tc>
          <w:tcPr>
            <w:tcW w:w="206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Low</w:t>
            </w:r>
          </w:p>
        </w:tc>
      </w:tr>
      <w:tr>
        <w:trPr>
          <w:trHeight w:val="210"/>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First Quarter (Beginning</w:t>
            </w: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 2016)</w:t>
            </w:r>
          </w:p>
        </w:tc>
        <w:tc>
          <w:tcPr>
            <w:tcW w:w="2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$16.60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 w:type="dxa"/>
            <w:vAlign w:val="bottom"/>
            <w:shd w:val="clear" w:color="auto" w:fill="CCEEFF"/>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or Exchange Act. The following graph shows a comparison from March 2, 2016 (the date our common stock commenced trading on the NASDAQ Global Select Market) through December 31, 2016, of the cumulative total return for our common stock, the NASDAQ Composite Index, and the NASDAQ Biotechnology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Index. The graph assumes an initial investment of $100 on March 2, 2016. The comparisons in the graph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211455</wp:posOffset>
            </wp:positionV>
            <wp:extent cx="4622165" cy="3413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216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700" w:firstLine="8"/>
        <w:spacing w:after="0" w:line="277" w:lineRule="auto"/>
        <w:tabs>
          <w:tab w:leader="none" w:pos="2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invested on 3/2/16 in stock or 2/29/16 in index, including reinvestment of dividends. Fiscalyear ending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2-Mar-16</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31-Mar-16</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30-Apr-16</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31-May-16</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30-Jun-16</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31-Jul-16</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31-Aug-16</w:t>
            </w: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30-Sep-16</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31-Oct-16</w:t>
            </w:r>
          </w:p>
        </w:tc>
        <w:tc>
          <w:tcPr>
            <w:tcW w:w="760" w:type="dxa"/>
            <w:vAlign w:val="bottom"/>
            <w:gridSpan w:val="4"/>
          </w:tcPr>
          <w:p>
            <w:pPr>
              <w:ind w:left="120"/>
              <w:spacing w:after="0"/>
              <w:rPr>
                <w:sz w:val="20"/>
                <w:szCs w:val="20"/>
                <w:color w:val="auto"/>
              </w:rPr>
            </w:pPr>
            <w:r>
              <w:rPr>
                <w:rFonts w:ascii="Arial" w:cs="Arial" w:eastAsia="Arial" w:hAnsi="Arial"/>
                <w:sz w:val="12"/>
                <w:szCs w:val="12"/>
                <w:b w:val="1"/>
                <w:bCs w:val="1"/>
                <w:color w:val="auto"/>
              </w:rPr>
              <w:t>30-Nov-16</w:t>
            </w:r>
          </w:p>
        </w:tc>
        <w:tc>
          <w:tcPr>
            <w:tcW w:w="100" w:type="dxa"/>
            <w:vAlign w:val="bottom"/>
          </w:tcPr>
          <w:p>
            <w:pPr>
              <w:spacing w:after="0"/>
              <w:rPr>
                <w:sz w:val="12"/>
                <w:szCs w:val="12"/>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w w:val="91"/>
              </w:rPr>
              <w:t>31-Dec-16</w:t>
            </w:r>
          </w:p>
        </w:tc>
      </w:tr>
      <w:tr>
        <w:trPr>
          <w:trHeight w:val="129"/>
        </w:trPr>
        <w:tc>
          <w:tcPr>
            <w:tcW w:w="2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Syndax Pharmaceuticals, Inc.</w:t>
            </w:r>
          </w:p>
        </w:tc>
        <w:tc>
          <w:tcPr>
            <w:tcW w:w="10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100.00</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114.08</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114.50</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82.08</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103.50</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118.17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126.33</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98.42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80.67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59.75</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color w:val="auto"/>
              </w:rPr>
              <w:t>NASDAQ Composite</w:t>
            </w:r>
          </w:p>
        </w:tc>
        <w:tc>
          <w:tcPr>
            <w:tcW w:w="1100" w:type="dxa"/>
            <w:vAlign w:val="bottom"/>
            <w:gridSpan w:val="2"/>
          </w:tcPr>
          <w:p>
            <w:pPr>
              <w:ind w:left="10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0"/>
              </w:rPr>
              <w:t>100.00</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106.98</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104.96</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108.85</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5"/>
              </w:rPr>
              <w:t>106.51</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0"/>
              </w:rPr>
              <w:t>113.48</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114.72</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0"/>
              </w:rPr>
              <w:t>116.91</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114.08</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117.06</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118.41</w:t>
            </w:r>
          </w:p>
        </w:tc>
      </w:tr>
      <w:tr>
        <w:trPr>
          <w:trHeight w:val="135"/>
        </w:trPr>
        <w:tc>
          <w:tcPr>
            <w:tcW w:w="2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NASDAQ Biotechnology</w:t>
            </w:r>
          </w:p>
        </w:tc>
        <w:tc>
          <w:tcPr>
            <w:tcW w:w="1100" w:type="dxa"/>
            <w:vAlign w:val="bottom"/>
            <w:gridSpan w:val="2"/>
            <w:shd w:val="clear" w:color="auto" w:fill="CCEEFF"/>
          </w:tcPr>
          <w:p>
            <w:pPr>
              <w:ind w:left="10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0"/>
              </w:rPr>
              <w:t>100.00</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103.10</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105.39</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108.64</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5"/>
              </w:rPr>
              <w:t>100.90</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0"/>
              </w:rPr>
              <w:t>111.50</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108.44</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0"/>
              </w:rPr>
              <w:t>110.93</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98.87</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105.03</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102.40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of March 7, 2017, we had approximately 34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In March 2016, we completed our initial public offering, or IPO, pursuant to a registration statement on Form S-1 (File No. 333-208861), which the SEC declared effective on March 2, 2016. In our IPO, we issued and sold 4,809,475 shares of common stock (inclusive of 409,475 shares of common stock sold by us pursuant to the partial exercise of an overallotment option granted to the underwriters in connection with the offering) at a public offering price of $12.00 per share. The aggregate net proceeds received by us from our IPO were $50.5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The managing underwriters for our IPO were Morgan Stanley &amp; Co. LLC, Citigroup Global Markets Inc., JPM Securities LLC, and Oppenheimer &amp; Co. Inc.</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has been no material change in the use of proceeds from our IPO as described in our final prospectus filed with the SEC pursuant to Rule 424(b)</w:t>
      </w:r>
    </w:p>
    <w:p>
      <w:pPr>
        <w:spacing w:after="0" w:line="46" w:lineRule="exact"/>
        <w:rPr>
          <w:sz w:val="20"/>
          <w:szCs w:val="20"/>
          <w:color w:val="auto"/>
        </w:rPr>
      </w:pPr>
    </w:p>
    <w:p>
      <w:pPr>
        <w:ind w:right="220" w:firstLine="8"/>
        <w:spacing w:after="0" w:line="255"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March 2, 2016. We invested the funds received in cash equivalents and other short-term investments in accordance with our investment policy. As of December 31, 2016, we have not used any of the proceeds from the IPO and as such, the entire amount of the net proceeds is included as cash, cash equivalents and short-term investments.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The following table sets forth our selected consolidated financial data. We derived the consolidated statement of operations data for the years ended December 31, 2016, 2015, and 2014 and the consolidated balance sheet data as of December 31, 2016 and 2015, from our audited consolidated financial statements, included elsewhere in this Annual Report on Form 10-K. We have derived the consolidated balance sheet data as of December 31, 2014 from our audited financial statements not included in this report.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on Form 10-K. The selected consolidated financial data in this section is not intended to replace our consolidated financial statements and the related notes thereto.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 of Operations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31,665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13,321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11,591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44,986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21,332</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(43,766)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(expense)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(19,828)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(1)</w:t>
            </w: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(47,070)</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(103,845)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loss per share attributable to common stockholders—basic and diluted</w:t>
            </w:r>
            <w:r>
              <w:rPr>
                <w:rFonts w:ascii="Arial" w:cs="Arial" w:eastAsia="Arial" w:hAnsi="Arial"/>
                <w:sz w:val="15"/>
                <w:szCs w:val="15"/>
                <w:color w:val="auto"/>
                <w:w w:val="90"/>
              </w:rPr>
              <w:t>(1)</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(1,519.27)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(453.02)</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14,619,716</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520" w:type="dxa"/>
            <w:vAlign w:val="bottom"/>
            <w:vMerge w:val="restart"/>
          </w:tcPr>
          <w:p>
            <w:pPr>
              <w:jc w:val="right"/>
              <w:ind w:right="2210"/>
              <w:spacing w:after="0"/>
              <w:rPr>
                <w:sz w:val="20"/>
                <w:szCs w:val="20"/>
                <w:color w:val="auto"/>
              </w:rPr>
            </w:pPr>
            <w:r>
              <w:rPr>
                <w:rFonts w:ascii="Arial" w:cs="Arial" w:eastAsia="Arial" w:hAnsi="Arial"/>
                <w:sz w:val="18"/>
                <w:szCs w:val="18"/>
                <w:color w:val="auto"/>
                <w:w w:val="99"/>
              </w:rPr>
              <w:t>78</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$ 105,330</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  86,489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12,091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98,144</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83,160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(2)</w:t>
            </w:r>
          </w:p>
        </w:tc>
        <w:tc>
          <w:tcPr>
            <w:tcW w:w="10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109,013</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89,903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319,113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146,853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(305,293)</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(259,675)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(159,801)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84,139</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(252,415)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(152,569)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308" w:lineRule="auto"/>
        <w:tabs>
          <w:tab w:leader="none" w:pos="460" w:val="left"/>
        </w:tabs>
        <w:numPr>
          <w:ilvl w:val="0"/>
          <w:numId w:val="47"/>
        </w:numPr>
        <w:rPr>
          <w:rFonts w:ascii="Arial" w:cs="Arial" w:eastAsia="Arial" w:hAnsi="Arial"/>
          <w:sz w:val="14"/>
          <w:szCs w:val="14"/>
          <w:color w:val="auto"/>
        </w:rPr>
      </w:pPr>
      <w:r>
        <w:rPr>
          <w:rFonts w:ascii="Arial" w:cs="Arial" w:eastAsia="Arial" w:hAnsi="Arial"/>
          <w:sz w:val="17"/>
          <w:szCs w:val="17"/>
          <w:color w:val="auto"/>
        </w:rPr>
        <w:t>See Note 4 to our consolidated financial statements included elsewhere herein for an explanation of the method used to compute basic and diluted net loss and net loss per share and the weighted-average number of shares used in the computation of the per share amounts.</w:t>
      </w:r>
    </w:p>
    <w:p>
      <w:pPr>
        <w:spacing w:after="0" w:line="51" w:lineRule="exact"/>
        <w:rPr>
          <w:rFonts w:ascii="Arial" w:cs="Arial" w:eastAsia="Arial" w:hAnsi="Arial"/>
          <w:sz w:val="14"/>
          <w:szCs w:val="14"/>
          <w:color w:val="auto"/>
        </w:rPr>
      </w:pPr>
    </w:p>
    <w:p>
      <w:pPr>
        <w:ind w:left="460" w:right="60" w:hanging="452"/>
        <w:spacing w:after="0" w:line="264"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 xml:space="preserve">Working capital and total assets for 2014 have been restated for the adoption of Accounting Standards Update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835-30): Simplifying the Presentation of Debt Issuance Costs. </w:t>
      </w:r>
      <w:r>
        <w:rPr>
          <w:rFonts w:ascii="Arial" w:cs="Arial" w:eastAsia="Arial" w:hAnsi="Arial"/>
          <w:sz w:val="18"/>
          <w:szCs w:val="18"/>
          <w:color w:val="auto"/>
        </w:rPr>
        <w:t>The impact of adoption was an increase of $83,000 in working capital and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$291,000 in total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clinical stage biopharmaceutical company developing an innovative pipeline of combination therapies in multiple cancer indications. Our lead product candidate, entinostat, is currently being evaluated in a Phase 3 clinical trial for HR+, HER2- breast cancer. Entinostat was granted Breakthrough Therapy designation by the FDA, following positive results from our Phase 2b clinical trial, ENCORE 301. We are developing entinostat, which has direct effects on both cancer cells and immune regulatory cells, and SNDX-6352, a monoclonal antibody that targets the colony stimulating factor-1 receptor, or CSF-1R, to enhance the body’s immune response on tumors that have shown sensitivity to immunotherapy. We are evaluating entinostat as a combination therapeutic in Phase 1b/2 clinical trials with Merck for NSCLC and melanoma; with Genentech for TNBC; and with Merck KGaA and Pfizer for ovarian cancer. We acquired the exclusive rights to SNDX-6352 in July 2016 and are evaluating SNDX-6352 in a single ascending dose Phase 1 clinical trial. We plan to continue to leverage the technical and business expertise of our management team and scientific collaborators to license, acquire and develop additional cancer therapies to expand our pipeline.</w:t>
      </w:r>
    </w:p>
    <w:p>
      <w:pPr>
        <w:spacing w:after="0" w:line="182"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On February 24, 2016, we effected a 1-for-1.25 reverse stock split of our outstanding common stock and convertible preferred stock; on June 3, 2014, we effected a 1-for-12.3 reverse stock split of our outstanding common stock and convertible preferred stock; and on November 18, 2013, we effective a 1-for-10 reverse stock split of our outstanding common stock and convertible preferred stock. Stockholders entitled to fractional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a result of the reverse stock splits received a cash payment in lieu of receiving fractional shares. All of our historical share and per share information shown in the accompanying financial statements and related notes have been retroactively adjusted to give effect to the reverse stock splits.</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March 2016, we completed our IPO, whereby we sold 4,809,475 shares of common stock at the initial public offering price of $12.00 per share, which included 409,475 shares issued pursuant to the underwriters’ partial exercise of their over-allotment option to purchase additional shares of common stock. We received net proceeds of $50.5 million from the offering, after deducting underwriting discounts and commissions and other offering costs. Our shares trade on the Nasdaq Global Select Market under the symbol “SNDX.”</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years ended December 31, 2016, 2015, and 2014, we reported a net loss of $44.5 million, $24.1 million and $19.8 million, respectively. As of December 31, 2016, we had an accumulated deficit of $305.3 million, which included non-cash charges for stock-based compensation, preferred stock accretion and extinguishment charges. As of December 31, 2016, we had cash, cash equivalents and short-term investments of $105.3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35" w:lineRule="exact"/>
        <w:rPr>
          <w:sz w:val="20"/>
          <w:szCs w:val="20"/>
          <w:color w:val="auto"/>
        </w:rPr>
      </w:pPr>
    </w:p>
    <w:p>
      <w:pPr>
        <w:ind w:left="900" w:right="3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E2112 is approximately 64% enrolled. Based upon current enrollment trends, ECOG-ACRIN anticipates enrollment could be completed and progression-free survival data available by the end of 2017.</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fourth quarter of 2016, we commenced the single ascending dose in the Phase 1 clinical trial of SNDX-6352 in healthy volunteers to determine the safety and pharmacokinetics of the anti-CSF-1R monoclonal antibody.</w:t>
      </w:r>
    </w:p>
    <w:p>
      <w:pPr>
        <w:spacing w:after="0" w:line="75" w:lineRule="exact"/>
        <w:rPr>
          <w:rFonts w:ascii="Arial" w:cs="Arial" w:eastAsia="Arial" w:hAnsi="Arial"/>
          <w:sz w:val="18"/>
          <w:szCs w:val="18"/>
          <w:color w:val="auto"/>
        </w:rPr>
      </w:pPr>
    </w:p>
    <w:p>
      <w:pPr>
        <w:ind w:left="900" w:right="20" w:hanging="325"/>
        <w:spacing w:after="0" w:line="273"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We have completed enrollment of the three cohorts in the first stage of the Phase 2 component of ENCORE 601 in patients with melanoma and NSCLC. ENCORE 601 is an open-label, Phase 1b/2 clinical trial evaluating the combination of entinostat plus Merck’s anti-PD-1 blocking therapy, </w:t>
      </w:r>
      <w:r>
        <w:rPr>
          <w:rFonts w:ascii="Arial" w:cs="Arial" w:eastAsia="Arial" w:hAnsi="Arial"/>
          <w:sz w:val="17"/>
          <w:szCs w:val="17"/>
          <w:i w:val="1"/>
          <w:iCs w:val="1"/>
          <w:color w:val="auto"/>
        </w:rPr>
        <w:t>Keytruda</w:t>
      </w:r>
      <w:r>
        <w:rPr>
          <w:rFonts w:ascii="Arial" w:cs="Arial" w:eastAsia="Arial" w:hAnsi="Arial"/>
          <w:sz w:val="17"/>
          <w:szCs w:val="17"/>
          <w:color w:val="auto"/>
        </w:rPr>
        <w:t>, in patients with melanoma and NSCLC to provide an initial efficacy signal across three defined patient populations. In February 2017, the melanoma cohort of the 601 trial met the pre-specified objective response threshold; and we progressed to the second stage of the trial. This cohort will now enroll an additional 21 patients. Data from Stage 1 of the other two cohorts is still maturing, and we expect to have a decision regarding a go/no go decision into Stage 2 for these cohorts in the first half of 2017.</w:t>
      </w:r>
    </w:p>
    <w:p>
      <w:pPr>
        <w:spacing w:after="0" w:line="83" w:lineRule="exact"/>
        <w:rPr>
          <w:rFonts w:ascii="Arial" w:cs="Arial" w:eastAsia="Arial" w:hAnsi="Arial"/>
          <w:sz w:val="17"/>
          <w:szCs w:val="17"/>
          <w:color w:val="auto"/>
        </w:rPr>
      </w:pPr>
    </w:p>
    <w:p>
      <w:pPr>
        <w:ind w:left="90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June 2016, we initiated the Phase 1b portion of ENCORE 602 in patients with TNBC. This phase of the study completed enrollment during the fourth quarter of 2016, establishing the 5 mg weekly dose of entinostat safe to go forward in the recently initiated phase 2 portion of the trial.</w:t>
      </w:r>
    </w:p>
    <w:p>
      <w:pPr>
        <w:spacing w:after="0" w:line="2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collaboration with Merck KGaA and Pfizer, we initiated ENCORE 603 in January 2017 and expect safety data from the Phase 1b safety portion during the first half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2016 and 2015 have been solely derived from our license agreement with KHK under which we granted KHK an exclusive license to develop and commercialize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 We did not have any revenue for the year ended December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76" w:lineRule="exact"/>
        <w:rPr>
          <w:sz w:val="20"/>
          <w:szCs w:val="20"/>
          <w:color w:val="auto"/>
        </w:rPr>
      </w:pPr>
    </w:p>
    <w:p>
      <w:pPr>
        <w:ind w:left="900" w:right="26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CROs, that conduct our clinical trials;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December 31, 2016, we have incurred $103.4 million in research and development expenses.</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amounts borrowed under our term loan facility, capital leases and convertible notes.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change in fair value of the common stock warrant liability was associated with a warrant to purchase common stock issued in connection with a license agreement and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consolidated statement of operations. As of the closing of our IPO, the anti-dilution provision of the warrant expired; and the warrant liability was reclassified to additional paid-in capital.</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3 to our consolidated financial statements included elsewhere in this Annual Report on Form 10-K,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generated revenue through license fees for the development and commercialization our product candidate, entinostat. We make judgments that affect the periods over which we recognize revenue. We recognize revenue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we identify the deliverables included within the agreement and evaluate which deliverables represent separate units of accounting based on the achievement of certain criteria including whether the deliverable has stand-alone value to the collaborator. Upfront payments received in connection with licenses of our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We periodically review our estimated periods of performance based on the progress under each arrangement and account for the impact of any changes in estimated periods of performance on a prospective basis.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CROs and investigative sites in connection with clinical studies and to vendors related to product manufacturing and development of clinical supplies.</w:t>
      </w:r>
    </w:p>
    <w:p>
      <w:pPr>
        <w:spacing w:after="0" w:line="16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issue stock-based awards to employees and non-employees, generally in the form of stock options. We account for our stock-based awards in accordance with FASB Accounting Standards Codification, or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or ASC 718. ASC 718 requires all stock-based payments to employees, including grants of employee stock options and modifications to existing stock options, to be recognized in the consolidated statement of operations based on their fair values on the date of grant. We account for stock-based awards to non-employees in accordance with FASB ASC 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which requires the fair value of the award to be re-measured at fair value as the award vests. We recognize the compensation cost of service-based awards on a straight-line basis over the vesting period of the award for employees and non-employees, which is generally four years.</w:t>
      </w:r>
    </w:p>
    <w:p>
      <w:pPr>
        <w:spacing w:after="0" w:line="189"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In determining the exercise prices for options granted, the Board has considered the fair value of the common stock as of each grant date. Prior to our IPO, the fair value of the common stock underlying the stock options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 Following the completion of the IPO, stock option values are determined based on the market price of our common stock on the NASDAQ Global Select Market.</w:t>
      </w:r>
    </w:p>
    <w:p>
      <w:pPr>
        <w:spacing w:after="0" w:line="17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the input of highly subjective assumptions, including the fair value of the underlying common stock, the expected volatility of the price of our common stock, the expected term of the option, and the risk-free interest rate. Prior to our IPO, we were a privately-held company and lacked company-specific historical and implied volatility information. Therefore, we estimated our expected volatility based on the historical volatility of our publicly traded peer companies. We expect to continue to do so until such time as we have adequate historical data regarding the volatility of our traded stock price following our IPO. We estimate the expected term of the options using the “simplified method,” whereby the expected life equals the average of the vesting term and the original contractual term of the option. The risk-free interest rate is determined by reference to U.S. Treasury bond yields at or near the time of grant for time periods similar to the expected term of the award.</w:t>
      </w:r>
    </w:p>
    <w:p>
      <w:pPr>
        <w:spacing w:after="0" w:line="192"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are also required to estimate forfeitures at the time of grant and revise estimates in subsequent periods if actual forfeitures differ from estimates. We use historical data to estimate pre-vesting option forfeitures and record stock-based compensation expense only for those awards that are expected to vest. To the extent that actual forfeitures differ from our estimates, the difference is recorded as a cumulative adjustment in the period the estimates were revised. Stock-based compensation expense recognized in the consolidated financial statements is based on awards that are ultimately expected to vest.</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See Note 14 to our consolidated financial statements included elsewhere in this Annual Report on Form 10-K for additional information on our stock-based compensation.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recorded common stock warrants issued in connection with license agreements as derivative financial liabilities. These warrants were initially recorded at fair value with gains and losses arising from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fair value recognized in the consolidated statement of operations at each period end while such instruments are outstanding. The liabilities were valued using a Black-Scholes option-pricing model. The significant assumptions used in estimating the fair value of our warrant liabilities include the exercise price, volatility of the stock underlying the warrant, risk-free interest rate, estimated fair value of the stock underlying the warrant, and the estimated life of the warrant.</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2014, we recorded a derivative liability related to the 2014 term loans for the contingent success fee owed upon the occurrence of an IPO or other change of control events. The estimated fair value was determined using a PWERM approach. The fair value of the derivative was re-measured at each balance sheet date until the liability was settled and any changes in the fair value of the derivative liability were recorded in other income (expense) in the consolidated statement of operations. The term loans were paid in full in October 2015; however, the liability for the success fee survived the repayment of the term loans. Upon completion of the IPO, the success fee is no longer considered a derivative liability. The success fee of $0.2 million is payable by June 2018 and included in other long-term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4"/>
                <w:szCs w:val="14"/>
                <w:color w:val="auto"/>
              </w:rPr>
            </w:pPr>
          </w:p>
        </w:tc>
        <w:tc>
          <w:tcPr>
            <w:tcW w:w="11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87"/>
              </w:rPr>
              <w:t>Increase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2"/>
              </w:rPr>
              <w:t>(Decrease)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9,549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23,846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(43,766)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(20,513)</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(23,253)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(44,472)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(24,119)</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(20,353)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2016, license fees increased $0.6 million, or 95%, to $1.2 million compared to $0.6 million in the prior year.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the year ended December 31, 2016, our total research and development expenses increased $22.1 million, or 232%, to $31.7 million from $9.5 million for the prior year. These increases were primarily due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increased patient accrual costs in E2112, higher expenses associated with the Phase 2 expansion of ENCORE 601, and the commencement of ENCORE 602 as well which represented an overall all increase in clinical and research activities of $13.5 million as well as the $5 million upfront payment related to expanding the pipeline with SNDX-6352. In addition, there were also increases in employee compensation costs of $2.4 million, legal and consulting activities of $0.6 million, facilities costs of $0.4 million and travel costs of 0.1 million. The increase in employee compensation costs was primarily due to on-boarding expenses of $2.2 million related to 14 additional employees, restructuring costs of $0.1 million, and non-cash stock-based compensation expense of $0.1 million.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1060" w:type="dxa"/>
            <w:vAlign w:val="bottom"/>
            <w:gridSpan w:val="2"/>
          </w:tcPr>
          <w:p>
            <w:pPr>
              <w:jc w:val="center"/>
              <w:ind w:left="244"/>
              <w:spacing w:after="0"/>
              <w:rPr>
                <w:sz w:val="20"/>
                <w:szCs w:val="20"/>
                <w:color w:val="auto"/>
              </w:rPr>
            </w:pPr>
            <w:r>
              <w:rPr>
                <w:rFonts w:ascii="Arial" w:cs="Arial" w:eastAsia="Arial" w:hAnsi="Arial"/>
                <w:sz w:val="14"/>
                <w:szCs w:val="14"/>
                <w:b w:val="1"/>
                <w:bCs w:val="1"/>
                <w:color w:val="auto"/>
                <w:w w:val="87"/>
              </w:rPr>
              <w:t>Increase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60" w:type="dxa"/>
            <w:vAlign w:val="bottom"/>
            <w:gridSpan w:val="2"/>
          </w:tcPr>
          <w:p>
            <w:pPr>
              <w:jc w:val="center"/>
              <w:ind w:left="244"/>
              <w:spacing w:after="0"/>
              <w:rPr>
                <w:sz w:val="20"/>
                <w:szCs w:val="20"/>
                <w:color w:val="auto"/>
              </w:rPr>
            </w:pPr>
            <w:r>
              <w:rPr>
                <w:rFonts w:ascii="Arial" w:cs="Arial" w:eastAsia="Arial" w:hAnsi="Arial"/>
                <w:sz w:val="14"/>
                <w:szCs w:val="14"/>
                <w:b w:val="1"/>
                <w:bCs w:val="1"/>
                <w:color w:val="auto"/>
                <w:w w:val="92"/>
              </w:rPr>
              <w:t>(Decrease)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$25,236</w:t>
            </w:r>
          </w:p>
        </w:tc>
        <w:tc>
          <w:tcPr>
            <w:tcW w:w="4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$5,957</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$19,279</w:t>
            </w:r>
          </w:p>
        </w:tc>
        <w:tc>
          <w:tcPr>
            <w:tcW w:w="460" w:type="dxa"/>
            <w:vAlign w:val="bottom"/>
            <w:vMerge w:val="continue"/>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6,429</w:t>
            </w:r>
          </w:p>
        </w:tc>
        <w:tc>
          <w:tcPr>
            <w:tcW w:w="4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3,592</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2,837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31,665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9,549</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22,116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the year ended December 31, 2016, our total general and administrative expenses increased $1.7 million, or 15%, to $13.3 million, from $11.6 million for the prior year. The increase in general and administrative expenses was primarily due to increases in employee compensation of $1.3 million, directors and officers insurance and other costs related to being a public company of $1.0 million, and facilities costs of $0.2 million. These increases were partially offset by decreases in legal and consulting expenses of $0.8 million primarily due to lower patent legal costs and lower spending related to market research during 2016 compared to 2015. The increase in employee compensation of $1.3 million was due to increased salary expense of $1.1 million due to increased headcount and non-cash charges related to stock-based compensation of $0.8 million. These increases were partially offset by a decrease in restructuring costs of $0.6 million.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 ended December 31, 2016, interest income (expense), net, increased $2.4 million from the prior year. The increase was primarily due to interest earned on our cash, cash equivalents and short-term investments of $0.9 million in 2016 compared to $0.5 million in 2015, which increased as a result of the $50.5 million of net proceeds from our IPO in March 2016 and $79.6 million of net proceeds from our Series C-1 preferred stock financing during the second and third quarters of 2015. In addition, for 2015, interest income (expense), net, included interest expense on the $9.0 million of term loans that were funded in December 2014. The term loans were paid in full in October 2015, and there was no interest-bearing debt outstanding as of December 31, 2016 and December 31, 2015.</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decrease in expense of $0.5 million in the change in fair value of common stock warrant liability for the year ended December 31, 2016, compared to the prior year was due to the expiration of the anti-dilution provision contained in the Bayer warrant as a result of the closing of our IPO during the first quarter of 2016, upon which the warrant liability was reclassified to additional paid-in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20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gridSpan w:val="2"/>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  627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10,175</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11,591</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(20,513)</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(21,332)</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50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Interest (expense) income, net</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1,125</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3,944</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41</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5,110</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(24,119</w:t>
            </w:r>
          </w:p>
        </w:tc>
        <w:tc>
          <w:tcPr>
            <w:tcW w:w="2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(19,828</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4,291</w:t>
            </w:r>
          </w:p>
        </w:tc>
        <w:tc>
          <w:tcPr>
            <w:tcW w:w="50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2015, we recognized license fees of $0.6 million derived from the KHK license agreement. The arrangement consideration of $17.3 million was allocated to the license unit of accounting and will be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 ended December 31, 2015, our total research and development expenses decreased $0.6 million, or 6%, to $9.5 million from $10.2 million for the prior year. Research and development for the year ended December 31, 2014, included the achievement of a $2.0 million development milestone under the license agreement with Bayer Pharma AG (formerly known as Bayer Schering Pharma AG), or Bayer, and the expenses related to the suspension of the planned 305 clinical trial in the third quarter of 2014. In addition, for the year ended December 31, 2015, spending related to the Phase 3 clinical trial of entinostat increased $0.8 million, expenses related to producing entinostat and placebo for clinical trials increased by $0.5 million, spending related to the ENCORE 601 trial increased $0.8 million and employee compensation costs increased $0.5 million. The increase in employee compensation costs was primarily due to non-cash charges related to stock-based compensation.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Years Ended</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4"/>
                <w:szCs w:val="14"/>
                <w:color w:val="auto"/>
              </w:rPr>
            </w:pPr>
          </w:p>
        </w:tc>
        <w:tc>
          <w:tcPr>
            <w:tcW w:w="17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$(1,284)</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2,934</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658</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10,175</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(626)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the year ended December 31, 2015, our total general and administrative expenses increased $0.4 million, or 4%, to $11.6 million, from $11.2 million for the prior year. The increase in general and administrative expenses was primarily due to the increases in compensation costs of $3.0 million and legal and consulting costs of $1.5 million for the year ended December 31, 2015, which was partially offset by the write-off of previously capitalized costs of $4.3 million incurred in connection with preparing for an IPO in September 2014. The increase in compensation costs was due to costs related to an increase in headcount as well as employee termination costs of $1.3 million, including $0.7 million of non-cash charges related to stock-based compensation. The increase in legal and consulting costs was primarily related to business development activities and intellectual property and trademark filings.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year ended December 31, 2015, interest expense, net, increased $1.1 million from the prior year. The increase was primarily due to interest expense on the $9.0 million of term loans that were funded in September and December 2014.</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increase in expense of $3.9 million in the change in fair value of common stock warrant liability for the year ended December 31, 2015 compared to the prior year was due to an increase in the fair value of the Bayer common stock warrant liability. At each period end, the fair value of the outstanding common stock warrant liability is re-measured, and the change in the fair value is recorded in other income (expense) in the consolidated statement of operations. Upon the completion of our IPO, the warrant was reclassified to additional paid-in capital.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2016, we completed our IPO whereby we sold 4,809,475 shares of our common stock at the price of $12.00 per share, resulting in total net proceeds of $50.5 million, after deducting underwriting discounts and commissions and offering expenses. Since our inception and through December 31, 2016, our operations have been financed primarily by net proceeds from the sale of convertible preferred stock and convertible debt securities and proceeds from our license agreements. As of December 31, 2016, our cash, cash equivalents and short-term investments were $105.3 million. We believe that our existing cash, cash equivalents and short-term investments will be sufficient to fund our projected operating expenses and capital expenditure requirements for at least the next 12 months.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7"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58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2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As of December 31, 2016, we had an accumulated deficit of $305.3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(35,157)</w:t>
            </w:r>
          </w:p>
        </w:tc>
        <w:tc>
          <w:tcPr>
            <w:tcW w:w="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(18,380)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(61,669)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54,202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77,267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12,410</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13,170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Net cash used in operating activities for the year ended December 31, 2016 was $35.2 million and primarily consisted of our net loss of $38.1 million adjusted for non-cash items including stock-based compensation of $4.7 million and the change in fair value of warrants of $1.7 million and a net increase in operating assets and liabilities of $2.9 million. The significant items in the increase in operating assets and liabilities include an increase in prepaid expenses and other assets of $1.6 million and a decrease in deferred revenue of $1.2 million partially offset by increases in accounts payable of $0.9 million and accrued expenses and other liabilities of $4.8 million.</w:t>
      </w:r>
    </w:p>
    <w:p>
      <w:pPr>
        <w:spacing w:after="0" w:line="18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Net cash used in operating activities for the year ended December 31, 2015 was $2.4 million and primarily consisted of our net loss of $17.0 million adjusted for non-cash items including stock-based compensation of $3.9 million, the change in fair value of warrants of $2.1 million, amortization of debt discount and debt issuance costs of $0.8 million, and amortization and accretion of investments of $0.3 million and a net increase in operating assets and liabilities of $14.6 million. The significant items in the increase in operating assets and liabilities include increases in deferred revenue of $16.7 million and accounts payable of $1.0 million partially offset by an increase in prepaid expenses and other assets of $1.2 million and a decrease in accrued expenses and other liabilities of $1.9 million. The increase in deferred revenue of $16.7 million was due to the proceeds we received during the first quarter of 2015 from the KHK license agreement related to the upfront license fee of $17.3 million, net of license fee revenue recognized during the year ended December 31, 2015.</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for the year ended December 31, 2014 was $14.4 million and primarily consisted of our net loss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of $14.9 million adjusted for non-cash items including stock-based compensation of $2.3 million, and the write-off of deferred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postponed IPO, partially offset by the change in fair of warrants of $1.8 million and a net increase in operating assets and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The significant items in the increase in operating assets and liabilities include an increase an increase in accrued expenses and other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 million, partially offset by a decrease in accounts payable of $0.7 million.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cash used in investing activities for the year ended December 31, 2016 was $18.4 million and was primarily due to the purchase of $158.3 million of available-for-sale marketable securities partially offset by $140.3 million in proceeds from the maturities of available-for-sale marketable securities, purchases of property and equipment of $0.3 million and an increase in restricted cash of $0.1 million.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Net cash used in investing activities for the year ended December 31, 2015 was $61.7 million and was primarily due to the purchase of $102.0 million of available-for-sale marketable securities partially offset by $40.5 million in proceeds from the maturities of available-for-sale marketable securities and an increase in restricted cash of $0.1 million.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Net cash provided by investing activities for the year ended December 31, 2014 was $1.9 million and was primarily due to the $5.3 million in proceeds from the maturities of available-for-sale marketable securities partially offset by the purchase of $3.4 million of available-for-sale marketable securities.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$54.2 million and was primarily due to the $52.1 million of proceeds from our IPO, net of underwriting discounts and commissions of $4.0 million and other direct costs of $1.5 million, and $2.1 million of proceeds from stock option exercises.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2015 was $77.3 million and was primarily due to the proceeds from the KHK license agreement and stock purchase agreement with KHK, of which $7.7 million related to the issuance of Series B-1 convertible preferred stock, and proceeds from the Series C-1 financings of $79.6 million, net of $0.4 million of issuance costs, partially offset by the $9.0 million early repayment of the term loans during the fourth quarter of 2015.</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2014 was $12.4 million and was primarily due to the $9.0 million proceeds from the term loans and $5.0 million from the issuance of convertible debt in the form of convertible notes, partially offset by $1.6 million of deferred issuance costs related to preparing for an IPO in 2014 and debt issuances.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significant contractual obligations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3 to 5</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1 Year</w:t>
            </w: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for office space</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$2,518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$1,087</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$979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lease for office equipment</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for office equipment</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2,538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1,096</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91" w:lineRule="auto"/>
        <w:tabs>
          <w:tab w:leader="none" w:pos="460" w:val="left"/>
        </w:tabs>
        <w:numPr>
          <w:ilvl w:val="0"/>
          <w:numId w:val="53"/>
        </w:numPr>
        <w:rPr>
          <w:rFonts w:ascii="Arial" w:cs="Arial" w:eastAsia="Arial" w:hAnsi="Arial"/>
          <w:sz w:val="14"/>
          <w:szCs w:val="14"/>
          <w:color w:val="auto"/>
        </w:rPr>
      </w:pPr>
      <w:r>
        <w:rPr>
          <w:rFonts w:ascii="Arial" w:cs="Arial" w:eastAsia="Arial" w:hAnsi="Arial"/>
          <w:sz w:val="16"/>
          <w:szCs w:val="16"/>
          <w:color w:val="auto"/>
        </w:rPr>
        <w:t>In December 2013, we entered into a 40-month non-cancelable operating lease for office space in Waltham, Massachusetts, that expires on April 10, 2017. In September 2016, we entered into a new five-year operating lease for office space in Waltham, Massachusetts, with a lease commencement date of March 1, 2017. We have the right to terminate the Waltham lease after three years as long as proper notice is given and a termination fee of $55,000 is paid on the lease termination date. The landlord also has the right to terminate the Waltham least after three years as long as proper notice is given. In December 2015, we entered into a new 62-month building lease for office space in New York, New York, which commenced on January 1, 2016. We have the right to terminate the New York lease after 38 months as long as proper notice is given and a termination fee equal to three months’ rent is paid on the lease termination date. The minimum lease payments above do not include any related common area maintenance charges or real estate taxes.</w:t>
      </w:r>
    </w:p>
    <w:p>
      <w:pPr>
        <w:spacing w:after="0" w:line="72" w:lineRule="exact"/>
        <w:rPr>
          <w:rFonts w:ascii="Arial" w:cs="Arial" w:eastAsia="Arial" w:hAnsi="Arial"/>
          <w:sz w:val="14"/>
          <w:szCs w:val="14"/>
          <w:color w:val="auto"/>
        </w:rPr>
      </w:pPr>
    </w:p>
    <w:p>
      <w:pPr>
        <w:ind w:left="460" w:hanging="452"/>
        <w:spacing w:after="0"/>
        <w:tabs>
          <w:tab w:leader="none" w:pos="460" w:val="left"/>
        </w:tabs>
        <w:numPr>
          <w:ilvl w:val="0"/>
          <w:numId w:val="53"/>
        </w:numPr>
        <w:rPr>
          <w:rFonts w:ascii="Arial" w:cs="Arial" w:eastAsia="Arial" w:hAnsi="Arial"/>
          <w:sz w:val="15"/>
          <w:szCs w:val="15"/>
          <w:color w:val="auto"/>
        </w:rPr>
      </w:pPr>
      <w:r>
        <w:rPr>
          <w:rFonts w:ascii="Arial" w:cs="Arial" w:eastAsia="Arial" w:hAnsi="Arial"/>
          <w:sz w:val="18"/>
          <w:szCs w:val="18"/>
          <w:color w:val="auto"/>
        </w:rPr>
        <w:t>In February 2016, we entered into a five-year non-cancelable operating lease for office equipment.</w:t>
      </w:r>
    </w:p>
    <w:p>
      <w:pPr>
        <w:spacing w:after="0" w:line="130" w:lineRule="exact"/>
        <w:rPr>
          <w:rFonts w:ascii="Arial" w:cs="Arial" w:eastAsia="Arial" w:hAnsi="Arial"/>
          <w:sz w:val="15"/>
          <w:szCs w:val="15"/>
          <w:color w:val="auto"/>
        </w:rPr>
      </w:pPr>
    </w:p>
    <w:p>
      <w:pPr>
        <w:ind w:left="460" w:right="140" w:hanging="452"/>
        <w:spacing w:after="0" w:line="27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8"/>
          <w:szCs w:val="18"/>
          <w:color w:val="auto"/>
        </w:rPr>
        <w:t>In December 2013, we entered into a five-year non-cancelable lease for office equipment, which is accounted for as a capital lease. The leased asset is included in property, plant and equipment, at cost.</w:t>
      </w:r>
    </w:p>
    <w:p>
      <w:pPr>
        <w:spacing w:after="0" w:line="17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contractual obligations table does not include any potential contingent payments upon the achievement by us of clinical, regulatory and commercial events, as applicable, or royalty payments we may be required to make under license or collaboration agreements we have entered into with various entities pursuant to which we have in-licensed certain intellectual property. See “Business—Collaborations,” “Business—License Agreements” and “Business—In-Licensed Intellectual Property” for additional information. The table also excludes potential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payments we may be required to make under manufacturing agreements as the timing of when these payments will actually be made is uncertain and the payments are contingent upon the initiation and completion of future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December 31, 2016, we had federal and state tax net operating loss carryforwards of $36.0 million and $27.5 million, respectively. The federal and state net operating loss carryforwards expire at various dates through 2036. At December 31, 2016, we had available income tax credits of $2.0 million, which are available to reduce future income taxes, if any. These income tax credits begin to expire in 2021.</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non-binding stockholder advisory votes on executive compensation or golden parachute arrangements;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taken advantage of reduced reporting burdens in this Annual Report on Form 10-K. In particular, in this Annual Report on Form 10-K, we have not included all of the executive compensation related information that would be required if we were not an emerging growth company. We may take advantage of these exemptions for up to five years or such earlier time that we are no longer an emerging growth company. We would cease to be an emerging growth company if we have more than $1.0 billion in annual revenues as of the end of any fiscal year, if we are deemed to be a large accelerated filer under the rules of the Securities and Exchange Commission, or SEC, or if we issue more than $1.0 billion of non- convertible debt over a three-year period.</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2016, we had cash equivalents of $23.8 million, consisting of overnight investments, interest-bearing money market funds and highly rated corporate bonds, and short-term investments of $81.5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w:t>
      </w:r>
    </w:p>
    <w:p>
      <w:pPr>
        <w:spacing w:after="0" w:line="3"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2016,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This Annual Report on Form 10-K does not include a report of management’s assessment regarding our internal control over financial reporting (as defined in Rule 13a-15(f) under the Exchange Act) or an attestation report of our independent registered accounting firm due to a transition period established by rules of the Securities and Exchange Commission for newly public companies. Additionally, our auditors will not be required to formally opine on the effectiveness of our internal control over financial reporting pursuant to Section 404 until we are no longer an “emerging growth company” as defined in the JOBS Act as we have taken advantage of the exemptions available to us through the JOBS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“Executive Officers” and “The Board of Directors and Its Committees” in our 2017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2017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2017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“Certain Relationships and Related Party Transactions” in our 2017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“Independent Registered Public Accounting Firm Fees” in our 2017 Proxy Statement.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portion of Item 15 is set forth under Item 8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exhibits required to be filed as part of this Annual Report on Form 10-K are listed in the Exhibit Index attached hereto and are filed or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180"/>
              <w:spacing w:after="0"/>
              <w:rPr>
                <w:sz w:val="20"/>
                <w:szCs w:val="20"/>
                <w:color w:val="auto"/>
              </w:rPr>
            </w:pPr>
            <w:r>
              <w:rPr>
                <w:rFonts w:ascii="Arial" w:cs="Arial" w:eastAsia="Arial" w:hAnsi="Arial"/>
                <w:sz w:val="18"/>
                <w:szCs w:val="18"/>
                <w:b w:val="1"/>
                <w:bCs w:val="1"/>
                <w:color w:val="auto"/>
              </w:rPr>
              <w:t>SYNDAX PHARMACEUTICALS,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March 14, 2017</w:t>
            </w:r>
          </w:p>
        </w:tc>
        <w:tc>
          <w:tcPr>
            <w:tcW w:w="7640" w:type="dxa"/>
            <w:vAlign w:val="bottom"/>
            <w:gridSpan w:val="2"/>
          </w:tcPr>
          <w:p>
            <w:pPr>
              <w:ind w:left="2180"/>
              <w:spacing w:after="0"/>
              <w:rPr>
                <w:sz w:val="20"/>
                <w:szCs w:val="20"/>
                <w:color w:val="auto"/>
              </w:rPr>
            </w:pPr>
            <w:r>
              <w:rPr>
                <w:rFonts w:ascii="Arial" w:cs="Arial" w:eastAsia="Arial" w:hAnsi="Arial"/>
                <w:sz w:val="18"/>
                <w:szCs w:val="18"/>
                <w:color w:val="auto"/>
              </w:rPr>
              <w:t>By:  /s/  Briggs W. Morrison, M.D.</w:t>
            </w:r>
          </w:p>
        </w:tc>
      </w:tr>
      <w:tr>
        <w:trPr>
          <w:trHeight w:val="195"/>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Briggs W. Morrison, M.D.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Briggs W. Morrison, M.D.</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Briggs W. Morrison, M.D.</w:t>
            </w:r>
          </w:p>
        </w:tc>
        <w:tc>
          <w:tcPr>
            <w:tcW w:w="100" w:type="dxa"/>
            <w:vAlign w:val="bottom"/>
          </w:tcPr>
          <w:p>
            <w:pPr>
              <w:spacing w:after="0"/>
              <w:rPr>
                <w:sz w:val="19"/>
                <w:szCs w:val="19"/>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Richard P. Shea</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Financial Officer and Treasurer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85"/>
              </w:rPr>
              <w:t>Richard P. Shea</w:t>
            </w:r>
          </w:p>
        </w:tc>
        <w:tc>
          <w:tcPr>
            <w:tcW w:w="100" w:type="dxa"/>
            <w:vAlign w:val="bottom"/>
          </w:tcPr>
          <w:p>
            <w:pPr>
              <w:spacing w:after="0"/>
              <w:rPr>
                <w:sz w:val="15"/>
                <w:szCs w:val="15"/>
                <w:color w:val="auto"/>
              </w:rPr>
            </w:pPr>
          </w:p>
        </w:tc>
        <w:tc>
          <w:tcPr>
            <w:tcW w:w="41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w:t>
            </w:r>
          </w:p>
        </w:tc>
        <w:tc>
          <w:tcPr>
            <w:tcW w:w="21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2100" w:type="dxa"/>
            <w:vAlign w:val="bottom"/>
          </w:tcPr>
          <w:p>
            <w:pPr>
              <w:spacing w:after="0"/>
              <w:rPr>
                <w:sz w:val="20"/>
                <w:szCs w:val="20"/>
                <w:color w:val="auto"/>
              </w:rPr>
            </w:pPr>
          </w:p>
        </w:tc>
      </w:tr>
      <w:tr>
        <w:trPr>
          <w:trHeight w:val="446"/>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Dennis G. Podlesak</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Dennis G. Podlesak</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Kim Kamdar, Ph.D.</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Kim Kamdar, Ph.D.</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Ivor Royston, M.D.</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Ivor Royston, M.D.</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Pierre Legault</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Pierre Legault</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Henry Chen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Henry Chen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4040" w:type="dxa"/>
            <w:vAlign w:val="bottom"/>
            <w:gridSpan w:val="2"/>
          </w:tcPr>
          <w:p>
            <w:pPr>
              <w:jc w:val="right"/>
              <w:ind w:right="3232"/>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5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/s/ Luke Evnin, Ph.D.</w:t>
            </w:r>
          </w:p>
        </w:tc>
        <w:tc>
          <w:tcPr>
            <w:tcW w:w="100" w:type="dxa"/>
            <w:vAlign w:val="bottom"/>
          </w:tcPr>
          <w:p>
            <w:pPr>
              <w:spacing w:after="0"/>
              <w:rPr>
                <w:sz w:val="18"/>
                <w:szCs w:val="18"/>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Luke Evnin, Ph.D.</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Fabrice Egros, PharmD, Ph.D.</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Fabrice Egros, PharmD, Ph.D.</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George W. Sledge, Jr., M.D.</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14,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George W. Sledge, Jr., M.D.</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4040" w:type="dxa"/>
            <w:vAlign w:val="bottom"/>
            <w:gridSpan w:val="2"/>
          </w:tcPr>
          <w:p>
            <w:pPr>
              <w:jc w:val="right"/>
              <w:ind w:right="3234"/>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10"/>
            <w:vMerge w:val="restart"/>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Independent Registered Public Accounting Firm</w:t>
              </w:r>
            </w:hyperlink>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156"/>
        </w:trPr>
        <w:tc>
          <w:tcPr>
            <w:tcW w:w="11000" w:type="dxa"/>
            <w:vAlign w:val="bottom"/>
            <w:gridSpan w:val="10"/>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Consolidated Balance Sheets as of December 31, 2016 and 2015</w:t>
              </w:r>
            </w:hyperlink>
          </w:p>
        </w:tc>
        <w:tc>
          <w:tcPr>
            <w:tcW w:w="6340" w:type="dxa"/>
            <w:vAlign w:val="bottom"/>
            <w:gridSpan w:val="5"/>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Consolidated Statements of Operations for the Years Ended December 31, 2016, 2015 and 2014</w:t>
              </w:r>
            </w:hyperlink>
          </w:p>
        </w:tc>
        <w:tc>
          <w:tcPr>
            <w:tcW w:w="40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Statements of Comprehensive Loss for the Years Ended December 31, 2016, 2015 and 2014</w:t>
              </w:r>
            </w:hyperlink>
          </w:p>
        </w:tc>
        <w:tc>
          <w:tcPr>
            <w:tcW w:w="33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Consolidated Statements of Convertible Preferred Stock and Stockholders’ Equity (Deficit) for the Years Ended December 31, 2016, 2015 and</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07">
              <w:r>
                <w:rPr>
                  <w:rFonts w:ascii="Arial" w:cs="Arial" w:eastAsia="Arial" w:hAnsi="Arial"/>
                  <w:sz w:val="18"/>
                  <w:szCs w:val="18"/>
                  <w:color w:val="0000EE"/>
                  <w:w w:val="84"/>
                </w:rPr>
                <w:t>2014</w:t>
              </w:r>
            </w:hyperlink>
          </w:p>
        </w:tc>
        <w:tc>
          <w:tcPr>
            <w:tcW w:w="2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Consolidated Statements of Cash Flows for the Years Ended December 31, 2016, 2015 and 2014</w:t>
              </w:r>
            </w:hyperlink>
          </w:p>
        </w:tc>
        <w:tc>
          <w:tcPr>
            <w:tcW w:w="39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40" w:type="dxa"/>
            <w:vAlign w:val="bottom"/>
            <w:gridSpan w:val="5"/>
          </w:tcPr>
          <w:p>
            <w:pPr>
              <w:ind w:left="92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audited the accompanying consolidated balance sheets of Syndax Pharmaceuticals, Inc. and subsidiaries (the “Company”) as of December 31, 2016 and 2015, and the related consolidated statements of operations,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7"/>
          <w:szCs w:val="17"/>
          <w:i w:val="1"/>
          <w:iCs w:val="1"/>
          <w:color w:val="auto"/>
        </w:rPr>
        <w:t>.</w:t>
      </w:r>
      <w:r>
        <w:rPr>
          <w:rFonts w:ascii="Arial" w:cs="Arial" w:eastAsia="Arial" w:hAnsi="Arial"/>
          <w:sz w:val="17"/>
          <w:szCs w:val="17"/>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Syndax Pharmaceuticals, Inc.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108,510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109,013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Common stock warrant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less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18,358</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(Note 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Convertible preferred stock (Note 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 convertible preferred stock, $0.001 par value, 0 and 3,512,194 shares authorized; 0 and 700,435 shares issued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and outstanding at December 31, 2016 and December 31, 2015,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$0.001 par value, 10,000,000 and 0 shares authorized; 0 shares outstanding at December 31, 2016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$0.0001 par value, 100,000,000 and 20,800,000 shares authorized; 18,215,181 and 85,440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outstanding at December 31, 2016 and December 31, 2015,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389,374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(305,293)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(259,675)</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84,139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(252,415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109,013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31,665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11,591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(43,766)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(20,513)</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(44,472</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(24,119</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(19,828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(103,845)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(26,357)</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(1,519.27</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(453.02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14,619,716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68,352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9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4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$(44,472)</w:t>
            </w:r>
          </w:p>
        </w:tc>
        <w:tc>
          <w:tcPr>
            <w:tcW w:w="4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(24,119)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3"/>
              </w:rPr>
              <w:t>$(19,828)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on marketable securities,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(44,444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(24,091</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(19,828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60" w:type="dxa"/>
            <w:vAlign w:val="bottom"/>
            <w:tcBorders>
              <w:right w:val="single" w:sz="8" w:color="auto"/>
            </w:tcBorders>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12"/>
                <w:szCs w:val="12"/>
                <w:color w:val="auto"/>
              </w:rPr>
            </w:pPr>
          </w:p>
        </w:tc>
        <w:tc>
          <w:tcPr>
            <w:tcW w:w="14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60" w:type="dxa"/>
            <w:vAlign w:val="bottom"/>
            <w:tcBorders>
              <w:right w:val="single" w:sz="8" w:color="auto"/>
            </w:tcBorders>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2"/>
                <w:szCs w:val="12"/>
                <w:color w:val="auto"/>
              </w:rPr>
            </w:pPr>
          </w:p>
        </w:tc>
        <w:tc>
          <w:tcPr>
            <w:tcW w:w="14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26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82"/>
              </w:rPr>
              <w:t>$0.0001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8"/>
              </w:rPr>
              <w:t>$0.001 Par Value</w:t>
            </w:r>
          </w:p>
        </w:tc>
        <w:tc>
          <w:tcPr>
            <w:tcW w:w="6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$0.001 Par Value</w:t>
            </w:r>
          </w:p>
        </w:tc>
        <w:tc>
          <w:tcPr>
            <w:tcW w:w="1260" w:type="dxa"/>
            <w:vAlign w:val="bottom"/>
            <w:gridSpan w:val="3"/>
          </w:tcPr>
          <w:p>
            <w:pPr>
              <w:jc w:val="center"/>
              <w:ind w:left="5"/>
              <w:spacing w:after="0"/>
              <w:rPr>
                <w:sz w:val="20"/>
                <w:szCs w:val="20"/>
                <w:color w:val="auto"/>
              </w:rPr>
            </w:pPr>
            <w:r>
              <w:rPr>
                <w:rFonts w:ascii="Arial" w:cs="Arial" w:eastAsia="Arial" w:hAnsi="Arial"/>
                <w:sz w:val="14"/>
                <w:szCs w:val="14"/>
                <w:b w:val="1"/>
                <w:bCs w:val="1"/>
                <w:color w:val="auto"/>
                <w:w w:val="90"/>
              </w:rPr>
              <w:t>Par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BALANCE—January 1, 2014</w:t>
            </w: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6,105,956</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140,324</w:t>
            </w:r>
          </w:p>
        </w:tc>
        <w:tc>
          <w:tcPr>
            <w:tcW w:w="26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700,435</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7,231</w:t>
            </w: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56,573</w:t>
            </w: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9"/>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(135,707)</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(128,475)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Exercise of stock options</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1,944</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Accretion for convertible preferred stock</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6,529</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(2,263)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(4,266)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(6,529)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2,257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2,257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78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(19,828)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(19,828)</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5"/>
                <w:szCs w:val="15"/>
                <w:color w:val="auto"/>
              </w:rPr>
              <w:t>BALANCE—December 31, 2014</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6,105,956</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260"/>
              <w:spacing w:after="0" w:line="169" w:lineRule="exact"/>
              <w:rPr>
                <w:sz w:val="20"/>
                <w:szCs w:val="20"/>
                <w:color w:val="auto"/>
              </w:rPr>
            </w:pPr>
            <w:r>
              <w:rPr>
                <w:rFonts w:ascii="Arial" w:cs="Arial" w:eastAsia="Arial" w:hAnsi="Arial"/>
                <w:sz w:val="15"/>
                <w:szCs w:val="15"/>
                <w:color w:val="auto"/>
                <w:w w:val="99"/>
              </w:rPr>
              <w:t>146,853</w:t>
            </w:r>
          </w:p>
        </w:tc>
        <w:tc>
          <w:tcPr>
            <w:tcW w:w="60" w:type="dxa"/>
            <w:vAlign w:val="bottom"/>
          </w:tcPr>
          <w:p>
            <w:pPr>
              <w:spacing w:after="0"/>
              <w:rPr>
                <w:sz w:val="14"/>
                <w:szCs w:val="14"/>
                <w:color w:val="auto"/>
              </w:rPr>
            </w:pPr>
          </w:p>
        </w:tc>
        <w:tc>
          <w:tcPr>
            <w:tcW w:w="7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700,435</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7,231</w:t>
            </w: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58,517</w:t>
            </w:r>
          </w:p>
        </w:tc>
        <w:tc>
          <w:tcPr>
            <w:tcW w:w="400" w:type="dxa"/>
            <w:vAlign w:val="bottom"/>
          </w:tcPr>
          <w:p>
            <w:pPr>
              <w:spacing w:after="0"/>
              <w:rPr>
                <w:sz w:val="14"/>
                <w:szCs w:val="14"/>
                <w:color w:val="auto"/>
              </w:rPr>
            </w:pPr>
          </w:p>
        </w:tc>
        <w:tc>
          <w:tcPr>
            <w:tcW w:w="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71"/>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(159,801)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(152,569)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9"/>
              </w:rPr>
              <w:t>Issuance of Series B-1 convertible preferred</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stock in January 2015 in conjunction with</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KHK Agreement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536,049</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7,713</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5"/>
                <w:szCs w:val="15"/>
                <w:color w:val="auto"/>
                <w:w w:val="98"/>
              </w:rPr>
              <w:t>Issuance of Series C-1 convertible preferred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ind w:left="140"/>
              <w:spacing w:after="0" w:line="162" w:lineRule="exact"/>
              <w:rPr>
                <w:sz w:val="20"/>
                <w:szCs w:val="20"/>
                <w:color w:val="auto"/>
              </w:rPr>
            </w:pPr>
            <w:r>
              <w:rPr>
                <w:rFonts w:ascii="Arial" w:cs="Arial" w:eastAsia="Arial" w:hAnsi="Arial"/>
                <w:sz w:val="15"/>
                <w:szCs w:val="15"/>
                <w:color w:val="auto"/>
                <w:w w:val="95"/>
              </w:rPr>
              <w:t>stock in June 2015, net of issuance costs of</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ind w:left="140"/>
              <w:spacing w:after="0"/>
              <w:rPr>
                <w:sz w:val="20"/>
                <w:szCs w:val="20"/>
                <w:color w:val="auto"/>
              </w:rPr>
            </w:pPr>
            <w:r>
              <w:rPr>
                <w:rFonts w:ascii="Arial" w:cs="Arial" w:eastAsia="Arial" w:hAnsi="Arial"/>
                <w:sz w:val="15"/>
                <w:szCs w:val="15"/>
                <w:color w:val="auto"/>
              </w:rPr>
              <w:t>$0.2 million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1,340,113</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18,526</w:t>
            </w:r>
          </w:p>
        </w:tc>
        <w:tc>
          <w:tcPr>
            <w:tcW w:w="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Conversion of 2014 Notes into Series C-1</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372,446</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5,211</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5"/>
                <w:szCs w:val="15"/>
                <w:color w:val="auto"/>
                <w:w w:val="98"/>
              </w:rPr>
              <w:t>Issuance of Series C-1 convertible preferred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ind w:left="140"/>
              <w:spacing w:after="0" w:line="162" w:lineRule="exact"/>
              <w:rPr>
                <w:sz w:val="20"/>
                <w:szCs w:val="20"/>
                <w:color w:val="auto"/>
              </w:rPr>
            </w:pPr>
            <w:r>
              <w:rPr>
                <w:rFonts w:ascii="Arial" w:cs="Arial" w:eastAsia="Arial" w:hAnsi="Arial"/>
                <w:sz w:val="15"/>
                <w:szCs w:val="15"/>
                <w:color w:val="auto"/>
                <w:w w:val="95"/>
              </w:rPr>
              <w:t>stock in August 2015, net of issuance costs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ind w:left="140"/>
              <w:spacing w:after="0"/>
              <w:rPr>
                <w:sz w:val="20"/>
                <w:szCs w:val="20"/>
                <w:color w:val="auto"/>
              </w:rPr>
            </w:pPr>
            <w:r>
              <w:rPr>
                <w:rFonts w:ascii="Arial" w:cs="Arial" w:eastAsia="Arial" w:hAnsi="Arial"/>
                <w:sz w:val="15"/>
                <w:szCs w:val="15"/>
                <w:color w:val="auto"/>
              </w:rPr>
              <w:t>of $0.2 million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4,377,902</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61,084</w:t>
            </w:r>
          </w:p>
        </w:tc>
        <w:tc>
          <w:tcPr>
            <w:tcW w:w="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Accretion of convertible preferred stock to</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 value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69,715</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(69,592)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(69,715)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5"/>
                <w:szCs w:val="15"/>
                <w:color w:val="auto"/>
              </w:rPr>
              <w:t>Accretion for convertible preferred 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ind w:left="140"/>
              <w:spacing w:after="0"/>
              <w:rPr>
                <w:sz w:val="20"/>
                <w:szCs w:val="20"/>
                <w:color w:val="auto"/>
              </w:rPr>
            </w:pPr>
            <w:r>
              <w:rPr>
                <w:rFonts w:ascii="Arial" w:cs="Arial" w:eastAsia="Arial" w:hAnsi="Arial"/>
                <w:sz w:val="15"/>
                <w:szCs w:val="15"/>
                <w:color w:val="auto"/>
              </w:rPr>
              <w:t>dividends</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10,011</w:t>
            </w:r>
          </w:p>
        </w:tc>
        <w:tc>
          <w:tcPr>
            <w:tcW w:w="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(3,848)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(6,163)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(10,011)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stock options</w:t>
            </w: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24,876</w:t>
            </w: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Vesting of restricted stock</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2,047</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3,882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Unrealized gain on short-term investments</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78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(24,119)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(24,119)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5"/>
                <w:szCs w:val="15"/>
                <w:color w:val="auto"/>
              </w:rPr>
              <w:t>BALANCE—December 31, 2015</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12,732,466</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260"/>
              <w:spacing w:after="0" w:line="169" w:lineRule="exact"/>
              <w:rPr>
                <w:sz w:val="20"/>
                <w:szCs w:val="20"/>
                <w:color w:val="auto"/>
              </w:rPr>
            </w:pPr>
            <w:r>
              <w:rPr>
                <w:rFonts w:ascii="Arial" w:cs="Arial" w:eastAsia="Arial" w:hAnsi="Arial"/>
                <w:sz w:val="15"/>
                <w:szCs w:val="15"/>
                <w:color w:val="auto"/>
                <w:w w:val="99"/>
              </w:rPr>
              <w:t>319,113</w:t>
            </w:r>
          </w:p>
        </w:tc>
        <w:tc>
          <w:tcPr>
            <w:tcW w:w="60" w:type="dxa"/>
            <w:vAlign w:val="bottom"/>
          </w:tcPr>
          <w:p>
            <w:pPr>
              <w:spacing w:after="0"/>
              <w:rPr>
                <w:sz w:val="14"/>
                <w:szCs w:val="14"/>
                <w:color w:val="auto"/>
              </w:rPr>
            </w:pPr>
          </w:p>
        </w:tc>
        <w:tc>
          <w:tcPr>
            <w:tcW w:w="7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700,435</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7,231</w:t>
            </w: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85,440</w:t>
            </w:r>
          </w:p>
        </w:tc>
        <w:tc>
          <w:tcPr>
            <w:tcW w:w="400" w:type="dxa"/>
            <w:vAlign w:val="bottom"/>
          </w:tcPr>
          <w:p>
            <w:pPr>
              <w:spacing w:after="0"/>
              <w:rPr>
                <w:sz w:val="14"/>
                <w:szCs w:val="14"/>
                <w:color w:val="auto"/>
              </w:rPr>
            </w:pPr>
          </w:p>
        </w:tc>
        <w:tc>
          <w:tcPr>
            <w:tcW w:w="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71"/>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(259,675)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(252,415)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Accretion for convertible preferred stock</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2,598</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(1,452)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5"/>
                <w:szCs w:val="15"/>
                <w:color w:val="auto"/>
              </w:rPr>
              <w:t>Proceeds from initial public offering, net of</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ind w:left="140"/>
              <w:spacing w:after="0"/>
              <w:rPr>
                <w:sz w:val="20"/>
                <w:szCs w:val="20"/>
                <w:color w:val="auto"/>
              </w:rPr>
            </w:pPr>
            <w:r>
              <w:rPr>
                <w:rFonts w:ascii="Arial" w:cs="Arial" w:eastAsia="Arial" w:hAnsi="Arial"/>
                <w:sz w:val="15"/>
                <w:szCs w:val="15"/>
                <w:color w:val="auto"/>
              </w:rPr>
              <w:t>offering costs of $7,186</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4,809,475</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50,527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50,527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Coversion of preferred stock into common</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(12,732,466)</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0"/>
              </w:rPr>
              <w:t>(321,711)</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(700,435)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(7,231)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12,872,551</w:t>
            </w:r>
          </w:p>
        </w:tc>
        <w:tc>
          <w:tcPr>
            <w:tcW w:w="4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328,941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321,711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5"/>
                <w:szCs w:val="15"/>
                <w:color w:val="auto"/>
              </w:rPr>
              <w:t>Reclassification of common stock warrant</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tcPr>
          <w:p>
            <w:pPr>
              <w:ind w:left="140"/>
              <w:spacing w:after="0"/>
              <w:rPr>
                <w:sz w:val="20"/>
                <w:szCs w:val="20"/>
                <w:color w:val="auto"/>
              </w:rPr>
            </w:pPr>
            <w:r>
              <w:rPr>
                <w:rFonts w:ascii="Arial" w:cs="Arial" w:eastAsia="Arial" w:hAnsi="Arial"/>
                <w:sz w:val="15"/>
                <w:szCs w:val="15"/>
                <w:color w:val="auto"/>
              </w:rPr>
              <w:t>liability</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00" w:type="dxa"/>
            <w:vAlign w:val="bottom"/>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4,551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4,551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stock options</w:t>
            </w: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441,573</w:t>
            </w: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2,058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2,058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Vesting of restricted stock</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6,142</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4,708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Unrealized gain on short-term investments</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0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4"/>
              </w:rPr>
              <w:t>Repurchase of fractional shares resulting from</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reverse stock splits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780" w:type="dxa"/>
            <w:vAlign w:val="bottom"/>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40" w:type="dxa"/>
            <w:vAlign w:val="bottom"/>
          </w:tcPr>
          <w:p>
            <w:pPr>
              <w:ind w:left="5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0" w:type="dxa"/>
            <w:vAlign w:val="bottom"/>
          </w:tcPr>
          <w:p>
            <w:pPr>
              <w:ind w:left="240"/>
              <w:spacing w:after="0" w:line="162" w:lineRule="exact"/>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(44,472)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(44,472)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Balance—December 31, 2016</w:t>
            </w:r>
          </w:p>
        </w:tc>
        <w:tc>
          <w:tcPr>
            <w:tcW w:w="78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18,215,181</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5"/>
              </w:rPr>
              <w:t>389,374</w:t>
            </w:r>
          </w:p>
        </w:tc>
        <w:tc>
          <w:tcPr>
            <w:tcW w:w="220" w:type="dxa"/>
            <w:vAlign w:val="bottom"/>
            <w:gridSpan w:val="2"/>
            <w:shd w:val="clear" w:color="auto" w:fill="CCEEFF"/>
          </w:tcPr>
          <w:p>
            <w:pPr>
              <w:jc w:val="right"/>
              <w:ind w:right="9"/>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56</w:t>
            </w:r>
          </w:p>
        </w:tc>
        <w:tc>
          <w:tcPr>
            <w:tcW w:w="20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(305,293)</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84,139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(44,472)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(24,119)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$(19,828)</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Amortization and accretion of investments</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303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3,882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2,155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Write-off of deferred costs associated with postponed initial public offering</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(1,205)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806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16,660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r>
      <w:tr>
        <w:trPr>
          <w:trHeight w:val="230"/>
        </w:trPr>
        <w:tc>
          <w:tcPr>
            <w:tcW w:w="20" w:type="dxa"/>
            <w:vAlign w:val="bottom"/>
          </w:tcPr>
          <w:p>
            <w:pPr>
              <w:spacing w:after="0"/>
              <w:rPr>
                <w:sz w:val="20"/>
                <w:szCs w:val="20"/>
                <w:color w:val="auto"/>
              </w:rPr>
            </w:pPr>
          </w:p>
        </w:tc>
        <w:tc>
          <w:tcPr>
            <w:tcW w:w="806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(35,157)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5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(14,393)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w w:val="88"/>
              </w:rPr>
              <w:t>(158,319)</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(102,008)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(3,393)</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and maturities of short-term investments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140,297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40,506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(18,380)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(61,669)</w:t>
            </w:r>
          </w:p>
        </w:tc>
        <w:tc>
          <w:tcPr>
            <w:tcW w:w="5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52,148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87,323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Proceeds from issuance of debt</w:t>
            </w:r>
          </w:p>
        </w:tc>
        <w:tc>
          <w:tcPr>
            <w:tcW w:w="100" w:type="dxa"/>
            <w:vAlign w:val="bottom"/>
          </w:tcPr>
          <w:p>
            <w:pPr>
              <w:spacing w:after="0"/>
              <w:rPr>
                <w:sz w:val="18"/>
                <w:szCs w:val="18"/>
                <w:color w:val="auto"/>
              </w:rPr>
            </w:pPr>
          </w:p>
        </w:tc>
        <w:tc>
          <w:tcPr>
            <w:tcW w:w="11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Deferred issuance costs</w:t>
            </w:r>
          </w:p>
        </w:tc>
        <w:tc>
          <w:tcPr>
            <w:tcW w:w="100" w:type="dxa"/>
            <w:vAlign w:val="bottom"/>
          </w:tcPr>
          <w:p>
            <w:pPr>
              <w:spacing w:after="0"/>
              <w:rPr>
                <w:sz w:val="18"/>
                <w:szCs w:val="18"/>
                <w:color w:val="auto"/>
              </w:rPr>
            </w:pPr>
          </w:p>
        </w:tc>
        <w:tc>
          <w:tcPr>
            <w:tcW w:w="11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(1,245)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term loans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77,267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12,410</w:t>
            </w: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w:t>
            </w: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CASH AND CASH EQUIVALENTS—end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$ 10,009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(Note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Syndax Pharmaceuticals, Inc. (the Company) is a clinical stage biopharmaceutical company developing an innovative pipeline of combination therapies in multiple cancer indications. The Company’s lead product candidate, entinostat, is currently being evaluated in a Phase 3 clinical trial for advanced hormone receptor positive, human epidermal growth factor receptor 2 negative breast cancer. Entinostat was granted Breakthrough Therapy designation by the U.S.</w:t>
      </w:r>
    </w:p>
    <w:p>
      <w:pPr>
        <w:ind w:right="60"/>
        <w:spacing w:after="0" w:line="288" w:lineRule="auto"/>
        <w:rPr>
          <w:sz w:val="20"/>
          <w:szCs w:val="20"/>
          <w:color w:val="auto"/>
        </w:rPr>
      </w:pPr>
      <w:r>
        <w:rPr>
          <w:rFonts w:ascii="Arial" w:cs="Arial" w:eastAsia="Arial" w:hAnsi="Arial"/>
          <w:sz w:val="16"/>
          <w:szCs w:val="16"/>
          <w:color w:val="auto"/>
        </w:rPr>
        <w:t>Food and Drug Administration following positive results from the Company’s Phase 2b clinical trial, ENCORE 301. The Company is developing entinostat, which has direct effects on both cancer cells and immune regulatory cells, and SNDX-6352, a monoclonal antibody that targets the colony stimulating factor-1 receptor to enhance the body’s immune response on tumors that have shown sensitivity to immunotherapy. The Company is evaluating entinostat as a combination therapeutic in Phase 1b/2 clinical trials with Merck &amp; Co., Inc. for non-small cell lung cancer and melanoma; with Genentech, Inc. for triple negative breast cancer; and with Merck KGaA, Darmstadt, Germany, and Pfizer Inc. for ovarian cancer. We acquired the exclusive rights to SNDX-6352 in July 2016 and are evaluating SNDX-6352 in a single ascending dose Phase 1 clinical trial. The Company plans to continue to leverage the technical and business expertise of our management team and scientific collaborators to license, acquire and develop additional cancer therapies to expand our pipeline.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March 2016, the Company completed its initial public offering (“IPO”) whereby it sold 4,809,475 shares of common stock at the initial public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offering price of $12.00 per share, which included 409,475 shares issued pursuant to the underwriters’ partial exercise of their over-allotment option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additional shares of common stock. The aggregate net proceeds received by the Company from the offering were $50.5 million, net of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of $4.0 million and offering expenses of $3.1 million. Upon the closing of the IPO, all outstanding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convertible preferred stock converted into 12,872,551 shares of common stock; and the Company’s outstanding warrant liability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357,840 shares of the Company’s common stock valued at $4.6 million was reclassified to additional paid-in capital. The shares trade on the Nasdaq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 Market under the symbol “SNDX.” In connection with the closing of the Company’s IPO, the Company filed an amended and restated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incorporation and adopted amended and restated bylaws, both of which were approved by the Company’s board of directors and stockholders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28, 2015 and February 24, 2016, respectively. Pursuant to the amended and restated certificate of incorporation, the Company is now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 100,000,000 shares of common stock and 10,000,000 shares of preferred stock.</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either entinostat or SNDX-6352 is approved, if ever, and the Company begins to generate revenue from sales of entinostat and SNDX-6352. Accordingly, management expects to incur substantial losses on the ongoing development of entinostat and SNDX-6352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December 31, 2016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February 24, 2016, the Company effected a 1-for-1.25 reverse stock split of the Company’s outstanding common stock and convertible preferred stock; and on June 3, 2014, the Company effected a 1-for-12.3 reverse stock split of the Company’s outstanding common stock and convertible preferred stock. Stockholders entitled to fractional shares as a result of the reverse stock splits received a cash payment in lieu of receiving fractional shares. All of the Company’s historical share and per share information shown in the accompanying financial statements and related notes have been retroactively adjusted to give effect to these reverse stock splits.</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2011, the Company established a wholly owned subsidiary in the United Kingdom. There have been no activities for 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270" w:lineRule="exact"/>
        <w:rPr>
          <w:sz w:val="20"/>
          <w:szCs w:val="20"/>
          <w:color w:val="auto"/>
        </w:rPr>
      </w:pPr>
    </w:p>
    <w:p>
      <w:pPr>
        <w:ind w:left="460" w:right="7820" w:hanging="452"/>
        <w:spacing w:after="0" w:line="378" w:lineRule="auto"/>
        <w:tabs>
          <w:tab w:leader="none" w:pos="18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220" w:firstLine="456"/>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Short-term investments include marketable securities with maturities of less than one year or where management’s intent is to use the investments to fund current operations or to make them available for current operations. All investments in marketable securities are classified as available-for-sale and are reported at fair value with unrealized gains and losses excluded from earnings and reported net of tax in accumulated other comprehensive income, which is a component of stockholders’ equity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 Investments with remaining maturities or that are due within one year from the balance sheet date are classified as current.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 making group, in making decisions regarding resource allocation and assessing performance. The Company has one operating segment.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assets consist of deferred issuance costs, long-term security deposits, and noncurrent restricted cash. Deferred issuance costs consist primarily of direct incremental legal and accounting fees relating to the Company’s IPO. As of December 31, 2016 and 2015, the Company had capitalized deferred IPO issuance costs of $0 and $1.6 million, respectively. Upon the closing of the IPO, these costs were reclassified to additional paid-in capital as a reduction of the IPO proceeds.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In September 2014, the Company determined that it was likely its IPO would be postponed for a period in excess of 90 days. As a result, in accordance with the Securities and Exchange Commission guidance in Staff Accounting Bulletin Topic 5-A, </w:t>
      </w:r>
      <w:r>
        <w:rPr>
          <w:rFonts w:ascii="Arial" w:cs="Arial" w:eastAsia="Arial" w:hAnsi="Arial"/>
          <w:sz w:val="18"/>
          <w:szCs w:val="18"/>
          <w:i w:val="1"/>
          <w:iCs w:val="1"/>
          <w:color w:val="auto"/>
        </w:rPr>
        <w:t>Expenses of Offering,</w:t>
      </w:r>
      <w:r>
        <w:rPr>
          <w:rFonts w:ascii="Arial" w:cs="Arial" w:eastAsia="Arial" w:hAnsi="Arial"/>
          <w:sz w:val="18"/>
          <w:szCs w:val="18"/>
          <w:color w:val="auto"/>
        </w:rPr>
        <w:t xml:space="preserve"> the Company expensed as general and administrative expenses previously deferred IPO costs of $4.3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Cash and cash equivalents, restricted cash, and short-term investments are financial instruments that potentially 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U.S. Treasury securities, U.S. government agency securities, corporate debt securities, certificates of deposit and overnight deposits and potentially subject the Company to concentrations of crdit risk.</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enters into license agreements for the development and commercialization of its product candidates, entinostat and SNDX-6352.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 with the collaboration partners.</w:t>
      </w:r>
    </w:p>
    <w:p>
      <w:pPr>
        <w:spacing w:after="0" w:line="178"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Revenue is recognized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the Company identifies the deliverables included within the agreement and evaluates which deliverables represent separate units of accounting based on the achievement of certain criteria including whether the deliverable has stand-alone value. Upfront payments received in connection with licenses of the Company’s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periodically reviews its estimated periods of performance based on the progress under each arrangement and accounts for the impact of any changes in estimated periods of performance on a prospective basis. At the inception of each agreement that includes milestone payments, the Company evaluates whether each milestone is substantive and at risk to both parties on the basis of the contingent nature of the milestone.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 Non-refundable payments that are contingent upon achievement of a substantive milestone are recognized in their entirety in the period in which the milestone is achieved, assuming all other revenue recognition criteria are met. Other contingent payments in which a portion of the milestone consideration is refundable or adjusts based on future performance or non-performance (e.g., through a penalty or claw-back provision) are not considered to relate solely to past performance, and therefore, not considered substantive. Amounts that are not recognized as revenue due to the uncertainty as to whether they will be retained or because they are expected to be refunded are recorded as a liability. The Company recognizes non-substantive milestone payments over the remaining estimated period of performance once the milestone is achieved. Contingent payments associated with the achievement of specific objectives in certain contracts that are not considered substantive because the Company does not contribute effort to the achievement of such milestones are recognized as revenue upon achievement of the objective, as long as there are no undelivered elements remaining and no continuing performance obligations by the Company, assuming all other revenue recognition criteria are met.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 upfront license payments related to acquired technologies that have not yet reached technological feasibility and have no alternative future use.</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instances where the Company enters into cost-sharing arrangements, all research and development costs reimbursed by the collaborators are accounted for as reductions to research and development expense. During the year ended December 31, 2016, the Company incurred $0.5 million in external costs related to cost-sharing collaborations, of which $0.3 million has been recorded as a reduction to research and development expense. There were no cost-sharing arrangements in 2015 or 2014.</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Costs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16) that require it to indemnify the landlord against all costs, expenses, fines, suits, claims, demands, liabilities, and actions directly resulting from any breach, violation, or nonperformance of any covenant or condition of the Company’s lease. Through December 31,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accounts for all stock option awards granted to employees and non-employees using a fair value method. Stock-based compensation is measured at the grant date fair value of employee stock option grants and is recognized over the requisite service period of the awards (usually the vesting period) on a straight-line basis, net of estimated forfeitures. Stock option awards to non-employees are subject to periodic revaluation over their vesting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Upon closing of the IPO, all of the outstanding shares of the Company’s outstanding convertible preferred stock converted into shares of the common stock. Prior to the IPO, the Company had classified certain series of convertible preferred stock as temporary equity in the consolidated balance sheets due to certain change in control events that were outside of the Company’s control, including liquidation, sale, or transfer of control of the Company, as holders of the convertible preferred stock could cause redemption of the shares in these situations. The carrying value of the convertible preferred stock was presented at its maximum redemption value. As of December 31, 2015, the Series A preferred stock had no liquidation preference and was presented in permanent equity.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Discount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has recorded the fair value of the derivative liability related to its term loans as debt discount, which is presented in the consolidated balance sheets as an offset to the carrying value amount of the debt. Debt discount is amortized to interest expense using the effective interest rate method or a method that approximates the effective interest rate method over the expected period that the debt is expected to be outstanding. In October 2015, the Company prepaid the outstanding balance on the term loans and wrote off the unamortized debt discount related to the term loans.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Company records potential payments that would be made to lenders upon certain triggering events as derivative financial liabilities. The derivative liability is initially valued at fair value using a probability-weighted expected return model. Gains and losses arising from changes in fair value are recognized in other income (expense) in the consolidated statement of operations at each period end while such liabilities are outstanding.</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Company has recorded common stock warrants issued with license agreements as derivative financial liabilities, as the terms of the warrants are not fixed due to potential adjustments in the exercise price and/or the number of shares issuable under the warrants. The common stock warrants are initially recorded at fair value, with gains and losses arising from changes in fair value recognized in other income (expense) in the consolidated statement of operations at each period end while such instruments are outstanding. The warrant liabilities were valued using a Black-Scholes option-pricing model. Upon the closing of the IPO, the Company’s outstanding warrant liability was reclassified to additional paid-in capital.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November 2016, the Financial Accounting Standards Board (“FASB”) issued Accounting Standards Update (“ASU”) ASU 2016-18, </w:t>
      </w:r>
      <w:r>
        <w:rPr>
          <w:rFonts w:ascii="Arial" w:cs="Arial" w:eastAsia="Arial" w:hAnsi="Arial"/>
          <w:sz w:val="18"/>
          <w:szCs w:val="18"/>
          <w:i w:val="1"/>
          <w:iCs w:val="1"/>
          <w:color w:val="auto"/>
        </w:rPr>
        <w:t>“Statement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Flows (Topic 230): Restricted Cash” </w:t>
      </w:r>
      <w:r>
        <w:rPr>
          <w:rFonts w:ascii="Arial" w:cs="Arial" w:eastAsia="Arial" w:hAnsi="Arial"/>
          <w:sz w:val="18"/>
          <w:szCs w:val="18"/>
          <w:color w:val="auto"/>
        </w:rPr>
        <w:t>(“ASU 2016-18”). ASU 2016-18 requires that restricted cash and restricted cash equivalents be included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For public business entities, this ASU is effective for fiscal years beginning after December 15, 2017. The Company does not expect the adoption of this standard to have a material impact on its consolidated financial statements.</w:t>
      </w:r>
    </w:p>
    <w:p>
      <w:pPr>
        <w:spacing w:after="0" w:line="19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ASU 2016-09 will be effective for the Company on January 1, 2017. The Company does not expect the adoption of this standard to have a material impact on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in the process of evaluating the effect of the new guidance on the Company’s consolidated financial statements and related disclosures.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In August 2014, FASB issued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(“ASU 2014-15”). ASU 2014-15 provides guidance on management’s responsibility in evaluating whether there are conditions or events that raise substantial doubt about a company’s ability to continue as a going concern within one year from the date the financial statements are issued, and about related footnote disclosures. ASU 2014-15 is effective for the annual period ending after December 15, 2016, and for annual periods and interim periods thereafter. The Company adopted ASU 2014-15 for the year ended December 31, 2016, and the adoption of this standard did not impact the Company’s consolidated financial statements and related disclosures.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ASU 2014-09 supersedes the revenue recognition requirements of FASB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throughout the Accounting Standards Codification, resulting in the creation of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but not before the first quarter of 2017. The Company is currently evaluating the method by which it will implement this standard and the impact of the adoption of this standard on the Company’s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three years ended December 31, 2016, 2015, and 2014, diluted net loss per common share is the same as basic net loss per common share for those periods. The following table summarizes the computation of basic and diluted net loss per share attributable to common stockholders of the Company (in thousands, except per share data):</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Numerator—basic and diluted: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(44,472)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(24,119)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(69,715)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(103,845)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(26,357)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(1,519.27</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(453.02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Weighted-average common shares used to compute net loss per share—basic and diluted</w:t>
            </w: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14,619,716</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68,352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5060"/>
              <w:spacing w:after="0"/>
              <w:rPr>
                <w:sz w:val="20"/>
                <w:szCs w:val="20"/>
                <w:color w:val="auto"/>
              </w:rPr>
            </w:pPr>
            <w:r>
              <w:rPr>
                <w:rFonts w:ascii="Arial" w:cs="Arial" w:eastAsia="Arial" w:hAnsi="Arial"/>
                <w:sz w:val="18"/>
                <w:szCs w:val="18"/>
                <w:color w:val="auto"/>
              </w:rPr>
              <w:t>F-14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12,872,551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6,246,041</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2,560,737</w:t>
            </w:r>
          </w:p>
        </w:tc>
        <w:tc>
          <w:tcPr>
            <w:tcW w:w="1000" w:type="dxa"/>
            <w:vAlign w:val="bottom"/>
          </w:tcPr>
          <w:p>
            <w:pPr>
              <w:jc w:val="right"/>
              <w:spacing w:after="0"/>
              <w:rPr>
                <w:sz w:val="20"/>
                <w:szCs w:val="20"/>
                <w:color w:val="auto"/>
              </w:rPr>
            </w:pPr>
            <w:r>
              <w:rPr>
                <w:rFonts w:ascii="Arial" w:cs="Arial" w:eastAsia="Arial" w:hAnsi="Arial"/>
                <w:sz w:val="18"/>
                <w:szCs w:val="18"/>
                <w:color w:val="auto"/>
              </w:rPr>
              <w:t>2,606,195</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831,148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357,840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277,486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127,099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Convertible notes and related accrued interest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363,294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8,542</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14,684</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 in the consolidated statements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Kyowa Hakko Kirin Co., Ltd.</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40" w:firstLine="8"/>
        <w:spacing w:after="0" w:line="255"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was allocated to the license unit of accounting.</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arrangement consideration allocated to the license unit of accounting will be recognized as revenue ratably over the Company’s expected services period (currently expected to be through 2029) commencing on the date of the first delivery of the clinical trial materials. In June 2015, the Company began delivering clinical materials to KHK and commenced recognizing revenue from the upfront consideration of $17.3 million. During the years ended December 31, 2016 and 2015, the Company recognized $1.2 million and $0.6 million, respectively, of revenue associated with the KHK License Agreement. As of December 31, 2016, there was $15.4 million of deferred revenue related to the KHK License Agreement, which is classified as current or long-term in the consolidated balance sheets.</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will expand its clinical trial agreement with Eastern Cooperative Oncology Group (the “ECOG Agreement”) to include enrollments from sites in Korea.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Eastern Cooperative Oncology Group</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As of December 31, 2016, the Company’s aggregate payment obligations under this agreement were approximately $21.4 million; and as of December 31, 2016, the Company’s remaining payment obligations are approximately $12.9 million over an estimated period of approximately four years. During the first quarter of 2017, the ECOG Agreement was amended to expand the study to include enrollments from sites in Korea and the contractual obligation increased by $0.5 million.</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Upon the closing of the IPO, the total number of shares of the Company’s common stock issuable upon exercise of the warrant was set at 357,840. Prior to the closing of the IPO, the warrant contained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IPO or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on March 8, 2016, using current assumptions just prior to the reclassification.</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total shares exercisable under the warrant, the fair value associated with the warrant and the Black-Scholes option-pricing model assumptions used to value the shares of common stock issuable pursuant to the warrant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Shares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Risk-Free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3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Estimated</w:t>
            </w: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Issuable Under</w:t>
            </w:r>
          </w:p>
        </w:tc>
        <w:tc>
          <w:tcPr>
            <w:tcW w:w="3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continue"/>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Dividend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Life</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the Warrant</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Price</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Volatility</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Yield</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960" w:type="dxa"/>
            <w:vAlign w:val="bottom"/>
          </w:tcPr>
          <w:p>
            <w:pPr>
              <w:jc w:val="right"/>
              <w:spacing w:after="0"/>
              <w:rPr>
                <w:sz w:val="20"/>
                <w:szCs w:val="20"/>
                <w:color w:val="auto"/>
              </w:rPr>
            </w:pPr>
            <w:r>
              <w:rPr>
                <w:rFonts w:ascii="Arial" w:cs="Arial" w:eastAsia="Arial" w:hAnsi="Arial"/>
                <w:sz w:val="18"/>
                <w:szCs w:val="18"/>
                <w:color w:val="auto"/>
              </w:rPr>
              <w:t>277,486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11.13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8"/>
                <w:szCs w:val="18"/>
                <w:color w:val="auto"/>
              </w:rPr>
              <w:t>8.06</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$ 2,848</w:t>
            </w:r>
          </w:p>
        </w:tc>
        <w:tc>
          <w:tcPr>
            <w:tcW w:w="0" w:type="dxa"/>
            <w:vAlign w:val="bottom"/>
          </w:tcPr>
          <w:p>
            <w:pPr>
              <w:spacing w:after="0"/>
              <w:rPr>
                <w:sz w:val="1"/>
                <w:szCs w:val="1"/>
                <w:color w:val="auto"/>
              </w:rPr>
            </w:pPr>
          </w:p>
        </w:tc>
      </w:tr>
      <w:tr>
        <w:trPr>
          <w:trHeight w:val="52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10"/>
          </w:tcPr>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4"/>
          </w:tcPr>
          <w:p>
            <w:pPr>
              <w:jc w:val="right"/>
              <w:ind w:right="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and computer equipment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$ 117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Furniture and fixtures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Office equipment under capital lease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680" w:type="dxa"/>
            <w:vAlign w:val="bottom"/>
            <w:gridSpan w:val="2"/>
          </w:tcPr>
          <w:p>
            <w:pPr>
              <w:ind w:left="360"/>
              <w:spacing w:after="0"/>
              <w:rPr>
                <w:sz w:val="20"/>
                <w:szCs w:val="20"/>
                <w:color w:val="auto"/>
              </w:rPr>
            </w:pPr>
            <w:r>
              <w:rPr>
                <w:rFonts w:ascii="Arial" w:cs="Arial" w:eastAsia="Arial" w:hAnsi="Arial"/>
                <w:sz w:val="18"/>
                <w:szCs w:val="18"/>
                <w:color w:val="auto"/>
                <w:w w:val="97"/>
              </w:rPr>
              <w:t>Total property and equipment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(192)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3"/>
          </w:tcPr>
          <w:p>
            <w:pPr>
              <w:ind w:left="138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$ 260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jc w:val="both"/>
        <w:ind w:left="1040" w:right="100" w:hanging="1039"/>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2016, 2015 and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Quoted</w:t>
            </w:r>
          </w:p>
        </w:tc>
        <w:tc>
          <w:tcPr>
            <w:tcW w:w="560" w:type="dxa"/>
            <w:vAlign w:val="bottom"/>
          </w:tcPr>
          <w:p>
            <w:pPr>
              <w:spacing w:after="0"/>
              <w:rPr>
                <w:sz w:val="10"/>
                <w:szCs w:val="10"/>
                <w:color w:val="auto"/>
              </w:rPr>
            </w:pPr>
          </w:p>
        </w:tc>
        <w:tc>
          <w:tcPr>
            <w:tcW w:w="136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Prices 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Active</w:t>
            </w:r>
          </w:p>
        </w:tc>
        <w:tc>
          <w:tcPr>
            <w:tcW w:w="5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Carrying</w:t>
            </w:r>
          </w:p>
        </w:tc>
        <w:tc>
          <w:tcPr>
            <w:tcW w:w="6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Markets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6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December 31, 2016</w:t>
            </w:r>
          </w:p>
        </w:tc>
        <w:tc>
          <w:tcPr>
            <w:tcW w:w="4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17,089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6,755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81,486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81,486</w:t>
            </w:r>
          </w:p>
        </w:tc>
        <w:tc>
          <w:tcPr>
            <w:tcW w:w="8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105,330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17,089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88,241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23,154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9,208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13,946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63,310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86,464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77,256</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Derivative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2,848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4"/>
              </w:rPr>
              <w:t>2,981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of $17.1 million as of December 31, 2016 and $9.2 million as of December 31, 2015 consisted of overnight investments, money market funds and highly rated corporate bonds and are classified within Level 1 of the fair value hierarchy because they are valued using quoted market prices in active markets. Cash equivalents of $6.8 million as of December 31, 2016 and $13.9 million as of December 31, 2015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Short-term investments of $81.5 million as of December 31, 2016 and $63.3 million as of December 31,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short-term investments are classified as available-for-sale securities. As of December 31, 2016,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maturity of available-for-sale securities during the three years ended December 31, 2016. As a result, the Company did not reclassify any amounts out of accumulated other comprehensive income for the same periods. The Company has a limited number of available-for-sale securities in insignificant loss positions as of December 31, 2016, which the Company does not intend to sell and has concluded it will not be required to sell before recovery of the amortized cost for the investment at maturity. The following table summarizes the available-for-sale securities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Amortized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r>
      <w:tr>
        <w:trPr>
          <w:trHeight w:val="171"/>
        </w:trPr>
        <w:tc>
          <w:tcPr>
            <w:tcW w:w="1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176"/>
        </w:trPr>
        <w:tc>
          <w:tcPr>
            <w:tcW w:w="1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December 31, 2016</w:t>
            </w:r>
          </w:p>
        </w:tc>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$ 30,125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$30,186</w:t>
            </w: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51,305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51,300</w:t>
            </w:r>
          </w:p>
        </w:tc>
      </w:tr>
      <w:tr>
        <w:trPr>
          <w:trHeight w:val="223"/>
        </w:trPr>
        <w:tc>
          <w:tcPr>
            <w:tcW w:w="14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$ 81,430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w w:val="70"/>
              </w:rPr>
              <w:t>(11)</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81,486</w:t>
            </w:r>
          </w:p>
        </w:tc>
        <w:tc>
          <w:tcPr>
            <w:tcW w:w="6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58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December 31, 2015</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$ 28,980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$29,028</w:t>
            </w: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34,282</w:t>
            </w:r>
          </w:p>
        </w:tc>
      </w:tr>
      <w:tr>
        <w:trPr>
          <w:trHeight w:val="223"/>
        </w:trPr>
        <w:tc>
          <w:tcPr>
            <w:tcW w:w="14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$ 63,282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(20)</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63,310</w:t>
            </w:r>
          </w:p>
        </w:tc>
        <w:tc>
          <w:tcPr>
            <w:tcW w:w="6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are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40" w:type="dxa"/>
            <w:vAlign w:val="bottom"/>
            <w:gridSpan w:val="4"/>
          </w:tcPr>
          <w:p>
            <w:pPr>
              <w:jc w:val="center"/>
              <w:ind w:left="15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w:t>
            </w:r>
          </w:p>
        </w:tc>
        <w:tc>
          <w:tcPr>
            <w:tcW w:w="11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Warrant</w:t>
            </w: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Balance—January 1, 2014</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Initial fair value of derivative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(1,789)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2014</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2015</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Reclassification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(4,551)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2016</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derivative liability related to the contingent success fee owed under the term loans. Upon the completion of an IPO or upon the occurrence of certain change of control or liquidation events, the Company was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is payable by June 2018 is included in other long-term liabilities.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on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Reimbursable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2"/>
          </w:tcPr>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1,641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6,771</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September 2014, the Company entered into a bridge loan financing with various investors, in which it issued convertible unsecured promissory notes for an aggregate principal amount of $5.0 million (the “2014 Notes”), in two closings. The first closing occurred in September 2014 and $4.9 million was received, and the balance of $0.1 million was received in October 2014. The 2014 Notes accrued interest at 6% per annum and had a maturity date of September 30, 2015 (the “Maturity Date”). The 2014 Notes were convertible upon the occurrence of the certain events during the period that the loans are outstanding. In June 2015, in conjunction with the Series C-1 financing, the outstanding principal of $5.0 million of the 2014 Notes and the related accrued interest of $0.2 million were converted into 372,446 shares of Series C-1 at $14.00 per share, which was the same price paid by Series C-1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Solar Capital, Ltd, Term Loan</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June 2014, the Company entered into a loan and security agreement with Solar Capital Ltd. (“Solar”), as collateral agent and lender, consisting of a $15.0 million senior secured term loan facility. The loan was secured by substantially all of the Company’s existing and after-acquired assets except its intellectual property, but including right of payment with respect to any such intellectual property and all proceeds from the disposition of any such intellectual property. The intellectual property of the Company was subject to a negative pledge. In September and December 2014, the Company amended the term loan facility. The term loan facility had a maturity date of June 13, 2018.</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September 2014, the initial term loan (the “Term A Loan”), in the aggregate principal amount of $5.0 million was funded; and in December 2014, a second term loan (the “Term C Loan”) in the aggregate principal amount of $4.0 million was funded with the following post-closing conditions: pursuant to the KHK License Agreement, the Company was required to receive $7.5 million in net equity proceeds no later than January 9, 2015 and was required to receive $17.5 million in license-related proceeds no later than February 13, 2015, or return the $4.0 million of proceeds from Term Loan C to Solar. The Company achieved the post-closing conditions.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Interest accrued at a floating rate per annum equal to LIBOR plus 8.8%, payable monthly in arrears. The Company was required to make interest-only payments on any term loans funded under the term loan facility until July 1, 2015. Beginning on July 1, 2015, it was required to make payments of principal plus accrued interest in equal monthly installments until the maturity date. In addition, the Company was required to pay a final fee equal to 4% of the amount of term loans funded that was due on the earlier of the maturity date of the term loan facility or upon the occurrence of certain change of control or liquidity events. The Company accrued the final fee of $0.4 million on the outstanding term loans through interest expense using the effective-interest method over the period that the debt was outstanding. The Company incurred $0.3 million of debt issuance costs for this term loan facility, which were amortized as interest expense over the period that the related debt was outstanding.</w:t>
      </w:r>
    </w:p>
    <w:p>
      <w:pPr>
        <w:spacing w:after="0" w:line="17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Company had the option to prepay the term loans provided it paid a prepayment fee equal to 2% of the outstanding principal if paid prior to the one-year anniversary and 1% of the outstanding principal if paid after the one-year anniversary of the funding. In October 2015, the Company prepaid the outstanding balance on the term loans of $8.3 million plus accrued interest of $0.1 million and a final fee and prepayment penalty of $0.4 million. In conjunction with this prepayment, the Company recorded an expense of $0.3 million for the final fee and prepayment penalty and wrote off $0.3 million of unamortized debt discount and deferred issuance costs related to the term loans.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completion of an IPO or upon the occurrence of certain change of control or liquidity events, the Company is required to pay a $0.2 million success fee that will be due on the earlier of the maturity date of the term loan facility or upon the occurrence of certain change of control or liquidity events. The Company initially recorded the success fee as a derivative financial liability. The initial fair value of the derivative of $0.1 million was recorded as a debt discount. The term loans were paid in full in October 2015; however, the liability for the success fee survived the repayment of the term loans. Upon completion of the IPO, the success fee is no longer considered a derivative liability. The success fee of $0.2 million is payable by June 2018 and included in other long-term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Preferred Stock</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Upon the closing of the IPO, all of the outstanding shares of the Company’s convertible preferred stock were converted into 12,872,551 shares of its common stock. As of December 31, 2016, the Company does not have any convertible preferred stock issued or outstanding. In connection with the closing of the Company’s IPO, the Company filed an amended and restated certificate of incorporation and adopted amended and restated bylaws; and pursuant to the amended and restated certificate of incorporation, the Company is now authorized to issue 10,000,000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the Company’s shareholders.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consisted of the following (in thousands, except share data)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3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Issuance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7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6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Shares</w:t>
            </w:r>
          </w:p>
        </w:tc>
        <w:tc>
          <w:tcPr>
            <w:tcW w:w="326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Designated</w:t>
            </w:r>
          </w:p>
        </w:tc>
        <w:tc>
          <w:tcPr>
            <w:tcW w:w="3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and Outstanding</w:t>
            </w:r>
          </w:p>
        </w:tc>
        <w:tc>
          <w:tcPr>
            <w:tcW w:w="200" w:type="dxa"/>
            <w:vAlign w:val="bottom"/>
          </w:tcPr>
          <w:p>
            <w:pPr>
              <w:spacing w:after="0"/>
              <w:rPr>
                <w:sz w:val="15"/>
                <w:szCs w:val="15"/>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Preference</w:t>
            </w:r>
          </w:p>
        </w:tc>
        <w:tc>
          <w:tcPr>
            <w:tcW w:w="100" w:type="dxa"/>
            <w:vAlign w:val="bottom"/>
          </w:tcPr>
          <w:p>
            <w:pPr>
              <w:spacing w:after="0"/>
              <w:rPr>
                <w:sz w:val="15"/>
                <w:szCs w:val="15"/>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3,160,975</w:t>
            </w:r>
          </w:p>
        </w:tc>
        <w:tc>
          <w:tcPr>
            <w:tcW w:w="38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2013</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2,801,745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65,666</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Series B</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3,382,113</w:t>
            </w:r>
          </w:p>
        </w:tc>
        <w:tc>
          <w:tcPr>
            <w:tcW w:w="3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March and August 2013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272,240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1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3,965,411</w:t>
            </w:r>
          </w:p>
        </w:tc>
        <w:tc>
          <w:tcPr>
            <w:tcW w:w="326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91"/>
              </w:rPr>
              <w:t>March, April, July, August and</w:t>
            </w:r>
          </w:p>
        </w:tc>
        <w:tc>
          <w:tcPr>
            <w:tcW w:w="12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3,568,020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96,348</w:t>
            </w: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November 2013</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and January 2015</w:t>
            </w: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Series C-1</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6,090,481</w:t>
            </w:r>
          </w:p>
        </w:tc>
        <w:tc>
          <w:tcPr>
            <w:tcW w:w="380" w:type="dxa"/>
            <w:vAlign w:val="bottom"/>
          </w:tcPr>
          <w:p>
            <w:pPr>
              <w:spacing w:after="0"/>
              <w:rPr>
                <w:sz w:val="19"/>
                <w:szCs w:val="19"/>
                <w:color w:val="auto"/>
              </w:rPr>
            </w:pPr>
          </w:p>
        </w:tc>
        <w:tc>
          <w:tcPr>
            <w:tcW w:w="32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June and August 2015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6,090,461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152,015</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319,113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Series A</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7"/>
              </w:rPr>
              <w:t>3,512,194</w:t>
            </w:r>
          </w:p>
        </w:tc>
        <w:tc>
          <w:tcPr>
            <w:tcW w:w="380" w:type="dxa"/>
            <w:vAlign w:val="bottom"/>
          </w:tcPr>
          <w:p>
            <w:pPr>
              <w:spacing w:after="0" w:line="20" w:lineRule="exact"/>
              <w:rPr>
                <w:sz w:val="1"/>
                <w:szCs w:val="1"/>
                <w:color w:val="auto"/>
              </w:rPr>
            </w:pPr>
          </w:p>
        </w:tc>
        <w:tc>
          <w:tcPr>
            <w:tcW w:w="32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March and August 2013</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700,435</w:t>
            </w: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2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 August 2015, the Company issued 4,377,902 additional shares of Series C-1 for $61.1 million in cash, net of offering costs of $0.2 million. On the date of issuance, the Company recorded accretion of $46.1 million to record the convertible preferred stock at its redemption value.</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June 2015, the Company issued 1,712,559 shares of Series C-1 for $18.5 million in cash, net of offering costs of $0.2 million, and the conversion of the outstanding principal on the 2014 Notes of $5.0 million and related accrued interest of $0.2 million. On the date of issuance, the Company recorded accretion of $18.2 million to record the convertible preferred stock at its redemption value.</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January 2015, in accordance with the terms of the KHK License Agreement, the Company issued 536,049 shares of Series B-1 at an issuance price of $14.39 per share, the fair value of the Series B-1 based on the results of a contemporaneous valuation. On the date of issuance, the Company recorded accretion of $5.4 million to record the convertible preferred stock at its redemption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connection with the closing of the Company’s IPO, the Company filed an amended and restated certificate of incorporation and adopted amended and restated bylaws; and pursuant to the amended and restated certificate of incorporation, the Company is now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15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future vesting of restricted stock, exercise of stock options, and the employee stock purchase plan:</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280" w:type="dxa"/>
            <w:vAlign w:val="bottom"/>
            <w:gridSpan w:val="3"/>
          </w:tcPr>
          <w:p>
            <w:pPr>
              <w:ind w:left="306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Common stock issuable under Bayer warrant</w:t>
            </w:r>
          </w:p>
        </w:tc>
        <w:tc>
          <w:tcPr>
            <w:tcW w:w="30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4,025,966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0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F-23</w:t>
            </w: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September 2015, the Company’s board of directors adopted its 2015 Omnibus Incentive Plan (“2015 Plan”), which was subsequently approved by its stockholders and became effective upon the closing of the IPO on March 8, 2016. The 2015 Plan replaces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2016, there were 1,465,229 shares available for issuance under the 2015 Plan.</w:t>
      </w:r>
    </w:p>
    <w:p>
      <w:pPr>
        <w:spacing w:after="0" w:line="18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2017, the shares available for issuance under the 2015 Plan were increased to 4,754,914.</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consolidated statements of operations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3,036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1,730</w:t>
            </w:r>
          </w:p>
        </w:tc>
      </w:tr>
      <w:tr>
        <w:trPr>
          <w:trHeight w:val="27"/>
        </w:trPr>
        <w:tc>
          <w:tcPr>
            <w:tcW w:w="4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3,882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2,257</w:t>
            </w: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2016, there was $7.8 million of unrecognized compensation cost related to employee and non-employee unvested stock options and unvested restricted stock granted under the 2007 and 2015 Plans, which is expected to be recognized over a weighted-average remaining service period of 2.5 years. Stock compensation costs have not been capitalized by the Company.</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service-based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accounting guidance for stock-based compensation requires forfeitures to be estimated at the time of grant and revised, if necessary, in subsequent periods if actual forfeitures differ from those estimates. The grant date fair values of options issued to employees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non-employees were estimated using the Black-Scholes option-pricing model with the following assumptions: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0"/>
              </w:rPr>
              <w:t>Years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 rate</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71.40%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69.92%</w:t>
            </w:r>
          </w:p>
        </w:tc>
        <w:tc>
          <w:tcPr>
            <w:tcW w:w="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70.36%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determining the exercise prices for options granted, the Board has considered the fair value of the common stock as of each grant date. Prior to our IPO, the fair value of the common stock underlying the stock options has been determined by the Board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employee and non-employee option activity under the Company’s equity award plans is presented below (in thousands, except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Outstanding—January 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2,606,195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478,530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12.64</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(441,573)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4.66</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Canceled or 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(82,415)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8.87</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2,560,737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Exercisable—December 31, 2016</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8.33</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8.2</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2,234,249</w:t>
            </w: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exercisable or expected to vest—December 31, 2016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2,503,957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2016, 2015 and 2014, was $7.94, $5.74 and $8.92, respectively. The fair value is being expensed over the vesting period of the options (usually three to four years) on a straight-line basis as the services are being provided.</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There were 441,573 options exercised for the year ended December 31, 2016, resulting in total proceeds of $2.1 million; and 41,607 options exercised for the year ended December 31, 2015, resulting in total proceeds of $0.2 million, including 16,731 shares subject to repurchase by the Company. No options were exercised in 2014. The intrinsic value of options exercised during the years ended December 31, 2016 and 2015 was $3.8 million, and $0.2 million, respectively. In accordance with the Company’s policy, the shares were issued from a pool of shares reserved for issuance under the 2007 and 2015 Plans.</w:t>
      </w:r>
    </w:p>
    <w:p>
      <w:pPr>
        <w:spacing w:after="0" w:line="15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Upon the closing of the IPO in March 2016, the Company recorded $0.7 million of additional stock compensation expense related to certain options granted to two of the Company’s executives.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2007 Plan allowed employees to exercise unvested options in exchange for restricted common stock. Such arrangements permitted the Company to subsequently repurchase such shares at the exercise price if the vesting conditions were not satisfied. Such an exercise is not substantive for accounting purposes; therefore, the payment received by the Company for the exercise price is recognized as an early exercise liability on the Company’s consolidated balance sheet and will be transferred to common stock and additional paid-in capital as such shares vest. The Company issued 16,731 shares of restricted common stock upon early exercise of stock options during the year ended December 31, 2015, with total proceeds of $0.1 million on the exercise date. As of December 31, 2016, 8,542 unvested shares were legally issued and outstanding and subject to repurchase by the Company. In connection with these unvested shares, the Company has recorded a liability of $0.1 million, of which $42,000 is included in accrued expenses and other current liabilities and $17,000 is included in other long-term liabilities in the Company’s consolidated balance sheet.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September 2015, the Company’s Board adopted the Employee Stock Purchase Plan (the “ESPP”), which was subsequently approved by the Company’s stockholders in February 2016 and became effective upon the closing of our IPO on March 8, 2016. The ESPP authorizes the initial issuance of up to a total of 250,000 shares of common stock to the Company’s employees. No offering periods have been approved at this time; and as of the December 31, 2016, no shares of common stock have been purchased under the ESPP.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January 1, 2017, and continuing until the expiration of the ESPP, which is the earlier of (a) ten years after the date of adoption of the ESPP or</w:t>
      </w:r>
    </w:p>
    <w:p>
      <w:pPr>
        <w:spacing w:after="0" w:line="46" w:lineRule="exact"/>
        <w:rPr>
          <w:sz w:val="20"/>
          <w:szCs w:val="20"/>
          <w:color w:val="auto"/>
        </w:rPr>
      </w:pPr>
    </w:p>
    <w:p>
      <w:pPr>
        <w:ind w:right="40" w:firstLine="8"/>
        <w:spacing w:after="0" w:line="253"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time as all shares of common stock that may be made available for purchase under the ESPP have been issued, the number of common shares available for purchase by the Company’s employees will automatically increase annually on January 1, beginning January 1, 2017, in an amount equal to the lesser of (i) 1% of the total number of issued and outstanding common stock as December 31 of the immediately preceding year or (ii) 250,000 shares of our common stock or such lesser number of shares as determined by the Company’s board of directors. On January 1, 2017, the shares of common stock reserved for issuance under the ESPP was increased to 432,237.</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2016, 2015 and 2014, the Company made $72,000, $33,000 and $0 contributions to the plan,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Years Ended</w:t>
      </w:r>
    </w:p>
    <w:p>
      <w:pP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13,744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14,598</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Capitalized start-up and research and development costs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47,048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37,641</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(10,530)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(8,433)</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47,359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Valuation allowances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(60,323)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(47,359)</w:t>
            </w: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 has provided a valuation allowance for the full amount of the net deferred tax assets as the realization of the deferred tax assets is not determined to be more likely than not. The valuation allowance increased by $13.0 million and $6.6 million in 2016 and 2015, respectively, due to the increase in deferred tax assets, primarily due to increases in capitalized start-up and research and development costs.</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of December 31, 2016, the Company had approximately $36.0 million and $27.5 million in federal and state Net Operating Losses (“NOLs”), respectively, which expire at various dates through 2036. As of December 31, 2016, the Company had federal and state research credits of $1.1 million and $0.9 million, respectively, which begin to expire in 2021.</w:t>
      </w:r>
    </w:p>
    <w:p>
      <w:pPr>
        <w:spacing w:after="0" w:line="18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 The Company completed an analysis through March 8, 2016 and determined that on March 30, 2007 and August 21, 2015, ownership changes had occurred. The Company may also experience ownership changes in the future as a result of subsequent shifts in our stock ownership, some of which may be outside the Company’s control. As a result, the Company’s ability to use our pre-change NOLs to offset U.S. federal taxable income may be subject to limitations, which could potentially result in increased future tax liability to the Company. In addition, at the state level, there may be periods during which the use of NOLs is suspended or otherwise limited, which could accelerate or permanently increase state taxes owed.</w:t>
      </w:r>
    </w:p>
    <w:p>
      <w:pPr>
        <w:spacing w:after="0" w:line="19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December 31, 2016 and 2015, the Company had uncertain tax positions of $0.2 million related to capitalized research and development costs and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2016, 2015 and 2014. The Company expects none of the unrecognized tax benefits to decrease within the next 12 months related to expired statutes or settlement with the taxing authorities. Due to the Company’s valuation allowance as of December 31, 2016, none of the Company’s unrecognized tax benefits, if recognized, would affect the effective tax 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2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5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benefit—beginning of year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$ 680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7"/>
        </w:trPr>
        <w:tc>
          <w:tcPr>
            <w:tcW w:w="7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benefit—end of year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241</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$ 241</w:t>
            </w:r>
          </w:p>
        </w:tc>
      </w:tr>
      <w:tr>
        <w:trPr>
          <w:trHeight w:val="20"/>
        </w:trPr>
        <w:tc>
          <w:tcPr>
            <w:tcW w:w="7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Company files tax returns in the United States, Massachusetts, California, South Carolina, New Jersey and New York.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September 2016, the Company entered into a new five-year operating lease for approximately 12,207 square feet of office space in Waltham, Massachusetts, with a lease commencement date of March 1, 2017, and an option to extend the lease term once for an additional three years. The Company also has an option to cancel the lease after three years with the termination fee consisting of $55,000. The Company’s existing Waltham lease expires in April 2017 and will relocate to the new space on March 1, 2017. The lease has monthly lease payments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$25,000 the first 12 months with annual rent escalations thereafter and provides a rent abatement of $0.2 million for the first year. The Company will record the lease abatement as deferred rent and will amortize these amounts on a straight-line basis as a reduction of rent expense over the lease term. The Company paid the landlord a security deposit of $0.1 million in 2016, which will be returned without interest at the end of the lease. The Company recorded the security deposit as a long-term deposit on its consolidated balance sheet.</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December 2015, the Company entered into a new 62-month building lease for approximately 4,039 square feet of space in New York, New York, which commenced on January 1, 2016. The lease has monthly lease payments of $18,000 the first 12 months with an annual rent escalation each year thereafter and provides a rent abatement of $18,000 per month for the first two months. The Company also has an option to cancel the lease after three years with the termination fee consisting of three months of rent. The Company recorded the lease abatement as deferred rent and will amortize these amounts on a straight-line basis as a reduction of rent expense over the lease term. In accordance with the lease, in December 2015, the Company entered into a cash-collateralized irrevocable standby letter of credit in the amount of $0.1 million naming the landlord as beneficiary.</w:t>
      </w:r>
    </w:p>
    <w:p>
      <w:pPr>
        <w:spacing w:after="0" w:line="16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December 2013, the Company entered into a 40-month lease for approximately 4,712 square feet of office space in Waltham, Massachusetts. The Company also leases office equipment, which is accounted for as a capital lease and included in property and equipment at cost.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annual minimum lease payments as of December 31, 2016, are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w w:val="93"/>
              </w:rPr>
              <w:t>Operating</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880" w:type="dxa"/>
            <w:vAlign w:val="bottom"/>
          </w:tcPr>
          <w:p>
            <w:pPr>
              <w:spacing w:after="0"/>
              <w:rPr>
                <w:sz w:val="14"/>
                <w:szCs w:val="1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years ended December 31,</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2017</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2019</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and thereafter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amounts representing interest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Present value of net minimum lease payments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Rent expense recognized under all operating leases, including additional rent charges for utilities, maintenance, and real estate taxes, is calculated on a straight-line basis and amounted to $0.4 million, $0.1 million and $0.1 million for the years ended December 31, 2016, 2015, and 2014, respectively.</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352"/>
              <w:spacing w:after="0" w:line="142"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688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170</w:t>
            </w:r>
          </w:p>
        </w:tc>
      </w:tr>
      <w:tr>
        <w:trPr>
          <w:trHeight w:val="198"/>
        </w:trPr>
        <w:tc>
          <w:tcPr>
            <w:tcW w:w="6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SUPPLEMENTAL DISCLOSURES OF NON-CASH INVESTING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w w:val="87"/>
              </w:rPr>
              <w:t>69,715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7"/>
              </w:rPr>
              <w:t>10,011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6,529</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Conversion of convertible notes and accrued interest into Series C-1 convertible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5,211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Term loan proceeds allocated to derivative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130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376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614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Conversion of preferred stock to common stock upon closing of initial public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w w:val="89"/>
              </w:rPr>
              <w:t>328,941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June 2015, in conjunction with the Series C-1 financing, the Company issued 1,130,740 shares of Series C-1 convertible preferred stock for total gross proceeds, including 2014 Notes conversion and cash purchase price, of $12.7 million to existing stockholders of the Company; and in August 2015 in conjunction with the Series C-1 financing, the Company issued 474,628 shares of Series C-1 convertible preferred stock for total gross proceeds of $5.3 million to an existing stockholder of the Company. See Note 12 for further discussion.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2014, the Company issued $5.0 million of 2014 Notes to stockholders of the Company. In June 2015, in conjunction with the Series C-1 financing, the outstanding principal of $5.0 million and the related accrued interest of $0.2 million on the 2014 Notes were converted into 465,563 shares of Series C-1. As of December 31, 2015, no amount of principal or related accrued interest on the 2014 Notes was outstanding. As of December 31, 2014, an aggregate of $5.0 million of principal was outstanding under the 2014 Notes and $0.1 million of related accrued interest were held by stockholders of the Company. Interest expense related to the 2014 Notes held by these stockholders was $0.3 million and $0.1 million for the years ended December 31, 2015 and 2014,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following table contains quarterly financial information for 2016 and 2015.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13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fees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6,131</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8,939</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15,543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(15,238)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(14,969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9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4,541,536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17,769,514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17,899,481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18,193,027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13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fees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5,559</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(5,858)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(7,731)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(206.30)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(440.52)</w:t>
            </w:r>
          </w:p>
        </w:tc>
        <w:tc>
          <w:tcPr>
            <w:tcW w:w="9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(790.85)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71,639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8"/>
          <w:szCs w:val="18"/>
          <w:color w:val="auto"/>
        </w:rPr>
        <w:t>Research and development expenses for three months ended September 30, 2016 included the $5.0 million upfront payment related to the UCB License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8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6"/>
              </w:rPr>
              <w:t>Amended and Restated Certificate of Incorporation of the Company (incorporated herein by reference to Exhibit 3.1 to the Company’s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Current Report on Form 8-K (File No. 001-37708), as filed with the SEC on March 8, 2016).</w:t>
            </w:r>
          </w:p>
        </w:tc>
        <w:tc>
          <w:tcPr>
            <w:tcW w:w="0" w:type="dxa"/>
            <w:vAlign w:val="bottom"/>
          </w:tcPr>
          <w:p>
            <w:pPr>
              <w:spacing w:after="0"/>
              <w:rPr>
                <w:sz w:val="1"/>
                <w:szCs w:val="1"/>
                <w:color w:val="auto"/>
              </w:rPr>
            </w:pPr>
          </w:p>
        </w:tc>
      </w:tr>
      <w:tr>
        <w:trPr>
          <w:trHeight w:val="310"/>
        </w:trPr>
        <w:tc>
          <w:tcPr>
            <w:tcW w:w="48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0"/>
              </w:rPr>
              <w:t>Amended and Restated Bylaws of the Company (incorporated herein by reference to Exhibit 3.1 to the Company’s Current Report on Form 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K (File No. 001-37708), as filed with the SEC on March 8, 2016).</w:t>
            </w:r>
          </w:p>
        </w:tc>
        <w:tc>
          <w:tcPr>
            <w:tcW w:w="0" w:type="dxa"/>
            <w:vAlign w:val="bottom"/>
          </w:tcPr>
          <w:p>
            <w:pPr>
              <w:spacing w:after="0"/>
              <w:rPr>
                <w:sz w:val="1"/>
                <w:szCs w:val="1"/>
                <w:color w:val="auto"/>
              </w:rPr>
            </w:pPr>
          </w:p>
        </w:tc>
      </w:tr>
      <w:tr>
        <w:trPr>
          <w:trHeight w:val="310"/>
        </w:trPr>
        <w:tc>
          <w:tcPr>
            <w:tcW w:w="48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7"/>
              </w:rPr>
              <w:t>Specimen Common Stock Certificate of the Company (incorporated herein by reference to Exhibit 4.1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S-1/A (File No. 333-208861), as filed with the SEC on February 20, 2016).</w:t>
            </w:r>
          </w:p>
        </w:tc>
        <w:tc>
          <w:tcPr>
            <w:tcW w:w="0" w:type="dxa"/>
            <w:vAlign w:val="bottom"/>
          </w:tcPr>
          <w:p>
            <w:pPr>
              <w:spacing w:after="0"/>
              <w:rPr>
                <w:sz w:val="1"/>
                <w:szCs w:val="1"/>
                <w:color w:val="auto"/>
              </w:rPr>
            </w:pPr>
          </w:p>
        </w:tc>
      </w:tr>
      <w:tr>
        <w:trPr>
          <w:trHeight w:val="310"/>
        </w:trPr>
        <w:tc>
          <w:tcPr>
            <w:tcW w:w="480" w:type="dxa"/>
            <w:vAlign w:val="bottom"/>
            <w:gridSpan w:val="2"/>
          </w:tcPr>
          <w:p>
            <w:pPr>
              <w:ind w:left="6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Form of Warrant to purchase Common Stock issued pursuant to the Warrant Agreement by and between the Company and Bayer Schering</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Pharma AG, dated as of March 26, 2007 (incorporated herein by reference to Exhibit 4.2 to the Company’s Registration Statement on Form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4"/>
              </w:rPr>
              <w:t>Warrant Agreement by and between the company and Bayer Schering Pharma AG, dated as of March 26, 2007 (incorporated herein by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reference to Exhibit 10.2 to the Company’s Registration Statement on Form S-1 (File No. 333-208861), as filed with the SEC on January 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5"/>
              </w:rPr>
              <w:t>2007 Stock Plan (incorporated herein by reference to Exhibit 10.3 to the Company’s Registration Statement on Form S-1 (File No. 333-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4"/>
              </w:rPr>
              <w:t>2007 Stock Plan Amendment, dated as of March 8, 2013 (incorporated herein by reference to Exhibit 10.4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4"/>
              </w:rPr>
              <w:t>2007 Stock Plan Amendment, dated as of July 10, 2013 (incorporated herein by reference to Exhibit 10.5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2007 Stock Plan Amendment, dated as of January 23, 2014 (incorporated herein by reference to Exhibit 10.6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9"/>
              </w:rPr>
              <w:t>2007 Stock Plan Amendment, dated as of December 17, 2014 (incorporated herein by reference to Exhibit 10.7 to the Company’s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4"/>
              </w:rPr>
              <w:t>2007 Stock Plan Amendment, dated as of May 28, 2015 (incorporated herein by reference to Exhibit 10.8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2007 Stock Plan Amendment, dated as of August 20, 2015 (incorporated herein by reference to Exhibit 10.9 to the Company’s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480" w:type="dxa"/>
            <w:vAlign w:val="bottom"/>
            <w:gridSpan w:val="2"/>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5"/>
              </w:rPr>
              <w:t>Form of Incentive Stock Option Agreement under 2007 Stock Plan (incorporated herein by reference to Exhibit 10.10 to the Company’s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840" w:type="dxa"/>
            <w:vAlign w:val="bottom"/>
            <w:gridSpan w:val="3"/>
          </w:tcPr>
          <w:p>
            <w:pPr>
              <w:spacing w:after="0"/>
              <w:rPr>
                <w:sz w:val="20"/>
                <w:szCs w:val="20"/>
                <w:color w:val="auto"/>
              </w:rPr>
            </w:pPr>
            <w:r>
              <w:rPr>
                <w:rFonts w:ascii="Arial" w:cs="Arial" w:eastAsia="Arial" w:hAnsi="Arial"/>
                <w:sz w:val="18"/>
                <w:szCs w:val="18"/>
                <w:color w:val="auto"/>
              </w:rPr>
              <w:t>10.10*</w:t>
            </w: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w w:val="92"/>
              </w:rPr>
              <w:t>Form of Non-Statutory Stock Option Agreement under 2007 Stock Plan (incorporated herein by reference to Exhibit 10.11 to the Company’s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gridSpan w:val="2"/>
          </w:tcPr>
          <w:p>
            <w:pPr>
              <w:ind w:left="320"/>
              <w:spacing w:after="0"/>
              <w:rPr>
                <w:sz w:val="20"/>
                <w:szCs w:val="20"/>
                <w:color w:val="auto"/>
              </w:rPr>
            </w:pPr>
            <w:r>
              <w:rPr>
                <w:rFonts w:ascii="Arial" w:cs="Arial" w:eastAsia="Arial" w:hAnsi="Arial"/>
                <w:sz w:val="18"/>
                <w:szCs w:val="18"/>
                <w:color w:val="auto"/>
              </w:rPr>
              <w:t>Registration Statement on Form S-1 (File No. 333-208861), as filed with the SEC on January 4,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gridSpan w:val="2"/>
          </w:tcPr>
          <w:p>
            <w:pPr>
              <w:spacing w:after="0" w:line="195" w:lineRule="exact"/>
              <w:rPr>
                <w:sz w:val="20"/>
                <w:szCs w:val="20"/>
                <w:color w:val="auto"/>
              </w:rPr>
            </w:pPr>
            <w:r>
              <w:rPr>
                <w:rFonts w:ascii="Arial" w:cs="Arial" w:eastAsia="Arial" w:hAnsi="Arial"/>
                <w:sz w:val="18"/>
                <w:szCs w:val="18"/>
                <w:color w:val="auto"/>
                <w:w w:val="95"/>
              </w:rPr>
              <w:t>10.11*</w:t>
            </w:r>
          </w:p>
        </w:tc>
        <w:tc>
          <w:tcPr>
            <w:tcW w:w="6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2"/>
              </w:rPr>
              <w:t>2015 Omnibus Incentive Plan (incorporated herein by reference to Exhibit 10.1 to the Company’s Registration Statement on Form S-8 (File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333-210412), as filed with the SEC on March 25,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10.12*</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Incentive Stock Option Agreement under 2015 Omnibus Incentive Plan (incorporated herein by reference to Exhibit 10.13 to the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10.13*</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Non-Qualified Option Agreement under 2015 Omnibus Incentive Plan (incorporated herein by reference to Exhibit 10.14 to the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10.14*</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2015 Employee Stock Purchase Plan (incorporated herein by reference to Exhibit 4.16 to the Company’s Registration Statement on Form S-8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333-210412), as filed with the SEC on March 25,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10.15*</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Executive Employment Agreement by and between the company and Briggs W. Morrison, M.D., dated as of September 30, 2015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10.16 to the Company’s Registration Statement on Form S-1 (File No. 333-208861), as filed with</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 on 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10.16*</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Executive Employment Agreement by and between the company and Michael A. Metzger, dated as of September 30, 2015 (incorporated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herein by reference to Exhibit 10.17 to the Company’s Registration Statement on Form S-1 (File No. 333-208861), as filed with the SEC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10.17*</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Executive Employment Agreement by and between the Company and Michael L. Meyers, M.D., Ph.D., dated as of October 1, 2015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10.18 to the Company’s Registration Statement on Form S-1 (File No. 333-208861), as filed with</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 on 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10.18*</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Indemnification Agreement by and between the company and each of its directors and officers (incorporated herein by reference to</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Exhibit 10.21 to the Company’s 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10.19†</w:t>
            </w:r>
          </w:p>
        </w:tc>
        <w:tc>
          <w:tcPr>
            <w:tcW w:w="10260" w:type="dxa"/>
            <w:vAlign w:val="bottom"/>
          </w:tcPr>
          <w:p>
            <w:pPr>
              <w:spacing w:after="0"/>
              <w:rPr>
                <w:sz w:val="20"/>
                <w:szCs w:val="20"/>
                <w:color w:val="auto"/>
              </w:rPr>
            </w:pPr>
            <w:r>
              <w:rPr>
                <w:rFonts w:ascii="Arial" w:cs="Arial" w:eastAsia="Arial" w:hAnsi="Arial"/>
                <w:sz w:val="18"/>
                <w:szCs w:val="18"/>
                <w:color w:val="auto"/>
                <w:w w:val="91"/>
              </w:rPr>
              <w:t>License, Development and Commercialization Agreement by and between the company and Bayer Schering Pharma AG, dated as of March</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26, 2007 (incorporated herein by reference to Exhibit 10.22 to the Company’s Registration Statement on Form S-1 (File No. 333-208861), as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10.20†</w:t>
            </w:r>
          </w:p>
        </w:tc>
        <w:tc>
          <w:tcPr>
            <w:tcW w:w="10260" w:type="dxa"/>
            <w:vAlign w:val="bottom"/>
          </w:tcPr>
          <w:p>
            <w:pPr>
              <w:spacing w:after="0"/>
              <w:rPr>
                <w:sz w:val="20"/>
                <w:szCs w:val="20"/>
                <w:color w:val="auto"/>
              </w:rPr>
            </w:pPr>
            <w:r>
              <w:rPr>
                <w:rFonts w:ascii="Arial" w:cs="Arial" w:eastAsia="Arial" w:hAnsi="Arial"/>
                <w:sz w:val="18"/>
                <w:szCs w:val="18"/>
                <w:color w:val="auto"/>
                <w:w w:val="90"/>
              </w:rPr>
              <w:t>First Amendment to the License, Development and Commercialization Agreement by and between the company and Bayer Pharma AG, dated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as of October 13, 2012 (incorporated herein by reference to Exhibit 10.23 to the Company’s Registration Statement on Form S-1 (File No.</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333-208861), as filed with the SEC on January 4, 2016).</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Second Amendment to the License, Development and Commercialization Agreement by and between the company and Bayer Pharma AG,</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dated as of February 1, 2013 (incorporated herein by reference to Exhibit 10.24 to the Company’s Registration Statement on Form S-1 (File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333-208861), as 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10.22†</w:t>
            </w:r>
          </w:p>
        </w:tc>
        <w:tc>
          <w:tcPr>
            <w:tcW w:w="10260" w:type="dxa"/>
            <w:vAlign w:val="bottom"/>
          </w:tcPr>
          <w:p>
            <w:pPr>
              <w:spacing w:after="0"/>
              <w:rPr>
                <w:sz w:val="20"/>
                <w:szCs w:val="20"/>
                <w:color w:val="auto"/>
              </w:rPr>
            </w:pPr>
            <w:r>
              <w:rPr>
                <w:rFonts w:ascii="Arial" w:cs="Arial" w:eastAsia="Arial" w:hAnsi="Arial"/>
                <w:sz w:val="18"/>
                <w:szCs w:val="18"/>
                <w:color w:val="auto"/>
                <w:w w:val="94"/>
              </w:rPr>
              <w:t>Third Amendment to the License, Development and Commercialization Agreement by and between the company and Bayer Pharma AG,</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dated as of October 9, 2013 (incorporated herein by reference to Exhibit 10.25 to the Company’s Registration Statement on Form S-1 (File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333-208861), as 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10.23†</w:t>
            </w:r>
          </w:p>
        </w:tc>
        <w:tc>
          <w:tcPr>
            <w:tcW w:w="10260" w:type="dxa"/>
            <w:vAlign w:val="bottom"/>
          </w:tcPr>
          <w:p>
            <w:pPr>
              <w:spacing w:after="0"/>
              <w:rPr>
                <w:sz w:val="20"/>
                <w:szCs w:val="20"/>
                <w:color w:val="auto"/>
              </w:rPr>
            </w:pPr>
            <w:r>
              <w:rPr>
                <w:rFonts w:ascii="Arial" w:cs="Arial" w:eastAsia="Arial" w:hAnsi="Arial"/>
                <w:sz w:val="18"/>
                <w:szCs w:val="18"/>
                <w:color w:val="auto"/>
                <w:w w:val="91"/>
              </w:rPr>
              <w:t>Letter Agreement by and between the company and Bayer Pharma AG, dated as of September 18, 2014 (incorporated herein by reference to</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Exhibit 10.26 to the Company’s Registration Statement on Form S-1 (File No. 333-208861), as filed with the SEC on January 4,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10.24†</w:t>
            </w:r>
          </w:p>
        </w:tc>
        <w:tc>
          <w:tcPr>
            <w:tcW w:w="58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2"/>
              </w:rPr>
              <w:t>Clinical Trial Agreement by and between the company and Eastern Cooperative Oncology Group, dated as of March 14, 2014 (incorporated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herein by reference to Exhibit 10.27 to the Company’s Registration Statement on Form S-1 (File No. 333-208861), as filed with the SEC 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1 to Clinical Trial Agreement by and between the company and ECOG-ACRIN Cancer Research Group, dated as of January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30, 2015 (incorporated herein by reference to Exhibit 10.28 to the Company’s Registration Statement on Form S-1 (File No. 333-208861),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2 to Clinical Trial Agreement by and between the company and ECOG-ACRIN Cancer Research Group, dated as of July 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2015 (incorporated herein by reference to Exhibit 10.37 to the Company’s Registration Statement on Form S-1/A (File No. 333-208861),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 on February 22,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3 to Clinical Trial Agreement by and between the Company and ECOG-ACRIN Cancer Research Group, dated as of April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20, 2016 (incorporated herein by reference to Exhibit 10.1 to the Company’s Quarterly Report on Form 10-Q, as filed with the SEC 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August 15,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4 to Clinical Trial Agreement by and between the Company and ECOG-ACRIN Cancer Research Group, dated as of April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20, 2016 (incorporated herein by reference to Exhibit 10.2 to the Company’s Quarterly Report on Form 10-Q, as filed with the SEC 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August 15,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5 to Clinical Trial Agreement by and between the Company and ECOG-ACRIN Cancer Research Group, dated as of April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20, 2016 (incorporated herein by reference to Exhibit 10.3 to the Company’s Quarterly Report on Form 10-Q, as filed with the SEC 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August 15,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6 to Clinical Trial Agreement by and between the Company and ECOG-ACRIN Cancer Research Group, dated as of April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25, 2016 (incorporated herein by reference to Exhibit 10.4 to the Company’s Quarterly Report on Form 10-Q, as filed with the SEC 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August 15,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Loan and Security Agreement by and among the company, Solar Capital Ltd. and the Lenders listed therein, dated as of June 13, 2014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10.29 to the Company’s Registration Statement on Form S-1 (File No. 333-208861), as filed with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First Amendment to Loan and Security Agreement by and among the company, Solar Capital Ltd. and the Lenders listed therein, dated as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September 25, 2014 (incorporated herein by reference to Exhibit 10.30 to the Company’s Registration Statement on Form S-1 (File No. 333-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208861), as filed with 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Second Amendment to Loan and Security Agreement by and among the company, Solar Capital Ltd. and the Lenders listed therein, dated as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of December 31, 2014 (incorporated herein by reference to Exhibit 10.31 to the Company’s Registration Statement on Form S-1 (File No.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333-208861), as filed with 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Clinical Trial Collaboration and Supply Agreement by and between the company and MSD International GmbH, dated as of March 27, 2015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10.32 to the Company’s Registration Statement on Form S-1 (File No. 333-208861), as filed with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First Amendment to Clinical Trial Collaboration and Supply Agreement by and between the company and MSD International GmbH, dated as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of August 13, 2015 (incorporated herein by reference to Exhibit 10.38 to the Company’s Registration Statement on Form S-1/A (File No. 333-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208861), as filed with the SEC on February 22,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10.37†</w:t>
            </w:r>
          </w:p>
        </w:tc>
        <w:tc>
          <w:tcPr>
            <w:tcW w:w="58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2"/>
              </w:rPr>
              <w:t>License, Development and Commercialization Agreement by and between the company and Kyowa Hakko Kirin Co., Ltd., dated December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19, 2014 (incorporated herein by reference to Exhibit 10.33 to the Company’s Registration Statement on Form S-1 (File No. 333-208861),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10.38†</w:t>
            </w:r>
          </w:p>
        </w:tc>
        <w:tc>
          <w:tcPr>
            <w:tcW w:w="10260" w:type="dxa"/>
            <w:vAlign w:val="bottom"/>
          </w:tcPr>
          <w:p>
            <w:pPr>
              <w:spacing w:after="0"/>
              <w:rPr>
                <w:sz w:val="20"/>
                <w:szCs w:val="20"/>
                <w:color w:val="auto"/>
              </w:rPr>
            </w:pPr>
            <w:r>
              <w:rPr>
                <w:rFonts w:ascii="Arial" w:cs="Arial" w:eastAsia="Arial" w:hAnsi="Arial"/>
                <w:sz w:val="18"/>
                <w:szCs w:val="18"/>
                <w:color w:val="auto"/>
                <w:w w:val="93"/>
              </w:rPr>
              <w:t>Side Letter by and between the company and Kyowa Hakko Kirin Co., Ltd., dated December 19, 2014 (incorporated herein by reference to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Exhibit 10.34 to the Company’s Registration Statement on Form S-1 (File No. 333-208861), as filed with the SEC on January 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10.39†</w:t>
            </w:r>
          </w:p>
        </w:tc>
        <w:tc>
          <w:tcPr>
            <w:tcW w:w="10260" w:type="dxa"/>
            <w:vAlign w:val="bottom"/>
          </w:tcPr>
          <w:p>
            <w:pPr>
              <w:spacing w:after="0"/>
              <w:rPr>
                <w:sz w:val="20"/>
                <w:szCs w:val="20"/>
                <w:color w:val="auto"/>
              </w:rPr>
            </w:pPr>
            <w:r>
              <w:rPr>
                <w:rFonts w:ascii="Arial" w:cs="Arial" w:eastAsia="Arial" w:hAnsi="Arial"/>
                <w:sz w:val="18"/>
                <w:szCs w:val="18"/>
                <w:color w:val="auto"/>
                <w:w w:val="91"/>
              </w:rPr>
              <w:t>Amendment #1 to License, Development and Commercialization Agreement by and between the company and Kyowa Hakko Kirin Co., Ltd.,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dated September 18, 2015 (incorporated herein by reference to Exhibit 10.39 to the Company’s Registration Statement on Form S-1/A (File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333-208861), as filed with the SEC on February 22,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10.40†</w:t>
            </w:r>
          </w:p>
        </w:tc>
        <w:tc>
          <w:tcPr>
            <w:tcW w:w="10260" w:type="dxa"/>
            <w:vAlign w:val="bottom"/>
          </w:tcPr>
          <w:p>
            <w:pPr>
              <w:spacing w:after="0"/>
              <w:rPr>
                <w:sz w:val="20"/>
                <w:szCs w:val="20"/>
                <w:color w:val="auto"/>
              </w:rPr>
            </w:pPr>
            <w:r>
              <w:rPr>
                <w:rFonts w:ascii="Arial" w:cs="Arial" w:eastAsia="Arial" w:hAnsi="Arial"/>
                <w:sz w:val="18"/>
                <w:szCs w:val="18"/>
                <w:color w:val="auto"/>
                <w:w w:val="91"/>
              </w:rPr>
              <w:t>Combination Study Collaboration Agreement by and between the company and Genentech, Inc. dated August 24, 2015 (incorporated herein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by reference to Exhibit 10.35 to the Company’s Registration Statement on Form S-1 (File No. 333-208861), as filed with the SEC on January</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4,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10.41†</w:t>
            </w:r>
          </w:p>
        </w:tc>
        <w:tc>
          <w:tcPr>
            <w:tcW w:w="10260" w:type="dxa"/>
            <w:vAlign w:val="bottom"/>
          </w:tcPr>
          <w:p>
            <w:pPr>
              <w:spacing w:after="0"/>
              <w:rPr>
                <w:sz w:val="20"/>
                <w:szCs w:val="20"/>
                <w:color w:val="auto"/>
              </w:rPr>
            </w:pPr>
            <w:r>
              <w:rPr>
                <w:rFonts w:ascii="Arial" w:cs="Arial" w:eastAsia="Arial" w:hAnsi="Arial"/>
                <w:sz w:val="18"/>
                <w:szCs w:val="18"/>
                <w:color w:val="auto"/>
                <w:w w:val="90"/>
              </w:rPr>
              <w:t>Clinical Trial Collaboration and Supply Agreement by and between the company, Pfizer Inc. and Ares Trading S.A., dated as of December 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2015 (incorporated herein by reference to Exhibit 10.36 to the Company’s Registration Statement on Form S-1/A (File No. 333-208861),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 on January 11, 2016).</w:t>
            </w:r>
          </w:p>
        </w:tc>
        <w:tc>
          <w:tcPr>
            <w:tcW w:w="0" w:type="dxa"/>
            <w:vAlign w:val="bottom"/>
          </w:tcPr>
          <w:p>
            <w:pPr>
              <w:spacing w:after="0"/>
              <w:rPr>
                <w:sz w:val="1"/>
                <w:szCs w:val="1"/>
                <w:color w:val="auto"/>
              </w:rPr>
            </w:pPr>
          </w:p>
        </w:tc>
      </w:tr>
      <w:tr>
        <w:trPr>
          <w:trHeight w:val="310"/>
        </w:trPr>
        <w:tc>
          <w:tcPr>
            <w:tcW w:w="1160" w:type="dxa"/>
            <w:vAlign w:val="bottom"/>
            <w:gridSpan w:val="3"/>
          </w:tcPr>
          <w:p>
            <w:pPr>
              <w:spacing w:after="0"/>
              <w:rPr>
                <w:sz w:val="20"/>
                <w:szCs w:val="20"/>
                <w:color w:val="auto"/>
              </w:rPr>
            </w:pPr>
            <w:r>
              <w:rPr>
                <w:rFonts w:ascii="Arial" w:cs="Arial" w:eastAsia="Arial" w:hAnsi="Arial"/>
                <w:sz w:val="18"/>
                <w:szCs w:val="18"/>
                <w:color w:val="auto"/>
              </w:rPr>
              <w:t>10.42†</w:t>
            </w:r>
          </w:p>
        </w:tc>
        <w:tc>
          <w:tcPr>
            <w:tcW w:w="10260" w:type="dxa"/>
            <w:vAlign w:val="bottom"/>
          </w:tcPr>
          <w:p>
            <w:pPr>
              <w:spacing w:after="0"/>
              <w:rPr>
                <w:sz w:val="20"/>
                <w:szCs w:val="20"/>
                <w:color w:val="auto"/>
              </w:rPr>
            </w:pPr>
            <w:r>
              <w:rPr>
                <w:rFonts w:ascii="Arial" w:cs="Arial" w:eastAsia="Arial" w:hAnsi="Arial"/>
                <w:sz w:val="18"/>
                <w:szCs w:val="18"/>
                <w:color w:val="auto"/>
                <w:w w:val="93"/>
              </w:rPr>
              <w:t>License Agreement by and between the Company and UCB Biopharma Sprl, dated as of July 1, 2016 (incorporated herein by reference to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 to the Company’s Current Report on Form 8-K (File No. 001- 37708), as filed with the SEC on October 7,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Third Amended and Restated Investors’ Rights Agreement by and among the company and the parties thereto, dated as of August 21, 2015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(incorporated herein by reference to Exhibit 10.1 to the Company’s Registration Statement on Form S-1 (File No. 333-208861), as filed with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 on January 4,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Subsidiaries of the Registrant (incorporated herein by reference to Exhibit 21.1 to the Company’s Registration Statement on Form S-1 (File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333-208861), as filed with the SEC on January 4, 2016).</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the signature page to this report).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Rule 13a-14(a) or 15d-14(a) of the Securities Exchange Act of 1934.</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Rule 13a-14(a) or 15d-14(a) of the Securities Exchange Act of 1934.</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and Principal Financial Officer pursuant to Rule 13a-14(b) or 15d-14(b) of the Exchange Act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3" w:lineRule="exact"/>
        <w:rPr>
          <w:sz w:val="20"/>
          <w:szCs w:val="20"/>
          <w:color w:val="auto"/>
        </w:rPr>
      </w:pPr>
    </w:p>
    <w:p>
      <w:pPr>
        <w:ind w:left="220" w:hanging="219"/>
        <w:spacing w:after="0" w:line="281" w:lineRule="auto"/>
        <w:tabs>
          <w:tab w:leader="none" w:pos="200" w:val="left"/>
        </w:tabs>
        <w:rPr>
          <w:sz w:val="20"/>
          <w:szCs w:val="20"/>
          <w:color w:val="auto"/>
        </w:rPr>
      </w:pPr>
      <w:r>
        <w:rPr>
          <w:rFonts w:ascii="Arial" w:cs="Arial" w:eastAsia="Arial" w:hAnsi="Arial"/>
          <w:sz w:val="16"/>
          <w:szCs w:val="16"/>
          <w:color w:val="auto"/>
        </w:rPr>
        <w:t>+</w:t>
        <w:tab/>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Confidential treatment has been granted for certain portions of this exhibit. These portions have been omitted and filed separately with the SEC.</w:t>
      </w:r>
    </w:p>
    <w:p>
      <w:pPr>
        <w:sectPr>
          <w:pgSz w:w="11900" w:h="16838" w:orient="portrait"/>
          <w:cols w:equalWidth="0" w:num="1">
            <w:col w:w="11140"/>
          </w:cols>
          <w:pgMar w:left="240" w:top="459" w:right="5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333-210412 on Form S-8 of our report dated March 14, 2017, relating to the financial statements of Syndax Pharmaceuticals, Inc. and its subsidiaries appearing in this Annual Report on Form 10-K of Syndax Pharmaceuticals, Inc.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117"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117"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Annual Report on Form 10-K of Syndax Pharmaceuticals, Inc. (the “Company”) for the year ended December 31, 2016,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464"/>
        <w:spacing w:after="0" w:line="516"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14, 2017</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2017</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2718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2"/>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78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lowerRoman"/>
      <w:start w:val="3"/>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Roman"/>
      <w:start w:val="4"/>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4"/>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3"/>
    </w:lvl>
  </w:abstractNum>
  <w:abstractNum w:abstractNumId="55">
    <w:nsid w:val="47398C89"/>
    <w:multiLevelType w:val="hybridMultilevel"/>
    <w:lvl w:ilvl="0">
      <w:lvlJc w:val="left"/>
      <w:lvlText w:val="(%1)"/>
      <w:numFmt w:val="lowerRoman"/>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2019-12-29T07:43:13Z</dcterms:created>
  <dcterms:modified xsi:type="dcterms:W3CDTF">2019-12-29T07:43:13Z</dcterms:modified>
</cp:coreProperties>
</file>