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confidentially submitted to the Securities and Exchange Commission on August 25, 2015.</w:t>
      </w:r>
    </w:p>
    <w:p>
      <w:pPr>
        <w:spacing w:after="0" w:line="2" w:lineRule="exact"/>
        <w:rPr>
          <w:sz w:val="24"/>
          <w:szCs w:val="24"/>
          <w:color w:val="auto"/>
        </w:rPr>
      </w:pPr>
    </w:p>
    <w:p>
      <w:pPr>
        <w:ind w:left="9780" w:right="400" w:hanging="8751"/>
        <w:spacing w:after="0" w:line="297"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90170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Syndax Pharmaceuticals,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740" w:type="dxa"/>
            <w:vAlign w:val="bottom"/>
          </w:tcPr>
          <w:p>
            <w:pPr>
              <w:jc w:val="center"/>
              <w:ind w:right="1052"/>
              <w:spacing w:after="0"/>
              <w:rPr>
                <w:sz w:val="20"/>
                <w:szCs w:val="20"/>
                <w:color w:val="auto"/>
              </w:rPr>
            </w:pPr>
            <w:r>
              <w:rPr>
                <w:rFonts w:ascii="Arial" w:cs="Arial" w:eastAsia="Arial" w:hAnsi="Arial"/>
                <w:sz w:val="14"/>
                <w:szCs w:val="14"/>
                <w:b w:val="1"/>
                <w:bCs w:val="1"/>
                <w:color w:val="auto"/>
                <w:w w:val="87"/>
              </w:rPr>
              <w:t>Delaware</w:t>
            </w:r>
          </w:p>
        </w:tc>
        <w:tc>
          <w:tcPr>
            <w:tcW w:w="3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2834</w:t>
            </w:r>
          </w:p>
        </w:tc>
        <w:tc>
          <w:tcPr>
            <w:tcW w:w="2460" w:type="dxa"/>
            <w:vAlign w:val="bottom"/>
          </w:tcPr>
          <w:p>
            <w:pPr>
              <w:jc w:val="center"/>
              <w:ind w:left="1152"/>
              <w:spacing w:after="0"/>
              <w:rPr>
                <w:sz w:val="20"/>
                <w:szCs w:val="20"/>
                <w:color w:val="auto"/>
              </w:rPr>
            </w:pPr>
            <w:r>
              <w:rPr>
                <w:rFonts w:ascii="Arial" w:cs="Arial" w:eastAsia="Arial" w:hAnsi="Arial"/>
                <w:sz w:val="14"/>
                <w:szCs w:val="14"/>
                <w:b w:val="1"/>
                <w:bCs w:val="1"/>
                <w:color w:val="auto"/>
                <w:w w:val="85"/>
              </w:rPr>
              <w:t>32-0162505</w:t>
            </w:r>
          </w:p>
        </w:tc>
      </w:tr>
      <w:tr>
        <w:trPr>
          <w:trHeight w:val="149"/>
        </w:trPr>
        <w:tc>
          <w:tcPr>
            <w:tcW w:w="2740" w:type="dxa"/>
            <w:vAlign w:val="bottom"/>
          </w:tcPr>
          <w:p>
            <w:pPr>
              <w:jc w:val="center"/>
              <w:ind w:right="1052"/>
              <w:spacing w:after="0" w:line="149" w:lineRule="exact"/>
              <w:rPr>
                <w:sz w:val="20"/>
                <w:szCs w:val="20"/>
                <w:color w:val="auto"/>
              </w:rPr>
            </w:pPr>
            <w:r>
              <w:rPr>
                <w:rFonts w:ascii="Arial" w:cs="Arial" w:eastAsia="Arial" w:hAnsi="Arial"/>
                <w:sz w:val="14"/>
                <w:szCs w:val="14"/>
                <w:color w:val="auto"/>
                <w:w w:val="90"/>
              </w:rPr>
              <w:t>(State or other jurisdiction of</w:t>
            </w:r>
          </w:p>
        </w:tc>
        <w:tc>
          <w:tcPr>
            <w:tcW w:w="39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(Primary Standard Industrial</w:t>
            </w:r>
          </w:p>
        </w:tc>
        <w:tc>
          <w:tcPr>
            <w:tcW w:w="2460" w:type="dxa"/>
            <w:vAlign w:val="bottom"/>
          </w:tcPr>
          <w:p>
            <w:pPr>
              <w:jc w:val="center"/>
              <w:ind w:left="1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740" w:type="dxa"/>
            <w:vAlign w:val="bottom"/>
          </w:tcPr>
          <w:p>
            <w:pPr>
              <w:jc w:val="center"/>
              <w:ind w:right="1052"/>
              <w:spacing w:after="0"/>
              <w:rPr>
                <w:sz w:val="20"/>
                <w:szCs w:val="20"/>
                <w:color w:val="auto"/>
              </w:rPr>
            </w:pPr>
            <w:r>
              <w:rPr>
                <w:rFonts w:ascii="Arial" w:cs="Arial" w:eastAsia="Arial" w:hAnsi="Arial"/>
                <w:sz w:val="14"/>
                <w:szCs w:val="14"/>
                <w:color w:val="auto"/>
                <w:w w:val="88"/>
              </w:rPr>
              <w:t>incorporation or organization)</w:t>
            </w:r>
          </w:p>
        </w:tc>
        <w:tc>
          <w:tcPr>
            <w:tcW w:w="3940" w:type="dxa"/>
            <w:vAlign w:val="bottom"/>
          </w:tcPr>
          <w:p>
            <w:pPr>
              <w:jc w:val="center"/>
              <w:ind w:right="32"/>
              <w:spacing w:after="0"/>
              <w:rPr>
                <w:sz w:val="20"/>
                <w:szCs w:val="20"/>
                <w:color w:val="auto"/>
              </w:rPr>
            </w:pPr>
            <w:r>
              <w:rPr>
                <w:rFonts w:ascii="Arial" w:cs="Arial" w:eastAsia="Arial" w:hAnsi="Arial"/>
                <w:sz w:val="14"/>
                <w:szCs w:val="14"/>
                <w:color w:val="auto"/>
                <w:w w:val="89"/>
              </w:rPr>
              <w:t>Classification Code Number)</w:t>
            </w:r>
          </w:p>
        </w:tc>
        <w:tc>
          <w:tcPr>
            <w:tcW w:w="2460" w:type="dxa"/>
            <w:vAlign w:val="bottom"/>
          </w:tcPr>
          <w:p>
            <w:pPr>
              <w:jc w:val="center"/>
              <w:ind w:left="1152"/>
              <w:spacing w:after="0"/>
              <w:rPr>
                <w:sz w:val="20"/>
                <w:szCs w:val="20"/>
                <w:color w:val="auto"/>
              </w:rPr>
            </w:pPr>
            <w:r>
              <w:rPr>
                <w:rFonts w:ascii="Arial" w:cs="Arial" w:eastAsia="Arial" w:hAnsi="Arial"/>
                <w:sz w:val="14"/>
                <w:szCs w:val="14"/>
                <w:color w:val="auto"/>
                <w:w w:val="90"/>
              </w:rPr>
              <w:t>Identification Number)</w:t>
            </w:r>
          </w:p>
        </w:tc>
      </w:tr>
    </w:tbl>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400 Totten Pond Road, Suite 110</w:t>
      </w:r>
    </w:p>
    <w:p>
      <w:pPr>
        <w:jc w:val="center"/>
        <w:spacing w:after="0" w:line="223" w:lineRule="auto"/>
        <w:rPr>
          <w:sz w:val="20"/>
          <w:szCs w:val="20"/>
          <w:color w:val="auto"/>
        </w:rPr>
      </w:pPr>
      <w:r>
        <w:rPr>
          <w:rFonts w:ascii="Arial" w:cs="Arial" w:eastAsia="Arial" w:hAnsi="Arial"/>
          <w:sz w:val="14"/>
          <w:szCs w:val="14"/>
          <w:b w:val="1"/>
          <w:bCs w:val="1"/>
          <w:color w:val="auto"/>
        </w:rPr>
        <w:t>Waltham, Massachusetts 02451</w:t>
      </w:r>
    </w:p>
    <w:p>
      <w:pPr>
        <w:jc w:val="center"/>
        <w:spacing w:after="0" w:line="222" w:lineRule="auto"/>
        <w:rPr>
          <w:sz w:val="20"/>
          <w:szCs w:val="20"/>
          <w:color w:val="auto"/>
        </w:rPr>
      </w:pPr>
      <w:r>
        <w:rPr>
          <w:rFonts w:ascii="Arial" w:cs="Arial" w:eastAsia="Arial" w:hAnsi="Arial"/>
          <w:sz w:val="14"/>
          <w:szCs w:val="14"/>
          <w:b w:val="1"/>
          <w:bCs w:val="1"/>
          <w:color w:val="auto"/>
        </w:rPr>
        <w:t>(781) 419-1400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Briggs W. Morrison, M.D.</w:t>
      </w:r>
    </w:p>
    <w:p>
      <w:pPr>
        <w:jc w:val="center"/>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Syndax Pharmaceuticals, Inc.</w:t>
      </w:r>
    </w:p>
    <w:p>
      <w:pPr>
        <w:jc w:val="center"/>
        <w:spacing w:after="0" w:line="221" w:lineRule="auto"/>
        <w:rPr>
          <w:sz w:val="20"/>
          <w:szCs w:val="20"/>
          <w:color w:val="auto"/>
        </w:rPr>
      </w:pPr>
      <w:r>
        <w:rPr>
          <w:rFonts w:ascii="Arial" w:cs="Arial" w:eastAsia="Arial" w:hAnsi="Arial"/>
          <w:sz w:val="14"/>
          <w:szCs w:val="14"/>
          <w:b w:val="1"/>
          <w:bCs w:val="1"/>
          <w:color w:val="auto"/>
        </w:rPr>
        <w:t>400 Totten Pond Road, Suite 110</w:t>
      </w:r>
    </w:p>
    <w:p>
      <w:pPr>
        <w:jc w:val="center"/>
        <w:spacing w:after="0" w:line="222" w:lineRule="auto"/>
        <w:rPr>
          <w:sz w:val="20"/>
          <w:szCs w:val="20"/>
          <w:color w:val="auto"/>
        </w:rPr>
      </w:pPr>
      <w:r>
        <w:rPr>
          <w:rFonts w:ascii="Arial" w:cs="Arial" w:eastAsia="Arial" w:hAnsi="Arial"/>
          <w:sz w:val="14"/>
          <w:szCs w:val="14"/>
          <w:b w:val="1"/>
          <w:bCs w:val="1"/>
          <w:color w:val="auto"/>
        </w:rPr>
        <w:t>Waltham, Massachusetts 02451</w:t>
      </w:r>
    </w:p>
    <w:p>
      <w:pPr>
        <w:jc w:val="center"/>
        <w:spacing w:after="0" w:line="221" w:lineRule="auto"/>
        <w:rPr>
          <w:sz w:val="20"/>
          <w:szCs w:val="20"/>
          <w:color w:val="auto"/>
        </w:rPr>
      </w:pPr>
      <w:r>
        <w:rPr>
          <w:rFonts w:ascii="Arial" w:cs="Arial" w:eastAsia="Arial" w:hAnsi="Arial"/>
          <w:sz w:val="14"/>
          <w:szCs w:val="14"/>
          <w:b w:val="1"/>
          <w:bCs w:val="1"/>
          <w:color w:val="auto"/>
        </w:rPr>
        <w:t>(781) 419-1400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4320" w:type="dxa"/>
            <w:vAlign w:val="bottom"/>
          </w:tcPr>
          <w:p>
            <w:pPr>
              <w:ind w:left="1760"/>
              <w:spacing w:after="0"/>
              <w:rPr>
                <w:sz w:val="20"/>
                <w:szCs w:val="20"/>
                <w:color w:val="auto"/>
              </w:rPr>
            </w:pPr>
            <w:r>
              <w:rPr>
                <w:rFonts w:ascii="Arial" w:cs="Arial" w:eastAsia="Arial" w:hAnsi="Arial"/>
                <w:sz w:val="14"/>
                <w:szCs w:val="14"/>
                <w:b w:val="1"/>
                <w:bCs w:val="1"/>
                <w:i w:val="1"/>
                <w:iCs w:val="1"/>
                <w:color w:val="auto"/>
              </w:rPr>
              <w:t>Copies to:</w:t>
            </w:r>
          </w:p>
        </w:tc>
        <w:tc>
          <w:tcPr>
            <w:tcW w:w="2420" w:type="dxa"/>
            <w:vAlign w:val="bottom"/>
          </w:tcPr>
          <w:p>
            <w:pPr>
              <w:spacing w:after="0"/>
              <w:rPr>
                <w:sz w:val="14"/>
                <w:szCs w:val="14"/>
                <w:color w:val="auto"/>
              </w:rPr>
            </w:pPr>
          </w:p>
        </w:tc>
      </w:tr>
      <w:tr>
        <w:trPr>
          <w:trHeight w:val="149"/>
        </w:trPr>
        <w:tc>
          <w:tcPr>
            <w:tcW w:w="270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0"/>
              </w:rPr>
              <w:t>Laura A. Berezin</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John S. Pallies</w:t>
            </w:r>
          </w:p>
        </w:tc>
        <w:tc>
          <w:tcPr>
            <w:tcW w:w="242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92"/>
              </w:rPr>
              <w:t>Divakar Gupta</w:t>
            </w:r>
          </w:p>
        </w:tc>
      </w:tr>
      <w:tr>
        <w:trPr>
          <w:trHeight w:val="149"/>
        </w:trPr>
        <w:tc>
          <w:tcPr>
            <w:tcW w:w="2700" w:type="dxa"/>
            <w:vAlign w:val="bottom"/>
          </w:tcPr>
          <w:p>
            <w:pPr>
              <w:jc w:val="center"/>
              <w:ind w:right="692"/>
              <w:spacing w:after="0" w:line="149" w:lineRule="exact"/>
              <w:rPr>
                <w:sz w:val="20"/>
                <w:szCs w:val="20"/>
                <w:color w:val="auto"/>
              </w:rPr>
            </w:pPr>
            <w:r>
              <w:rPr>
                <w:rFonts w:ascii="Arial" w:cs="Arial" w:eastAsia="Arial" w:hAnsi="Arial"/>
                <w:sz w:val="14"/>
                <w:szCs w:val="14"/>
                <w:b w:val="1"/>
                <w:bCs w:val="1"/>
                <w:color w:val="auto"/>
                <w:w w:val="88"/>
              </w:rPr>
              <w:t>Jaime L. Chase</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Chief Financial Officer, Treasurer and Secretary</w:t>
            </w:r>
          </w:p>
        </w:tc>
        <w:tc>
          <w:tcPr>
            <w:tcW w:w="242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8"/>
              </w:rPr>
              <w:t>Joshua A. Kaufman</w:t>
            </w:r>
          </w:p>
        </w:tc>
      </w:tr>
      <w:tr>
        <w:trPr>
          <w:trHeight w:val="149"/>
        </w:trPr>
        <w:tc>
          <w:tcPr>
            <w:tcW w:w="2700" w:type="dxa"/>
            <w:vAlign w:val="bottom"/>
          </w:tcPr>
          <w:p>
            <w:pPr>
              <w:jc w:val="center"/>
              <w:ind w:right="692"/>
              <w:spacing w:after="0" w:line="149" w:lineRule="exact"/>
              <w:rPr>
                <w:sz w:val="20"/>
                <w:szCs w:val="20"/>
                <w:color w:val="auto"/>
              </w:rPr>
            </w:pPr>
            <w:r>
              <w:rPr>
                <w:rFonts w:ascii="Arial" w:cs="Arial" w:eastAsia="Arial" w:hAnsi="Arial"/>
                <w:sz w:val="14"/>
                <w:szCs w:val="14"/>
                <w:b w:val="1"/>
                <w:bCs w:val="1"/>
                <w:color w:val="auto"/>
                <w:w w:val="89"/>
              </w:rPr>
              <w:t>Hogan Lovells US LLP</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Syndax Pharmaceuticals, Inc.</w:t>
            </w:r>
          </w:p>
        </w:tc>
        <w:tc>
          <w:tcPr>
            <w:tcW w:w="242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7"/>
              </w:rPr>
              <w:t>David G. Peinsipp</w:t>
            </w:r>
          </w:p>
        </w:tc>
      </w:tr>
      <w:tr>
        <w:trPr>
          <w:trHeight w:val="149"/>
        </w:trPr>
        <w:tc>
          <w:tcPr>
            <w:tcW w:w="270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86"/>
              </w:rPr>
              <w:t>4085 Campbell Avenue, Suite 100</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400 Totten Pond Road, Suite 110</w:t>
            </w:r>
          </w:p>
        </w:tc>
        <w:tc>
          <w:tcPr>
            <w:tcW w:w="242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90"/>
              </w:rPr>
              <w:t>Cooley LLP</w:t>
            </w:r>
          </w:p>
        </w:tc>
      </w:tr>
      <w:tr>
        <w:trPr>
          <w:trHeight w:val="149"/>
        </w:trPr>
        <w:tc>
          <w:tcPr>
            <w:tcW w:w="270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90"/>
              </w:rPr>
              <w:t>Menlo Park, California 94025</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Waltham, Massachusetts 02451</w:t>
            </w:r>
          </w:p>
        </w:tc>
        <w:tc>
          <w:tcPr>
            <w:tcW w:w="2420" w:type="dxa"/>
            <w:vAlign w:val="bottom"/>
          </w:tcPr>
          <w:p>
            <w:pPr>
              <w:jc w:val="center"/>
              <w:ind w:left="692"/>
              <w:spacing w:after="0" w:line="149" w:lineRule="exact"/>
              <w:rPr>
                <w:sz w:val="20"/>
                <w:szCs w:val="20"/>
                <w:color w:val="auto"/>
              </w:rPr>
            </w:pPr>
            <w:r>
              <w:rPr>
                <w:rFonts w:ascii="Arial" w:cs="Arial" w:eastAsia="Arial" w:hAnsi="Arial"/>
                <w:sz w:val="14"/>
                <w:szCs w:val="14"/>
                <w:b w:val="1"/>
                <w:bCs w:val="1"/>
                <w:color w:val="auto"/>
                <w:w w:val="85"/>
              </w:rPr>
              <w:t>1114 Avenue of the Americas</w:t>
            </w:r>
          </w:p>
        </w:tc>
      </w:tr>
      <w:tr>
        <w:trPr>
          <w:trHeight w:val="149"/>
        </w:trPr>
        <w:tc>
          <w:tcPr>
            <w:tcW w:w="270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87"/>
              </w:rPr>
              <w:t>(650) 463-4000</w:t>
            </w:r>
          </w:p>
        </w:tc>
        <w:tc>
          <w:tcPr>
            <w:tcW w:w="4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(781) 419-1400</w:t>
            </w:r>
          </w:p>
        </w:tc>
        <w:tc>
          <w:tcPr>
            <w:tcW w:w="2420" w:type="dxa"/>
            <w:vAlign w:val="bottom"/>
          </w:tcPr>
          <w:p>
            <w:pPr>
              <w:jc w:val="center"/>
              <w:ind w:left="712"/>
              <w:spacing w:after="0" w:line="149" w:lineRule="exact"/>
              <w:rPr>
                <w:sz w:val="20"/>
                <w:szCs w:val="20"/>
                <w:color w:val="auto"/>
              </w:rPr>
            </w:pPr>
            <w:r>
              <w:rPr>
                <w:rFonts w:ascii="Arial" w:cs="Arial" w:eastAsia="Arial" w:hAnsi="Arial"/>
                <w:sz w:val="14"/>
                <w:szCs w:val="14"/>
                <w:b w:val="1"/>
                <w:bCs w:val="1"/>
                <w:color w:val="auto"/>
                <w:w w:val="89"/>
              </w:rPr>
              <w:t>New York, New York 10036</w:t>
            </w:r>
          </w:p>
        </w:tc>
      </w:tr>
      <w:tr>
        <w:trPr>
          <w:trHeight w:val="174"/>
        </w:trPr>
        <w:tc>
          <w:tcPr>
            <w:tcW w:w="27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420" w:type="dxa"/>
            <w:vAlign w:val="bottom"/>
          </w:tcPr>
          <w:p>
            <w:pPr>
              <w:jc w:val="center"/>
              <w:ind w:left="712"/>
              <w:spacing w:after="0"/>
              <w:rPr>
                <w:sz w:val="20"/>
                <w:szCs w:val="20"/>
                <w:color w:val="auto"/>
              </w:rPr>
            </w:pPr>
            <w:r>
              <w:rPr>
                <w:rFonts w:ascii="Arial" w:cs="Arial" w:eastAsia="Arial" w:hAnsi="Arial"/>
                <w:sz w:val="14"/>
                <w:szCs w:val="14"/>
                <w:b w:val="1"/>
                <w:bCs w:val="1"/>
                <w:color w:val="auto"/>
                <w:w w:val="87"/>
              </w:rPr>
              <w:t>(212) 479-6000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0"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13"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4"/>
                <w:szCs w:val="14"/>
                <w:color w:val="auto"/>
                <w:w w:val="86"/>
              </w:rPr>
              <w:t>Large accelerated filer</w:t>
            </w:r>
          </w:p>
        </w:tc>
        <w:tc>
          <w:tcPr>
            <w:tcW w:w="58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6220" w:type="dxa"/>
            <w:vAlign w:val="bottom"/>
          </w:tcPr>
          <w:p>
            <w:pPr>
              <w:spacing w:after="0"/>
              <w:rPr>
                <w:sz w:val="14"/>
                <w:szCs w:val="14"/>
                <w:color w:val="auto"/>
              </w:rPr>
            </w:pPr>
          </w:p>
        </w:tc>
        <w:tc>
          <w:tcPr>
            <w:tcW w:w="1940" w:type="dxa"/>
            <w:vAlign w:val="bottom"/>
            <w:gridSpan w:val="2"/>
          </w:tcPr>
          <w:p>
            <w:pPr>
              <w:ind w:left="1000"/>
              <w:spacing w:after="0"/>
              <w:rPr>
                <w:sz w:val="20"/>
                <w:szCs w:val="20"/>
                <w:color w:val="auto"/>
              </w:rPr>
            </w:pPr>
            <w:r>
              <w:rPr>
                <w:rFonts w:ascii="Arial" w:cs="Arial" w:eastAsia="Arial" w:hAnsi="Arial"/>
                <w:sz w:val="14"/>
                <w:szCs w:val="14"/>
                <w:color w:val="auto"/>
                <w:w w:val="91"/>
              </w:rPr>
              <w:t>Accelerated filer</w:t>
            </w:r>
          </w:p>
        </w:tc>
        <w:tc>
          <w:tcPr>
            <w:tcW w:w="1460" w:type="dxa"/>
            <w:vAlign w:val="bottom"/>
          </w:tcPr>
          <w:p>
            <w:pPr>
              <w:jc w:val="right"/>
              <w:ind w:right="1233"/>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03"/>
        </w:trPr>
        <w:tc>
          <w:tcPr>
            <w:tcW w:w="1220" w:type="dxa"/>
            <w:vAlign w:val="bottom"/>
            <w:gridSpan w:val="2"/>
          </w:tcPr>
          <w:p>
            <w:pPr>
              <w:spacing w:after="0"/>
              <w:rPr>
                <w:sz w:val="20"/>
                <w:szCs w:val="20"/>
                <w:color w:val="auto"/>
              </w:rPr>
            </w:pPr>
            <w:r>
              <w:rPr>
                <w:rFonts w:ascii="Arial" w:cs="Arial" w:eastAsia="Arial" w:hAnsi="Arial"/>
                <w:sz w:val="14"/>
                <w:szCs w:val="14"/>
                <w:color w:val="auto"/>
                <w:w w:val="92"/>
              </w:rPr>
              <w:t>Non-accelerated filer</w:t>
            </w:r>
          </w:p>
        </w:tc>
        <w:tc>
          <w:tcPr>
            <w:tcW w:w="58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6220" w:type="dxa"/>
            <w:vAlign w:val="bottom"/>
          </w:tcPr>
          <w:p>
            <w:pPr>
              <w:ind w:left="400"/>
              <w:spacing w:after="0"/>
              <w:rPr>
                <w:sz w:val="20"/>
                <w:szCs w:val="20"/>
                <w:color w:val="auto"/>
              </w:rPr>
            </w:pPr>
            <w:r>
              <w:rPr>
                <w:rFonts w:ascii="Arial" w:cs="Arial" w:eastAsia="Arial" w:hAnsi="Arial"/>
                <w:sz w:val="14"/>
                <w:szCs w:val="14"/>
                <w:color w:val="auto"/>
              </w:rPr>
              <w:t>(Do not check if a smaller reporting company)</w:t>
            </w:r>
          </w:p>
        </w:tc>
        <w:tc>
          <w:tcPr>
            <w:tcW w:w="3400" w:type="dxa"/>
            <w:vAlign w:val="bottom"/>
            <w:gridSpan w:val="3"/>
          </w:tcPr>
          <w:p>
            <w:pPr>
              <w:ind w:left="100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174"/>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20" w:type="dxa"/>
            <w:vAlign w:val="bottom"/>
          </w:tcPr>
          <w:p>
            <w:pPr>
              <w:ind w:left="2620"/>
              <w:spacing w:after="0"/>
              <w:rPr>
                <w:sz w:val="20"/>
                <w:szCs w:val="20"/>
                <w:color w:val="auto"/>
              </w:rPr>
            </w:pPr>
            <w:r>
              <w:rPr>
                <w:rFonts w:ascii="Arial" w:cs="Arial" w:eastAsia="Arial" w:hAnsi="Arial"/>
                <w:sz w:val="14"/>
                <w:szCs w:val="14"/>
                <w:b w:val="1"/>
                <w:bCs w:val="1"/>
                <w:color w:val="auto"/>
              </w:rPr>
              <w:t>CALCULATION OF REGISTRATION FEE</w:t>
            </w:r>
          </w:p>
        </w:tc>
        <w:tc>
          <w:tcPr>
            <w:tcW w:w="1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55"/>
        </w:trPr>
        <w:tc>
          <w:tcPr>
            <w:tcW w:w="20" w:type="dxa"/>
            <w:vAlign w:val="bottom"/>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20" w:type="dxa"/>
            <w:vAlign w:val="bottom"/>
            <w:tcBorders>
              <w:right w:val="single" w:sz="8" w:color="auto"/>
            </w:tcBorders>
          </w:tcPr>
          <w:p>
            <w:pPr>
              <w:spacing w:after="0"/>
              <w:rPr>
                <w:sz w:val="10"/>
                <w:szCs w:val="10"/>
                <w:color w:val="auto"/>
              </w:rPr>
            </w:pPr>
          </w:p>
        </w:tc>
        <w:tc>
          <w:tcPr>
            <w:tcW w:w="1720" w:type="dxa"/>
            <w:vAlign w:val="bottom"/>
            <w:tcBorders>
              <w:right w:val="single" w:sz="8" w:color="auto"/>
            </w:tcBorders>
          </w:tcPr>
          <w:p>
            <w:pPr>
              <w:jc w:val="center"/>
              <w:ind w:left="34"/>
              <w:spacing w:after="0" w:line="117" w:lineRule="exact"/>
              <w:rPr>
                <w:sz w:val="20"/>
                <w:szCs w:val="20"/>
                <w:color w:val="auto"/>
              </w:rPr>
            </w:pPr>
            <w:r>
              <w:rPr>
                <w:rFonts w:ascii="Arial" w:cs="Arial" w:eastAsia="Arial" w:hAnsi="Arial"/>
                <w:sz w:val="12"/>
                <w:szCs w:val="12"/>
                <w:b w:val="1"/>
                <w:bCs w:val="1"/>
                <w:color w:val="auto"/>
                <w:w w:val="97"/>
              </w:rPr>
              <w:t>Proposed</w:t>
            </w:r>
          </w:p>
        </w:tc>
        <w:tc>
          <w:tcPr>
            <w:tcW w:w="22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14"/>
              <w:spacing w:after="0" w:line="149" w:lineRule="exact"/>
              <w:rPr>
                <w:sz w:val="20"/>
                <w:szCs w:val="20"/>
                <w:color w:val="auto"/>
              </w:rPr>
            </w:pPr>
            <w:r>
              <w:rPr>
                <w:rFonts w:ascii="Arial" w:cs="Arial" w:eastAsia="Arial" w:hAnsi="Arial"/>
                <w:sz w:val="14"/>
                <w:szCs w:val="14"/>
                <w:b w:val="1"/>
                <w:bCs w:val="1"/>
                <w:color w:val="auto"/>
                <w:w w:val="92"/>
              </w:rPr>
              <w:t>Maximum</w:t>
            </w:r>
          </w:p>
        </w:tc>
        <w:tc>
          <w:tcPr>
            <w:tcW w:w="22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20" w:type="dxa"/>
            <w:vAlign w:val="bottom"/>
            <w:tcBorders>
              <w:right w:val="single" w:sz="8" w:color="auto"/>
            </w:tcBorders>
          </w:tcPr>
          <w:p>
            <w:pPr>
              <w:jc w:val="center"/>
              <w:ind w:right="1732"/>
              <w:spacing w:after="0" w:line="135" w:lineRule="exact"/>
              <w:rPr>
                <w:sz w:val="20"/>
                <w:szCs w:val="20"/>
                <w:color w:val="auto"/>
              </w:rPr>
            </w:pPr>
            <w:r>
              <w:rPr>
                <w:rFonts w:ascii="Arial" w:cs="Arial" w:eastAsia="Arial" w:hAnsi="Arial"/>
                <w:sz w:val="14"/>
                <w:szCs w:val="14"/>
                <w:b w:val="1"/>
                <w:bCs w:val="1"/>
                <w:color w:val="auto"/>
                <w:w w:val="86"/>
              </w:rPr>
              <w:t>Title of Each Class of</w:t>
            </w:r>
          </w:p>
        </w:tc>
        <w:tc>
          <w:tcPr>
            <w:tcW w:w="1720" w:type="dxa"/>
            <w:vAlign w:val="bottom"/>
            <w:tcBorders>
              <w:right w:val="single" w:sz="8" w:color="auto"/>
            </w:tcBorders>
          </w:tcPr>
          <w:p>
            <w:pPr>
              <w:jc w:val="center"/>
              <w:ind w:left="14"/>
              <w:spacing w:after="0" w:line="135" w:lineRule="exact"/>
              <w:rPr>
                <w:sz w:val="20"/>
                <w:szCs w:val="20"/>
                <w:color w:val="auto"/>
              </w:rPr>
            </w:pPr>
            <w:r>
              <w:rPr>
                <w:rFonts w:ascii="Arial" w:cs="Arial" w:eastAsia="Arial" w:hAnsi="Arial"/>
                <w:sz w:val="14"/>
                <w:szCs w:val="14"/>
                <w:b w:val="1"/>
                <w:bCs w:val="1"/>
                <w:color w:val="auto"/>
                <w:w w:val="86"/>
              </w:rPr>
              <w:t>Aggregate</w:t>
            </w:r>
          </w:p>
        </w:tc>
        <w:tc>
          <w:tcPr>
            <w:tcW w:w="220" w:type="dxa"/>
            <w:vAlign w:val="bottom"/>
          </w:tcPr>
          <w:p>
            <w:pPr>
              <w:spacing w:after="0"/>
              <w:rPr>
                <w:sz w:val="11"/>
                <w:szCs w:val="11"/>
                <w:color w:val="auto"/>
              </w:rPr>
            </w:pPr>
          </w:p>
        </w:tc>
        <w:tc>
          <w:tcPr>
            <w:tcW w:w="1460" w:type="dxa"/>
            <w:vAlign w:val="bottom"/>
          </w:tcPr>
          <w:p>
            <w:pPr>
              <w:jc w:val="center"/>
              <w:ind w:right="53"/>
              <w:spacing w:after="0" w:line="135" w:lineRule="exact"/>
              <w:rPr>
                <w:sz w:val="20"/>
                <w:szCs w:val="20"/>
                <w:color w:val="auto"/>
              </w:rPr>
            </w:pPr>
            <w:r>
              <w:rPr>
                <w:rFonts w:ascii="Arial" w:cs="Arial" w:eastAsia="Arial" w:hAnsi="Arial"/>
                <w:sz w:val="14"/>
                <w:szCs w:val="14"/>
                <w:b w:val="1"/>
                <w:bCs w:val="1"/>
                <w:color w:val="auto"/>
                <w:w w:val="88"/>
              </w:rPr>
              <w:t>Amount of</w:t>
            </w:r>
          </w:p>
        </w:tc>
      </w:tr>
      <w:tr>
        <w:trPr>
          <w:trHeight w:val="189"/>
        </w:trPr>
        <w:tc>
          <w:tcPr>
            <w:tcW w:w="2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220" w:type="dxa"/>
            <w:vAlign w:val="bottom"/>
            <w:tcBorders>
              <w:bottom w:val="single" w:sz="8" w:color="auto"/>
              <w:right w:val="single" w:sz="8" w:color="auto"/>
            </w:tcBorders>
          </w:tcPr>
          <w:p>
            <w:pPr>
              <w:jc w:val="center"/>
              <w:ind w:right="1752"/>
              <w:spacing w:after="0"/>
              <w:rPr>
                <w:sz w:val="20"/>
                <w:szCs w:val="20"/>
                <w:color w:val="auto"/>
              </w:rPr>
            </w:pPr>
            <w:r>
              <w:rPr>
                <w:rFonts w:ascii="Arial" w:cs="Arial" w:eastAsia="Arial" w:hAnsi="Arial"/>
                <w:sz w:val="14"/>
                <w:szCs w:val="14"/>
                <w:b w:val="1"/>
                <w:bCs w:val="1"/>
                <w:color w:val="auto"/>
                <w:w w:val="84"/>
              </w:rPr>
              <w:t>Securities to be Registered</w:t>
            </w:r>
          </w:p>
        </w:tc>
        <w:tc>
          <w:tcPr>
            <w:tcW w:w="1720" w:type="dxa"/>
            <w:vAlign w:val="bottom"/>
            <w:tcBorders>
              <w:bottom w:val="single" w:sz="8" w:color="auto"/>
              <w:right w:val="single" w:sz="8" w:color="auto"/>
            </w:tcBorders>
          </w:tcPr>
          <w:p>
            <w:pPr>
              <w:jc w:val="center"/>
              <w:ind w:left="14"/>
              <w:spacing w:after="0" w:line="189"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1"/>
                <w:szCs w:val="21"/>
                <w:b w:val="1"/>
                <w:bCs w:val="1"/>
                <w:color w:val="auto"/>
                <w:w w:val="93"/>
                <w:vertAlign w:val="superscript"/>
              </w:rPr>
              <w:t>(1)</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3"/>
              <w:spacing w:after="0" w:line="189" w:lineRule="exact"/>
              <w:rPr>
                <w:sz w:val="20"/>
                <w:szCs w:val="20"/>
                <w:color w:val="auto"/>
              </w:rPr>
            </w:pPr>
            <w:r>
              <w:rPr>
                <w:rFonts w:ascii="Arial" w:cs="Arial" w:eastAsia="Arial" w:hAnsi="Arial"/>
                <w:sz w:val="13"/>
                <w:szCs w:val="13"/>
                <w:b w:val="1"/>
                <w:bCs w:val="1"/>
                <w:color w:val="auto"/>
                <w:w w:val="90"/>
              </w:rPr>
              <w:t>Registration Fee</w:t>
            </w:r>
            <w:r>
              <w:rPr>
                <w:rFonts w:ascii="Arial" w:cs="Arial" w:eastAsia="Arial" w:hAnsi="Arial"/>
                <w:sz w:val="21"/>
                <w:szCs w:val="21"/>
                <w:b w:val="1"/>
                <w:bCs w:val="1"/>
                <w:color w:val="auto"/>
                <w:w w:val="90"/>
                <w:vertAlign w:val="superscript"/>
              </w:rPr>
              <w:t>(2)</w:t>
            </w:r>
          </w:p>
        </w:tc>
      </w:tr>
      <w:tr>
        <w:trPr>
          <w:trHeight w:val="142"/>
        </w:trPr>
        <w:tc>
          <w:tcPr>
            <w:tcW w:w="20" w:type="dxa"/>
            <w:vAlign w:val="bottom"/>
            <w:tcBorders>
              <w:bottom w:val="single" w:sz="8" w:color="auto"/>
            </w:tcBorders>
          </w:tcPr>
          <w:p>
            <w:pPr>
              <w:spacing w:after="0"/>
              <w:rPr>
                <w:sz w:val="12"/>
                <w:szCs w:val="12"/>
                <w:color w:val="auto"/>
              </w:rPr>
            </w:pPr>
          </w:p>
        </w:tc>
        <w:tc>
          <w:tcPr>
            <w:tcW w:w="800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20" w:type="dxa"/>
            <w:vAlign w:val="bottom"/>
            <w:tcBorders>
              <w:bottom w:val="single" w:sz="8" w:color="auto"/>
              <w:right w:val="single" w:sz="8" w:color="auto"/>
            </w:tcBorders>
          </w:tcPr>
          <w:p>
            <w:pPr>
              <w:jc w:val="right"/>
              <w:ind w:right="914"/>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893"/>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60" w:hanging="332"/>
        <w:spacing w:after="0" w:line="230"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 and includes the offering price of the shares of common stock that the underwriters have an option to purchase to cover over-allotments, if any.</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14" w:lineRule="exact"/>
        <w:rPr>
          <w:sz w:val="24"/>
          <w:szCs w:val="24"/>
          <w:color w:val="auto"/>
        </w:rPr>
      </w:pPr>
    </w:p>
    <w:p>
      <w:pPr>
        <w:ind w:right="1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19" w:lineRule="exact"/>
        <w:rPr>
          <w:sz w:val="20"/>
          <w:szCs w:val="20"/>
          <w:color w:val="auto"/>
        </w:rPr>
      </w:pPr>
    </w:p>
    <w:tbl>
      <w:tblPr>
        <w:tblLayout w:type="fixed"/>
        <w:tblInd w:w="4140" w:type="dxa"/>
        <w:tblCellMar>
          <w:top w:w="0" w:type="dxa"/>
          <w:left w:w="0" w:type="dxa"/>
          <w:bottom w:w="0" w:type="dxa"/>
          <w:right w:w="0" w:type="dxa"/>
        </w:tblCellMar>
      </w:tblPr>
      <w:tr>
        <w:trPr>
          <w:trHeight w:val="228"/>
        </w:trPr>
        <w:tc>
          <w:tcPr>
            <w:tcW w:w="2420" w:type="dxa"/>
            <w:vAlign w:val="bottom"/>
          </w:tcPr>
          <w:p>
            <w:pPr>
              <w:spacing w:after="0"/>
              <w:rPr>
                <w:sz w:val="20"/>
                <w:szCs w:val="20"/>
                <w:color w:val="auto"/>
              </w:rPr>
            </w:pPr>
            <w:r>
              <w:rPr>
                <w:rFonts w:ascii="Arial" w:cs="Arial" w:eastAsia="Arial" w:hAnsi="Arial"/>
                <w:sz w:val="18"/>
                <w:szCs w:val="18"/>
                <w:b w:val="1"/>
                <w:bCs w:val="1"/>
                <w:color w:val="CC062A"/>
                <w:w w:val="97"/>
              </w:rPr>
              <w:t>Subject to completion, dated</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CC062A"/>
              </w:rPr>
              <w:t>, 2015</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194945</wp:posOffset>
            </wp:positionV>
            <wp:extent cx="1380490" cy="531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80"/>
        <w:spacing w:after="0"/>
        <w:rPr>
          <w:sz w:val="20"/>
          <w:szCs w:val="20"/>
          <w:color w:val="auto"/>
        </w:rPr>
      </w:pPr>
      <w:r>
        <w:rPr>
          <w:rFonts w:ascii="Arial" w:cs="Arial" w:eastAsia="Arial" w:hAnsi="Arial"/>
          <w:sz w:val="32"/>
          <w:szCs w:val="32"/>
          <w:b w:val="1"/>
          <w:bCs w:val="1"/>
          <w:color w:val="auto"/>
        </w:rPr>
        <w:t>Shares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This is the initial public offering of shares of common stock of Syndax Pharmaceuticals, Inc. We are offering shares of our common stock. Prior to this offering, there has been no public market for our common stock. We expect the initial public offering price to be between $ and $ per share. We intend to apply to list our common stock on the NASDAQ Global Market under the symbol “SNDX.”</w:t>
      </w:r>
    </w:p>
    <w:p>
      <w:pPr>
        <w:spacing w:after="0" w:line="140"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are an “emerging growth company” as defined by the Jumpstart Our Business Startups Act of 2012 and, as such, we have elected to comply with certain reduced public company reporting requirements for this prospectus and future filings.</w:t>
      </w:r>
    </w:p>
    <w:p>
      <w:pPr>
        <w:spacing w:after="0" w:line="113" w:lineRule="exact"/>
        <w:rPr>
          <w:sz w:val="20"/>
          <w:szCs w:val="20"/>
          <w:color w:val="auto"/>
        </w:rPr>
      </w:pPr>
    </w:p>
    <w:p>
      <w:pPr>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a high degree of risk. See “</w:t>
      </w:r>
      <w:hyperlink w:anchor="page12">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9 of this prospectus.</w:t>
      </w:r>
    </w:p>
    <w:p>
      <w:pPr>
        <w:spacing w:after="0" w:line="20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6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17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1"/>
                <w:szCs w:val="11"/>
                <w:color w:val="auto"/>
              </w:rPr>
              <w:t>(1)</w:t>
            </w:r>
          </w:p>
        </w:tc>
        <w:tc>
          <w:tcPr>
            <w:tcW w:w="2500" w:type="dxa"/>
            <w:vAlign w:val="bottom"/>
            <w:gridSpan w:val="2"/>
          </w:tcPr>
          <w:p>
            <w:pPr>
              <w:jc w:val="right"/>
              <w:ind w:right="603"/>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00" w:type="dxa"/>
            <w:vAlign w:val="bottom"/>
            <w:gridSpan w:val="2"/>
            <w:shd w:val="clear" w:color="auto" w:fill="CCEEFF"/>
          </w:tcPr>
          <w:p>
            <w:pPr>
              <w:jc w:val="right"/>
              <w:ind w:right="603"/>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for a description of the compensation payable to the underwriters.</w:t>
      </w:r>
    </w:p>
    <w:p>
      <w:pPr>
        <w:spacing w:after="0" w:line="1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Delivery of the shares of common stock purchased in this offering is expected to be made on or about , 2015. We have granted the underwriters an option for a period of 30 days to purchase up to additional shares of common stock solely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0" w:lineRule="exact"/>
        <w:rPr>
          <w:sz w:val="20"/>
          <w:szCs w:val="20"/>
          <w:color w:val="auto"/>
        </w:rPr>
      </w:pPr>
    </w:p>
    <w:p>
      <w:pPr>
        <w:sectPr>
          <w:pgSz w:w="11900" w:h="16838" w:orient="portrait"/>
          <w:cols w:equalWidth="0" w:num="2">
            <w:col w:w="9360" w:space="720"/>
            <w:col w:w="1340"/>
          </w:cols>
          <w:pgMar w:left="240" w:top="459"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JMP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Oppenheimer &amp; Co.</w:t>
      </w:r>
    </w:p>
    <w:p>
      <w:pPr>
        <w:spacing w:after="0" w:line="200" w:lineRule="exact"/>
        <w:rPr>
          <w:sz w:val="20"/>
          <w:szCs w:val="20"/>
          <w:color w:val="auto"/>
        </w:rPr>
      </w:pPr>
    </w:p>
    <w:p>
      <w:pPr>
        <w:sectPr>
          <w:pgSz w:w="11900" w:h="16838" w:orient="portrait"/>
          <w:cols w:equalWidth="0" w:num="2">
            <w:col w:w="8600" w:space="720"/>
            <w:col w:w="2100"/>
          </w:cols>
          <w:pgMar w:left="240" w:top="459" w:right="239" w:bottom="1440" w:gutter="0" w:footer="0" w:header="0"/>
          <w:type w:val="continuous"/>
        </w:sectPr>
      </w:pPr>
    </w:p>
    <w:p>
      <w:pPr>
        <w:spacing w:after="0" w:line="175"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 2015</w:t>
      </w:r>
    </w:p>
    <w:p>
      <w:pPr>
        <w:sectPr>
          <w:pgSz w:w="11900" w:h="16838" w:orient="portrait"/>
          <w:cols w:equalWidth="0" w:num="2">
            <w:col w:w="5820" w:space="720"/>
            <w:col w:w="488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11"/>
            <w:vMerge w:val="restart"/>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Prospectus Summary</w:t>
              </w:r>
            </w:hyperlink>
          </w:p>
        </w:tc>
        <w:tc>
          <w:tcPr>
            <w:tcW w:w="9500" w:type="dxa"/>
            <w:vAlign w:val="bottom"/>
            <w:gridSpan w:val="12"/>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0000EE"/>
            </w:tcBorders>
            <w:gridSpan w:val="11"/>
            <w:vMerge w:val="continue"/>
          </w:tcPr>
          <w:p>
            <w:pPr>
              <w:spacing w:after="0"/>
              <w:rPr>
                <w:sz w:val="13"/>
                <w:szCs w:val="13"/>
                <w:color w:val="auto"/>
              </w:rPr>
            </w:pPr>
          </w:p>
        </w:tc>
        <w:tc>
          <w:tcPr>
            <w:tcW w:w="9500" w:type="dxa"/>
            <w:vAlign w:val="bottom"/>
            <w:gridSpan w:val="1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9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10100" w:type="dxa"/>
            <w:vAlign w:val="bottom"/>
            <w:gridSpan w:val="1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50">
              <w:r>
                <w:rPr>
                  <w:rFonts w:ascii="Arial" w:cs="Arial" w:eastAsia="Arial" w:hAnsi="Arial"/>
                  <w:sz w:val="18"/>
                  <w:szCs w:val="18"/>
                  <w:color w:val="0000EE"/>
                  <w:w w:val="88"/>
                </w:rPr>
                <w:t>Special Note Regarding Forward-Looking Statements and Industry Data</w:t>
              </w:r>
            </w:hyperlink>
          </w:p>
        </w:tc>
        <w:tc>
          <w:tcPr>
            <w:tcW w:w="59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Use of Proceeds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Dividend Policy</w:t>
              </w:r>
            </w:hyperlink>
          </w:p>
        </w:tc>
        <w:tc>
          <w:tcPr>
            <w:tcW w:w="984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Capitalization</w:t>
              </w:r>
            </w:hyperlink>
          </w:p>
        </w:tc>
        <w:tc>
          <w:tcPr>
            <w:tcW w:w="1000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Dilution</w:t>
              </w:r>
            </w:hyperlink>
          </w:p>
        </w:tc>
        <w:tc>
          <w:tcPr>
            <w:tcW w:w="1040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Selected Consolidated Financial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83">
              <w:r>
                <w:rPr>
                  <w:rFonts w:ascii="Arial" w:cs="Arial" w:eastAsia="Arial" w:hAnsi="Arial"/>
                  <w:sz w:val="18"/>
                  <w:szCs w:val="18"/>
                  <w:color w:val="0000EE"/>
                  <w:w w:val="84"/>
                </w:rPr>
                <w:t>Business</w:t>
              </w:r>
            </w:hyperlink>
          </w:p>
        </w:tc>
        <w:tc>
          <w:tcPr>
            <w:tcW w:w="5660" w:type="dxa"/>
            <w:vAlign w:val="bottom"/>
            <w:tcBorders>
              <w:top w:val="single" w:sz="8" w:color="0000EE"/>
            </w:tcBorders>
            <w:gridSpan w:val="19"/>
          </w:tcPr>
          <w:p>
            <w:pPr>
              <w:spacing w:after="0"/>
              <w:rPr>
                <w:sz w:val="17"/>
                <w:szCs w:val="17"/>
                <w:color w:val="auto"/>
              </w:rPr>
            </w:pPr>
          </w:p>
        </w:tc>
        <w:tc>
          <w:tcPr>
            <w:tcW w:w="4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Management</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32">
              <w:r>
                <w:rPr>
                  <w:rFonts w:ascii="Arial" w:cs="Arial" w:eastAsia="Arial" w:hAnsi="Arial"/>
                  <w:sz w:val="18"/>
                  <w:szCs w:val="18"/>
                  <w:color w:val="0000EE"/>
                  <w:w w:val="88"/>
                </w:rPr>
                <w:t>Executive and Director Compensation</w:t>
              </w:r>
            </w:hyperlink>
          </w:p>
        </w:tc>
        <w:tc>
          <w:tcPr>
            <w:tcW w:w="830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9"/>
          </w:tcPr>
          <w:p>
            <w:pPr>
              <w:spacing w:after="0" w:line="196" w:lineRule="exact"/>
              <w:rPr>
                <w:rFonts w:ascii="Arial" w:cs="Arial" w:eastAsia="Arial" w:hAnsi="Arial"/>
                <w:sz w:val="18"/>
                <w:szCs w:val="18"/>
                <w:color w:val="0000EE"/>
                <w:w w:val="87"/>
              </w:rPr>
            </w:pPr>
            <w:hyperlink w:anchor="page151">
              <w:r>
                <w:rPr>
                  <w:rFonts w:ascii="Arial" w:cs="Arial" w:eastAsia="Arial" w:hAnsi="Arial"/>
                  <w:sz w:val="18"/>
                  <w:szCs w:val="18"/>
                  <w:color w:val="0000EE"/>
                  <w:w w:val="87"/>
                </w:rPr>
                <w:t>Certain Relationships and Related Party Transactions</w:t>
              </w:r>
            </w:hyperlink>
          </w:p>
        </w:tc>
        <w:tc>
          <w:tcPr>
            <w:tcW w:w="72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148</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Principal Stockholders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159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66">
              <w:r>
                <w:rPr>
                  <w:rFonts w:ascii="Arial" w:cs="Arial" w:eastAsia="Arial" w:hAnsi="Arial"/>
                  <w:sz w:val="18"/>
                  <w:szCs w:val="18"/>
                  <w:color w:val="0000EE"/>
                  <w:w w:val="90"/>
                </w:rPr>
                <w:t>Description of Capital Stock</w:t>
              </w:r>
            </w:hyperlink>
          </w:p>
        </w:tc>
        <w:tc>
          <w:tcPr>
            <w:tcW w:w="898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71">
              <w:r>
                <w:rPr>
                  <w:rFonts w:ascii="Arial" w:cs="Arial" w:eastAsia="Arial" w:hAnsi="Arial"/>
                  <w:sz w:val="18"/>
                  <w:szCs w:val="18"/>
                  <w:color w:val="0000EE"/>
                  <w:w w:val="88"/>
                </w:rPr>
                <w:t>Shares Eligible for Future Sale</w:t>
              </w:r>
            </w:hyperlink>
          </w:p>
        </w:tc>
        <w:tc>
          <w:tcPr>
            <w:tcW w:w="88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168</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Material U.S. Federal Income Tax Consequences to Non-U.S. Holders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178">
              <w:r>
                <w:rPr>
                  <w:rFonts w:ascii="Arial" w:cs="Arial" w:eastAsia="Arial" w:hAnsi="Arial"/>
                  <w:sz w:val="18"/>
                  <w:szCs w:val="18"/>
                  <w:color w:val="0000EE"/>
                  <w:w w:val="93"/>
                </w:rPr>
                <w:t>Underwriting</w:t>
              </w:r>
            </w:hyperlink>
          </w:p>
        </w:tc>
        <w:tc>
          <w:tcPr>
            <w:tcW w:w="3980" w:type="dxa"/>
            <w:vAlign w:val="bottom"/>
            <w:tcBorders>
              <w:top w:val="single" w:sz="8" w:color="0000EE"/>
            </w:tcBorders>
            <w:gridSpan w:val="14"/>
          </w:tcPr>
          <w:p>
            <w:pPr>
              <w:spacing w:after="0"/>
              <w:rPr>
                <w:sz w:val="17"/>
                <w:szCs w:val="17"/>
                <w:color w:val="auto"/>
              </w:rPr>
            </w:pPr>
          </w:p>
        </w:tc>
        <w:tc>
          <w:tcPr>
            <w:tcW w:w="60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Experts</w:t>
              </w:r>
            </w:hyperlink>
          </w:p>
        </w:tc>
        <w:tc>
          <w:tcPr>
            <w:tcW w:w="1002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23"/>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180</w:t>
            </w:r>
          </w:p>
        </w:tc>
        <w:tc>
          <w:tcPr>
            <w:tcW w:w="0" w:type="dxa"/>
            <w:vAlign w:val="bottom"/>
          </w:tcPr>
          <w:p>
            <w:pPr>
              <w:spacing w:after="0"/>
              <w:rPr>
                <w:sz w:val="1"/>
                <w:szCs w:val="1"/>
                <w:color w:val="auto"/>
              </w:rPr>
            </w:pPr>
          </w:p>
        </w:tc>
      </w:tr>
      <w:tr>
        <w:trPr>
          <w:trHeight w:val="20"/>
        </w:trPr>
        <w:tc>
          <w:tcPr>
            <w:tcW w:w="2800" w:type="dxa"/>
            <w:vAlign w:val="bottom"/>
            <w:gridSpan w:val="17"/>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84">
              <w:r>
                <w:rPr>
                  <w:rFonts w:ascii="Arial" w:cs="Arial" w:eastAsia="Arial" w:hAnsi="Arial"/>
                  <w:sz w:val="18"/>
                  <w:szCs w:val="18"/>
                  <w:color w:val="0000EE"/>
                  <w:w w:val="88"/>
                </w:rPr>
                <w:t>Index to Consolidated Financial Statements</w:t>
              </w:r>
            </w:hyperlink>
          </w:p>
        </w:tc>
        <w:tc>
          <w:tcPr>
            <w:tcW w:w="79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shares of our common stock, and seeking offers to buy shares of our common stock, only in jurisdictions where offers and sales are permitted. The information in this prospectus is complete and accurate only as of the date on the front cover of this prospectus, regardless of the time of delivery of this prospectus or any sale of shares of our common stock.</w:t>
      </w:r>
    </w:p>
    <w:p>
      <w:pPr>
        <w:spacing w:after="0" w:line="14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Until and including , 2015 (25 days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investors outside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shares of our common stock and the distribution of this prospectus outside the United States.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otherwise indicated herein or as the context otherwise requires, references in this prospectus to “Syndax,” “the company,” “we,” “us,” “our” and similar references refer to Syndax Pharmaceuticals, Inc. and our wholly owned subsidiary. “Syndax” is a registered trademark and the “Syndax” and “Syndax Pharmaceuticals” logos are unregistered trademarks of the company. This prospectus also contains registered marks, trademarks and trade names of other companies. All other trademarks, registered marks and trade names appearing in this prospectus are the property of their respective holders.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466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746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i w:val="1"/>
          <w:iCs w:val="1"/>
          <w:color w:val="auto"/>
        </w:rPr>
        <w:t>The following summary highlights information contained elsewhere in this prospectus and is qualified in its entirety by the more detailed information and consolidated financial statements and related notes thereto included elsewhere in this prospectus. This summary does not contain all of the information you should consider before investing in our common stock. Before you decide to invest in our common stock, you should read and carefully consider the following summary together with the entire prospectus, including our consolidated financial statements and the related notes thereto included elsewhere in this prospectus and the matters discussed in the sections titled “Risk Factors,” “Selected Consolidated Financial Data” and “Management’s Discussion and Analysis of Financial Condition and Results of Operations.” Some of the statements in this prospectus constitute forward-looking statements that involve risks and uncertainties. See the section titled “Special Note Regarding Forward-Looking Statements and Industry Data.” Our actual results could differ materially from those anticipated in such forward-looking statements as a result of certain factors, including those discussed in the section titled “Risk Factors” and other sections of this prospectus.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Company</w:t>
      </w:r>
    </w:p>
    <w:p>
      <w:pPr>
        <w:spacing w:after="0" w:line="177"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 xml:space="preserve">We are a clinical stage biopharmaceutical company developing entinostat as a combination therapy in multiple cancer indications with our initial focus on tumors that have shown sensitivity to immunotherapy, including lung cancer, melanoma and triple negative breast cancer, or TNBC. Entinostat is our oral, small molecule drug candidate that has direct effects on both cancer cells and immune regulatory cells, potentially enhancing the body’s immune response to tumors. The favorable safety profile of entinostat has been demonstrated in clinical trials in more than 900 cancer patients. We are currently evaluating entinostat in combination with </w:t>
      </w:r>
      <w:r>
        <w:rPr>
          <w:rFonts w:ascii="Arial" w:cs="Arial" w:eastAsia="Arial" w:hAnsi="Arial"/>
          <w:sz w:val="16"/>
          <w:szCs w:val="16"/>
          <w:i w:val="1"/>
          <w:iCs w:val="1"/>
          <w:color w:val="auto"/>
        </w:rPr>
        <w:t>Keytruda</w:t>
      </w:r>
      <w:r>
        <w:rPr>
          <w:rFonts w:ascii="Arial" w:cs="Arial" w:eastAsia="Arial" w:hAnsi="Arial"/>
          <w:sz w:val="10"/>
          <w:szCs w:val="10"/>
          <w:color w:val="auto"/>
        </w:rPr>
        <w:t>®</w:t>
      </w:r>
      <w:r>
        <w:rPr>
          <w:rFonts w:ascii="Arial" w:cs="Arial" w:eastAsia="Arial" w:hAnsi="Arial"/>
          <w:sz w:val="16"/>
          <w:szCs w:val="16"/>
          <w:color w:val="auto"/>
        </w:rPr>
        <w:t xml:space="preserve"> (pembrolizumab) in a Phase 1b/2 clinical trial for non-small cell lung cancer, or NSCLC, and melanoma, and we plan to initiate a Phase 1b/2 clinical trial for entinostat in combination with atezolizumab in TNBC in the beginning of 2016. We believe that, based on its mechanism of action, entinostat may have broad applications in additional tumor types, including head and neck, bladder and renal cell, which are immuno-responsive, or sensitive to immunotherapy.</w:t>
      </w:r>
    </w:p>
    <w:p>
      <w:pPr>
        <w:spacing w:after="0" w:line="118" w:lineRule="exact"/>
        <w:rPr>
          <w:sz w:val="20"/>
          <w:szCs w:val="20"/>
          <w:color w:val="auto"/>
        </w:rPr>
      </w:pPr>
    </w:p>
    <w:p>
      <w:pPr>
        <w:jc w:val="both"/>
        <w:ind w:left="200" w:right="80" w:firstLine="443"/>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left="200" w:right="200" w:firstLine="443"/>
        <w:spacing w:after="0" w:line="291" w:lineRule="auto"/>
        <w:rPr>
          <w:sz w:val="20"/>
          <w:szCs w:val="20"/>
          <w:color w:val="auto"/>
        </w:rPr>
      </w:pPr>
      <w:r>
        <w:rPr>
          <w:rFonts w:ascii="Arial" w:cs="Arial" w:eastAsia="Arial" w:hAnsi="Arial"/>
          <w:sz w:val="16"/>
          <w:szCs w:val="16"/>
          <w:color w:val="auto"/>
        </w:rPr>
        <w:t>Immuno-oncology is an emerging field of cancer medicine that has focused on the development of therapeutic approaches designed to activate the immune system to find and destroy cancer cells. Many tumors have the ability to evade the immune system through direct cellular interactions and recruitment of immuno-suppressive cells to the area surrounding the tumor. We believe that entinostat acts on a different tumor-evasion mechanism than is targeted by most other immunotherapies in development. Instead of focusing on the interaction between the T cell and the tumor, entinostat has been observed to decrease the population of immuno-suppressive cells known as myeloid-derived suppressor cells, or MDSCs, and regulatory T cells, or Tregs, which localize in the area surrounding the tumor and dampen T cell activity.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746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47466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We believe entinostat, a Class 1-specific histone deacetylase, or HDAC, inhibitor, is the therapy most advanced in development that can directly reduce both the number and activity of MDSCs and Tregs while sparing the cytotoxic T cells. Through this important effect on MDSCs and Tregs, entinostat has the potential to be used synergistically with therapies working to stimulate the immune system. The long half-life of entinostat allows for continuous exposure to therapy potentially resulting in positive immuno-modulatory effects without corresponding cytotoxic effects. Another benefit of entinostat’s long half-life is the potential to minimize the frequency of dosing and reduce the severity and frequency of adverse events. We believe entinostat’s well-characterized safety profile and mechanism of action allows it to be readily combined with, and thereby enhance the activity of, conventional and novel cancer therapies, such as immune checkpoint inhibitors, hormone therapies and chemotherapies.</w:t>
      </w:r>
    </w:p>
    <w:p>
      <w:pPr>
        <w:spacing w:after="0" w:line="118" w:lineRule="exact"/>
        <w:rPr>
          <w:sz w:val="20"/>
          <w:szCs w:val="20"/>
          <w:color w:val="auto"/>
        </w:rPr>
      </w:pPr>
    </w:p>
    <w:p>
      <w:pPr>
        <w:ind w:left="200" w:right="40" w:firstLine="443"/>
        <w:spacing w:after="0" w:line="287" w:lineRule="auto"/>
        <w:rPr>
          <w:sz w:val="20"/>
          <w:szCs w:val="20"/>
          <w:color w:val="auto"/>
        </w:rPr>
      </w:pPr>
      <w:r>
        <w:rPr>
          <w:rFonts w:ascii="Arial" w:cs="Arial" w:eastAsia="Arial" w:hAnsi="Arial"/>
          <w:sz w:val="16"/>
          <w:szCs w:val="16"/>
          <w:color w:val="auto"/>
        </w:rPr>
        <w:t xml:space="preserve">Entinostat is currently being studied in clinical trials across a broad range of solid tumors, including breast cancer, NSCLC and renal cell carcinoma. We are working in collaboration with Merck &amp; Co. Inc., or Merck, to study the combination of entinostat with Merck’s immune checkpoint inhibitor, </w:t>
      </w:r>
      <w:r>
        <w:rPr>
          <w:rFonts w:ascii="Arial" w:cs="Arial" w:eastAsia="Arial" w:hAnsi="Arial"/>
          <w:sz w:val="16"/>
          <w:szCs w:val="16"/>
          <w:i w:val="1"/>
          <w:iCs w:val="1"/>
          <w:color w:val="auto"/>
        </w:rPr>
        <w:t xml:space="preserve">Keytruda, </w:t>
      </w:r>
      <w:r>
        <w:rPr>
          <w:rFonts w:ascii="Arial" w:cs="Arial" w:eastAsia="Arial" w:hAnsi="Arial"/>
          <w:sz w:val="16"/>
          <w:szCs w:val="16"/>
          <w:color w:val="auto"/>
        </w:rPr>
        <w:t>in a Phase 1b/2 clinical trial of up to 178 patients with NSCLC or melanoma. The Phase 1b portion of the clinical trial will evaluate the safety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tolerability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and the Phase 2 portion of the clinical trial will assess the efficacy of entinostat combined with </w:t>
      </w:r>
      <w:r>
        <w:rPr>
          <w:rFonts w:ascii="Arial" w:cs="Arial" w:eastAsia="Arial" w:hAnsi="Arial"/>
          <w:sz w:val="16"/>
          <w:szCs w:val="16"/>
          <w:i w:val="1"/>
          <w:iCs w:val="1"/>
          <w:color w:val="auto"/>
        </w:rPr>
        <w:t xml:space="preserve">Keytruda </w:t>
      </w:r>
      <w:r>
        <w:rPr>
          <w:rFonts w:ascii="Arial" w:cs="Arial" w:eastAsia="Arial" w:hAnsi="Arial"/>
          <w:sz w:val="16"/>
          <w:szCs w:val="16"/>
          <w:color w:val="auto"/>
        </w:rPr>
        <w:t>in patients with either NSCLC or melanoma. We have also entered into a collaboration with Genentech, Inc., or Genentech, to evaluate the safety,</w:t>
      </w:r>
      <w:r>
        <w:rPr>
          <w:rFonts w:ascii="Arial" w:cs="Arial" w:eastAsia="Arial" w:hAnsi="Arial"/>
          <w:sz w:val="16"/>
          <w:szCs w:val="16"/>
          <w:i w:val="1"/>
          <w:iCs w:val="1"/>
          <w:color w:val="auto"/>
        </w:rPr>
        <w:t xml:space="preserve"> </w:t>
      </w:r>
      <w:r>
        <w:rPr>
          <w:rFonts w:ascii="Arial" w:cs="Arial" w:eastAsia="Arial" w:hAnsi="Arial"/>
          <w:sz w:val="16"/>
          <w:szCs w:val="16"/>
          <w:color w:val="auto"/>
        </w:rPr>
        <w:t>tolerability and preliminary efficacy of entinostat in combination with Genentech’s investigational immune checkpoint inhibitor, atezolizumab, in a Phase 1b/2 clinical trial of patients with TNBC. Additionally, entinostat is being evaluated in two ongoing and one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123" w:lineRule="exact"/>
        <w:rPr>
          <w:sz w:val="20"/>
          <w:szCs w:val="20"/>
          <w:color w:val="auto"/>
        </w:rPr>
      </w:pPr>
    </w:p>
    <w:p>
      <w:pPr>
        <w:ind w:left="200" w:right="340" w:firstLine="443"/>
        <w:spacing w:after="0" w:line="291" w:lineRule="auto"/>
        <w:rPr>
          <w:sz w:val="20"/>
          <w:szCs w:val="20"/>
          <w:color w:val="auto"/>
        </w:rPr>
      </w:pPr>
      <w:r>
        <w:rPr>
          <w:rFonts w:ascii="Arial" w:cs="Arial" w:eastAsia="Arial" w:hAnsi="Arial"/>
          <w:sz w:val="16"/>
          <w:szCs w:val="16"/>
          <w:color w:val="auto"/>
        </w:rPr>
        <w:t xml:space="preserve">We are also providing financial and operational support for an ongoing Phase 3 clinical trial in advanced HR+ breast cancer in combination with </w:t>
      </w:r>
      <w:r>
        <w:rPr>
          <w:rFonts w:ascii="Arial" w:cs="Arial" w:eastAsia="Arial" w:hAnsi="Arial"/>
          <w:sz w:val="16"/>
          <w:szCs w:val="16"/>
          <w:i w:val="1"/>
          <w:iCs w:val="1"/>
          <w:color w:val="auto"/>
        </w:rPr>
        <w:t xml:space="preserve">Aromasin. </w:t>
      </w:r>
      <w:r>
        <w:rPr>
          <w:rFonts w:ascii="Arial" w:cs="Arial" w:eastAsia="Arial" w:hAnsi="Arial"/>
          <w:sz w:val="16"/>
          <w:szCs w:val="16"/>
          <w:color w:val="auto"/>
        </w:rPr>
        <w:t>Eastern Cooperative Oncology Group-American College of Radiology Imaging Network Cancer Research Group, or ECOG-ACRIN, 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conducting this clinical trial under sponsorship and funding support from the National Cancer Institute, or NCI. The Phase 3 clinical trial is designed to determine whether the addition of entinostat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improves progression-free survival, or PFS, overall survival, or both in patients who have previously progressed after treatment with standard-of-care hormonal agents. We believe that the submission of the results of the Phase 3 clinical trial, if successful, would be sufficient for regulatory approval of entinostat in the United States.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left="200" w:firstLine="443"/>
        <w:spacing w:after="0" w:line="268" w:lineRule="auto"/>
        <w:rPr>
          <w:sz w:val="20"/>
          <w:szCs w:val="20"/>
          <w:color w:val="auto"/>
        </w:rPr>
      </w:pPr>
      <w:r>
        <w:rPr>
          <w:rFonts w:ascii="Arial" w:cs="Arial" w:eastAsia="Arial" w:hAnsi="Arial"/>
          <w:sz w:val="18"/>
          <w:szCs w:val="18"/>
          <w:color w:val="auto"/>
        </w:rPr>
        <w:t>We are focused on developing entinostat for use in multiple cancer indications in combination with complementary therapeutic drugs. Key elements of our strategy include:</w:t>
      </w:r>
    </w:p>
    <w:p>
      <w:pPr>
        <w:spacing w:after="0" w:line="51" w:lineRule="exact"/>
        <w:rPr>
          <w:sz w:val="20"/>
          <w:szCs w:val="20"/>
          <w:color w:val="auto"/>
        </w:rPr>
      </w:pPr>
    </w:p>
    <w:p>
      <w:pPr>
        <w:ind w:left="1180" w:hanging="321"/>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establish entinostat as the combination therapy of choice with immune checkpoint inhibitors, initially PD-1 and PDL-1 inhibitors;</w:t>
      </w:r>
    </w:p>
    <w:p>
      <w:pPr>
        <w:spacing w:after="0" w:line="113" w:lineRule="exact"/>
        <w:rPr>
          <w:rFonts w:ascii="Arial" w:cs="Arial" w:eastAsia="Arial" w:hAnsi="Arial"/>
          <w:sz w:val="16"/>
          <w:szCs w:val="16"/>
          <w:color w:val="auto"/>
        </w:rPr>
      </w:pPr>
    </w:p>
    <w:p>
      <w:pPr>
        <w:ind w:left="1180" w:hanging="321"/>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pursue regulatory approval of entinostat in indications with significant unmet need and commercial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32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13270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1180" w:hanging="32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continue to develop and obtain regulatory approval for entinostat in combination with hormone therapy in advanced HR+ breast cancer; and</w:t>
      </w:r>
    </w:p>
    <w:p>
      <w:pPr>
        <w:spacing w:after="0" w:line="113" w:lineRule="exact"/>
        <w:rPr>
          <w:rFonts w:ascii="Arial" w:cs="Arial" w:eastAsia="Arial" w:hAnsi="Arial"/>
          <w:sz w:val="16"/>
          <w:szCs w:val="16"/>
          <w:color w:val="auto"/>
        </w:rPr>
      </w:pPr>
    </w:p>
    <w:p>
      <w:pPr>
        <w:ind w:left="1180" w:right="160" w:hanging="321"/>
        <w:spacing w:after="0" w:line="268" w:lineRule="auto"/>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leverage the technical and business expertise of our management team and scientific collaborators to license, acquire and develop additional cancer therapies to expand our pipeline.</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77" w:lineRule="exact"/>
        <w:rPr>
          <w:sz w:val="20"/>
          <w:szCs w:val="20"/>
          <w:color w:val="auto"/>
        </w:rPr>
      </w:pPr>
    </w:p>
    <w:p>
      <w:pPr>
        <w:ind w:left="200" w:right="160" w:firstLine="443"/>
        <w:spacing w:after="0" w:line="256" w:lineRule="auto"/>
        <w:rPr>
          <w:sz w:val="20"/>
          <w:szCs w:val="20"/>
          <w:color w:val="auto"/>
        </w:rPr>
      </w:pPr>
      <w:r>
        <w:rPr>
          <w:rFonts w:ascii="Arial" w:cs="Arial" w:eastAsia="Arial" w:hAnsi="Arial"/>
          <w:sz w:val="18"/>
          <w:szCs w:val="18"/>
          <w:color w:val="auto"/>
        </w:rPr>
        <w:t>Our ability to implement our business strategy is subject to numerous risks and uncertainties. As a late-stage biopharmaceutical company, we face many risks inherent in our business and our industry generally. You should carefully consider all of the information set forth in this prospectus and, in particular, the information in the section titled “Risk Factors,” prior to making an investment in our common stock. These risks include, among others, the following:</w:t>
      </w:r>
    </w:p>
    <w:p>
      <w:pPr>
        <w:spacing w:after="0" w:line="184" w:lineRule="exact"/>
        <w:rPr>
          <w:sz w:val="20"/>
          <w:szCs w:val="20"/>
          <w:color w:val="auto"/>
        </w:rPr>
      </w:pPr>
    </w:p>
    <w:p>
      <w:pPr>
        <w:ind w:left="118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 source of product revenue, may never achieve or maintain profitability, have incurred net losses since our inception and anticipate that we will continue to incur net losses for the foreseeable future.</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require additional capital to finance our planned operations, which may not be available to us on acceptable terms, or at all.</w:t>
      </w:r>
    </w:p>
    <w:p>
      <w:pPr>
        <w:spacing w:after="0" w:line="113" w:lineRule="exact"/>
        <w:rPr>
          <w:rFonts w:ascii="Arial" w:cs="Arial" w:eastAsia="Arial" w:hAnsi="Arial"/>
          <w:sz w:val="16"/>
          <w:szCs w:val="16"/>
          <w:color w:val="auto"/>
        </w:rPr>
      </w:pPr>
    </w:p>
    <w:p>
      <w:pPr>
        <w:ind w:left="1180" w:right="52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Entinostat currently is our only product candidate. If we are unable to successfully complete clinical development of, obtain regulatory approval for and commercialize entinostat, our business prospects will be significantly harmed.</w:t>
      </w:r>
    </w:p>
    <w:p>
      <w:pPr>
        <w:spacing w:after="0" w:line="50" w:lineRule="exact"/>
        <w:rPr>
          <w:rFonts w:ascii="Arial" w:cs="Arial" w:eastAsia="Arial" w:hAnsi="Arial"/>
          <w:sz w:val="18"/>
          <w:szCs w:val="18"/>
          <w:color w:val="auto"/>
        </w:rPr>
      </w:pPr>
    </w:p>
    <w:p>
      <w:pPr>
        <w:ind w:left="118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50" w:lineRule="exact"/>
        <w:rPr>
          <w:rFonts w:ascii="Arial" w:cs="Arial" w:eastAsia="Arial" w:hAnsi="Arial"/>
          <w:sz w:val="18"/>
          <w:szCs w:val="18"/>
          <w:color w:val="auto"/>
        </w:rPr>
      </w:pPr>
    </w:p>
    <w:p>
      <w:pPr>
        <w:ind w:left="1180" w:right="40" w:hanging="321"/>
        <w:spacing w:after="0" w:line="259"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59" w:lineRule="exact"/>
        <w:rPr>
          <w:rFonts w:ascii="Arial" w:cs="Arial" w:eastAsia="Arial" w:hAnsi="Arial"/>
          <w:sz w:val="18"/>
          <w:szCs w:val="18"/>
          <w:color w:val="auto"/>
        </w:rPr>
      </w:pPr>
    </w:p>
    <w:p>
      <w:pPr>
        <w:ind w:left="1180" w:hanging="3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dependent on Merck and Genentech and any future collaborators to perform satisfactorily under our agreements.</w:t>
      </w:r>
    </w:p>
    <w:p>
      <w:pPr>
        <w:spacing w:after="0" w:line="90" w:lineRule="exact"/>
        <w:rPr>
          <w:rFonts w:ascii="Arial" w:cs="Arial" w:eastAsia="Arial" w:hAnsi="Arial"/>
          <w:sz w:val="18"/>
          <w:szCs w:val="18"/>
          <w:color w:val="auto"/>
        </w:rPr>
      </w:pPr>
    </w:p>
    <w:p>
      <w:pPr>
        <w:ind w:left="1180" w:right="22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processes of the FDA and foreign regulatory authorities are lengthy, time consuming and inherently unpredictable. Our inability to obtain regulatory approval for entinostat could harm our business.</w:t>
      </w:r>
    </w:p>
    <w:p>
      <w:pPr>
        <w:spacing w:after="0" w:line="50" w:lineRule="exact"/>
        <w:rPr>
          <w:rFonts w:ascii="Arial" w:cs="Arial" w:eastAsia="Arial" w:hAnsi="Arial"/>
          <w:sz w:val="18"/>
          <w:szCs w:val="18"/>
          <w:color w:val="auto"/>
        </w:rPr>
      </w:pPr>
    </w:p>
    <w:p>
      <w:pPr>
        <w:ind w:left="1180" w:right="26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or protect intellectual property rights, we may not be able to compete effectively in our market.</w:t>
      </w:r>
    </w:p>
    <w:p>
      <w:pPr>
        <w:spacing w:after="0" w:line="90" w:lineRule="exact"/>
        <w:rPr>
          <w:rFonts w:ascii="Arial" w:cs="Arial" w:eastAsia="Arial" w:hAnsi="Arial"/>
          <w:sz w:val="18"/>
          <w:szCs w:val="18"/>
          <w:color w:val="auto"/>
        </w:rPr>
      </w:pPr>
    </w:p>
    <w:p>
      <w:pPr>
        <w:ind w:left="1180" w:right="320" w:hanging="321"/>
        <w:spacing w:after="0" w:line="332" w:lineRule="auto"/>
        <w:tabs>
          <w:tab w:leader="none" w:pos="1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breach our license agreement with Bayer Pharma AG (formerly known as Bayer Schering Pharma AG) related to entinostat or if the license agreement is otherwise terminated, we could lose the ability to continue the development and commercialization of entinostat.</w:t>
      </w:r>
    </w:p>
    <w:p>
      <w:pPr>
        <w:spacing w:after="0" w:line="4" w:lineRule="exact"/>
        <w:rPr>
          <w:rFonts w:ascii="Arial" w:cs="Arial" w:eastAsia="Arial" w:hAnsi="Arial"/>
          <w:sz w:val="16"/>
          <w:szCs w:val="16"/>
          <w:color w:val="auto"/>
        </w:rPr>
      </w:pPr>
    </w:p>
    <w:p>
      <w:pPr>
        <w:ind w:left="1180" w:right="300" w:hanging="321"/>
        <w:spacing w:after="0" w:line="268" w:lineRule="auto"/>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successfully remediate the existing material weakness in our internal control over financial reporting, the accuracy and timing of our financial reporting may be adversely affected.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944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49441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177"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We were incorporated under the laws of the State of Delaware in October 2005. Our principal executive offices are located at 400 Totten Pond Road, Suite 110, Waltham, Massachusetts 02451, and our telephone number is (781) 419-1400. Our website address is www.syndax.com. Our website and the information contained on, or that can be accessed through, the website will not be deemed to be incorporated by reference in, and are not considered part of, this prospectus. You should not rely on any such information in making your decision to purchase our common stock.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77"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a company with less than $1.0 billion in revenue during our last fiscal year, 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181" w:lineRule="exact"/>
        <w:rPr>
          <w:sz w:val="20"/>
          <w:szCs w:val="20"/>
          <w:color w:val="auto"/>
        </w:rPr>
      </w:pPr>
    </w:p>
    <w:p>
      <w:pPr>
        <w:ind w:left="1180" w:right="180" w:hanging="321"/>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management’s discussion and analysis in this prospectus;</w:t>
      </w:r>
    </w:p>
    <w:p>
      <w:pPr>
        <w:spacing w:after="0" w:line="50" w:lineRule="exact"/>
        <w:rPr>
          <w:rFonts w:ascii="Arial" w:cs="Arial" w:eastAsia="Arial" w:hAnsi="Arial"/>
          <w:sz w:val="18"/>
          <w:szCs w:val="18"/>
          <w:color w:val="auto"/>
        </w:rPr>
      </w:pPr>
    </w:p>
    <w:p>
      <w:pPr>
        <w:ind w:left="1180" w:hanging="321"/>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on the effectiveness of our internal control over financial reporting;</w:t>
      </w:r>
    </w:p>
    <w:p>
      <w:pPr>
        <w:spacing w:after="0" w:line="113" w:lineRule="exact"/>
        <w:rPr>
          <w:rFonts w:ascii="Arial" w:cs="Arial" w:eastAsia="Arial" w:hAnsi="Arial"/>
          <w:sz w:val="16"/>
          <w:szCs w:val="16"/>
          <w:color w:val="auto"/>
        </w:rPr>
      </w:pPr>
    </w:p>
    <w:p>
      <w:pPr>
        <w:ind w:left="1180" w:right="100" w:hanging="321"/>
        <w:spacing w:after="0" w:line="332"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4" w:lineRule="exact"/>
        <w:rPr>
          <w:rFonts w:ascii="Arial" w:cs="Arial" w:eastAsia="Arial" w:hAnsi="Arial"/>
          <w:sz w:val="16"/>
          <w:szCs w:val="16"/>
          <w:color w:val="auto"/>
        </w:rPr>
      </w:pPr>
    </w:p>
    <w:p>
      <w:pPr>
        <w:ind w:left="1180" w:hanging="321"/>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the company’s executive compensation arrangements; and</w:t>
      </w:r>
    </w:p>
    <w:p>
      <w:pPr>
        <w:spacing w:after="0" w:line="90" w:lineRule="exact"/>
        <w:rPr>
          <w:rFonts w:ascii="Arial" w:cs="Arial" w:eastAsia="Arial" w:hAnsi="Arial"/>
          <w:sz w:val="18"/>
          <w:szCs w:val="18"/>
          <w:color w:val="auto"/>
        </w:rPr>
      </w:pPr>
    </w:p>
    <w:p>
      <w:pPr>
        <w:ind w:left="1180" w:right="80" w:hanging="321"/>
        <w:spacing w:after="0" w:line="268"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w:t>
      </w:r>
    </w:p>
    <w:p>
      <w:pPr>
        <w:spacing w:after="0" w:line="132"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We may take advantage of these provisions for up to five years or such earlier time that we are no longer an emerging growth company. We would cease to be an emerging growth company if we have more than $1.0 billion in annual revenues, have more than $700 million in market value of our capital stock held by non-affiliates, or issue more than $1.0 billion of non-convertible debt over a three-year period. We may choose to take advantage of some, but not all, of the available benefits under the JOBS Act. We have taken advantage of some reduced reporting burdens in this prospectus. Accordingly, the information contained herein may be different than the information you receive from other public companies in which you hold stock.</w:t>
      </w:r>
    </w:p>
    <w:p>
      <w:pPr>
        <w:spacing w:after="0" w:line="11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delayed adoption of new or revised accounting standards and, therefore, we will be subject to the same requirements to adopt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497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4497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4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180" w:type="dxa"/>
            <w:vAlign w:val="bottom"/>
            <w:gridSpan w:val="3"/>
          </w:tcPr>
          <w:p>
            <w:pPr>
              <w:ind w:left="660"/>
              <w:spacing w:after="0"/>
              <w:rPr>
                <w:sz w:val="20"/>
                <w:szCs w:val="20"/>
                <w:color w:val="auto"/>
              </w:rPr>
            </w:pPr>
            <w:r>
              <w:rPr>
                <w:rFonts w:ascii="Arial" w:cs="Arial" w:eastAsia="Arial" w:hAnsi="Arial"/>
                <w:sz w:val="18"/>
                <w:szCs w:val="18"/>
                <w:b w:val="1"/>
                <w:bCs w:val="1"/>
                <w:color w:val="auto"/>
              </w:rPr>
              <w:t>The Offering</w:t>
            </w:r>
          </w:p>
        </w:tc>
        <w:tc>
          <w:tcPr>
            <w:tcW w:w="2480" w:type="dxa"/>
            <w:vAlign w:val="bottom"/>
          </w:tcPr>
          <w:p>
            <w:pPr>
              <w:spacing w:after="0"/>
              <w:rPr>
                <w:sz w:val="19"/>
                <w:szCs w:val="19"/>
                <w:color w:val="auto"/>
              </w:rPr>
            </w:pPr>
          </w:p>
        </w:tc>
      </w:tr>
      <w:tr>
        <w:trPr>
          <w:trHeight w:val="419"/>
        </w:trPr>
        <w:tc>
          <w:tcPr>
            <w:tcW w:w="4080" w:type="dxa"/>
            <w:vAlign w:val="bottom"/>
          </w:tcPr>
          <w:p>
            <w:pPr>
              <w:spacing w:after="0"/>
              <w:rPr>
                <w:sz w:val="20"/>
                <w:szCs w:val="20"/>
                <w:color w:val="auto"/>
              </w:rPr>
            </w:pPr>
            <w:r>
              <w:rPr>
                <w:rFonts w:ascii="Arial" w:cs="Arial" w:eastAsia="Arial" w:hAnsi="Arial"/>
                <w:sz w:val="18"/>
                <w:szCs w:val="18"/>
                <w:color w:val="auto"/>
              </w:rPr>
              <w:t>Common stock to be offered by us</w:t>
            </w:r>
          </w:p>
        </w:tc>
        <w:tc>
          <w:tcPr>
            <w:tcW w:w="30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w w:val="92"/>
              </w:rPr>
              <w:t>Common stock to be outstanding immediately following</w:t>
            </w:r>
          </w:p>
        </w:tc>
        <w:tc>
          <w:tcPr>
            <w:tcW w:w="300" w:type="dxa"/>
            <w:vAlign w:val="bottom"/>
          </w:tcPr>
          <w:p>
            <w:pPr>
              <w:spacing w:after="0"/>
              <w:rPr>
                <w:sz w:val="24"/>
                <w:szCs w:val="24"/>
                <w:color w:val="auto"/>
              </w:rPr>
            </w:pPr>
          </w:p>
        </w:tc>
        <w:tc>
          <w:tcPr>
            <w:tcW w:w="1120" w:type="dxa"/>
            <w:vAlign w:val="bottom"/>
          </w:tcPr>
          <w:p>
            <w:pPr>
              <w:ind w:left="340"/>
              <w:spacing w:after="0"/>
              <w:rPr>
                <w:sz w:val="20"/>
                <w:szCs w:val="20"/>
                <w:color w:val="auto"/>
              </w:rPr>
            </w:pPr>
            <w:r>
              <w:rPr>
                <w:rFonts w:ascii="Arial" w:cs="Arial" w:eastAsia="Arial" w:hAnsi="Arial"/>
                <w:sz w:val="18"/>
                <w:szCs w:val="18"/>
                <w:color w:val="auto"/>
              </w:rPr>
              <w:t>shares</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2"/>
        </w:trPr>
        <w:tc>
          <w:tcPr>
            <w:tcW w:w="4080" w:type="dxa"/>
            <w:vAlign w:val="bottom"/>
          </w:tcPr>
          <w:p>
            <w:pPr>
              <w:ind w:left="80"/>
              <w:spacing w:after="0"/>
              <w:rPr>
                <w:sz w:val="20"/>
                <w:szCs w:val="20"/>
                <w:color w:val="auto"/>
              </w:rPr>
            </w:pPr>
            <w:r>
              <w:rPr>
                <w:rFonts w:ascii="Arial" w:cs="Arial" w:eastAsia="Arial" w:hAnsi="Arial"/>
                <w:sz w:val="18"/>
                <w:szCs w:val="18"/>
                <w:color w:val="auto"/>
              </w:rPr>
              <w:t>this offering</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26"/>
        </w:trPr>
        <w:tc>
          <w:tcPr>
            <w:tcW w:w="4080" w:type="dxa"/>
            <w:vAlign w:val="bottom"/>
          </w:tcPr>
          <w:p>
            <w:pPr>
              <w:spacing w:after="0"/>
              <w:rPr>
                <w:sz w:val="20"/>
                <w:szCs w:val="20"/>
                <w:color w:val="auto"/>
              </w:rPr>
            </w:pPr>
            <w:r>
              <w:rPr>
                <w:rFonts w:ascii="Arial" w:cs="Arial" w:eastAsia="Arial" w:hAnsi="Arial"/>
                <w:sz w:val="18"/>
                <w:szCs w:val="18"/>
                <w:color w:val="auto"/>
              </w:rPr>
              <w:t>Over-allotment option</w:t>
            </w: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4"/>
              </w:rPr>
              <w:t>We have granted the underwriters an option for 30 days from the date of this prospectus to</w:t>
            </w:r>
          </w:p>
        </w:tc>
      </w:tr>
      <w:tr>
        <w:trPr>
          <w:trHeight w:val="222"/>
        </w:trPr>
        <w:tc>
          <w:tcPr>
            <w:tcW w:w="408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purchase up to</w:t>
            </w:r>
          </w:p>
        </w:tc>
        <w:tc>
          <w:tcPr>
            <w:tcW w:w="5540" w:type="dxa"/>
            <w:vAlign w:val="bottom"/>
            <w:gridSpan w:val="3"/>
          </w:tcPr>
          <w:p>
            <w:pPr>
              <w:ind w:left="300"/>
              <w:spacing w:after="0"/>
              <w:rPr>
                <w:sz w:val="20"/>
                <w:szCs w:val="20"/>
                <w:color w:val="auto"/>
              </w:rPr>
            </w:pPr>
            <w:r>
              <w:rPr>
                <w:rFonts w:ascii="Arial" w:cs="Arial" w:eastAsia="Arial" w:hAnsi="Arial"/>
                <w:sz w:val="18"/>
                <w:szCs w:val="18"/>
                <w:color w:val="auto"/>
                <w:w w:val="98"/>
              </w:rPr>
              <w:t>additional shares of common stock to cover over-allotments, if any.</w:t>
            </w:r>
          </w:p>
        </w:tc>
      </w:tr>
      <w:tr>
        <w:trPr>
          <w:trHeight w:val="412"/>
        </w:trPr>
        <w:tc>
          <w:tcPr>
            <w:tcW w:w="4080" w:type="dxa"/>
            <w:vAlign w:val="bottom"/>
          </w:tcPr>
          <w:p>
            <w:pPr>
              <w:spacing w:after="0"/>
              <w:rPr>
                <w:sz w:val="20"/>
                <w:szCs w:val="20"/>
                <w:color w:val="auto"/>
              </w:rPr>
            </w:pPr>
            <w:r>
              <w:rPr>
                <w:rFonts w:ascii="Arial" w:cs="Arial" w:eastAsia="Arial" w:hAnsi="Arial"/>
                <w:sz w:val="18"/>
                <w:szCs w:val="18"/>
                <w:color w:val="auto"/>
              </w:rPr>
              <w:t>Use of proceeds</w:t>
            </w: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2"/>
              </w:rPr>
              <w:t>We expect to use the proceeds from this offering for the following purposes: (i) to support the</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2"/>
              </w:rPr>
              <w:t>clinical trials of entinostat in combination with Keytruda</w:t>
            </w:r>
            <w:r>
              <w:rPr>
                <w:rFonts w:ascii="Arial" w:cs="Arial" w:eastAsia="Arial" w:hAnsi="Arial"/>
                <w:sz w:val="11"/>
                <w:szCs w:val="11"/>
                <w:color w:val="auto"/>
                <w:w w:val="92"/>
              </w:rPr>
              <w:t>®</w:t>
            </w:r>
            <w:r>
              <w:rPr>
                <w:rFonts w:ascii="Arial" w:cs="Arial" w:eastAsia="Arial" w:hAnsi="Arial"/>
                <w:sz w:val="18"/>
                <w:szCs w:val="18"/>
                <w:color w:val="auto"/>
                <w:w w:val="92"/>
              </w:rPr>
              <w:t xml:space="preserve"> (pembrolizumab) and atezolizumab;</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6"/>
              </w:rPr>
              <w:t>(ii) to support additional clinical trials of entinostat in combination with immune checkpoint</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0"/>
              </w:rPr>
              <w:t>inhibitors; (iii) to support the Phase 3 clinical trial of entinostat in advanced HR+ breast cancer;</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1"/>
              </w:rPr>
              <w:t>(iv) to conduct activities to support the filing of a New Drug Application for entinostat, including</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89"/>
              </w:rPr>
              <w:t>manufacturing of registration batches of active pharmaceutical ingredient and final drug product;</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89"/>
              </w:rPr>
              <w:t>and (v) the remainder for working capital and general corporate purposes. See the section titled</w:t>
            </w:r>
          </w:p>
        </w:tc>
      </w:tr>
      <w:tr>
        <w:trPr>
          <w:trHeight w:val="216"/>
        </w:trPr>
        <w:tc>
          <w:tcPr>
            <w:tcW w:w="4080" w:type="dxa"/>
            <w:vAlign w:val="bottom"/>
          </w:tcPr>
          <w:p>
            <w:pPr>
              <w:spacing w:after="0"/>
              <w:rPr>
                <w:sz w:val="18"/>
                <w:szCs w:val="18"/>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92"/>
              </w:rPr>
              <w:t>“Use of Proceeds” for a more complete description of the intended use of proceeds from this</w:t>
            </w:r>
          </w:p>
        </w:tc>
      </w:tr>
      <w:tr>
        <w:trPr>
          <w:trHeight w:val="222"/>
        </w:trPr>
        <w:tc>
          <w:tcPr>
            <w:tcW w:w="4080" w:type="dxa"/>
            <w:vAlign w:val="bottom"/>
          </w:tcPr>
          <w:p>
            <w:pPr>
              <w:spacing w:after="0"/>
              <w:rPr>
                <w:sz w:val="19"/>
                <w:szCs w:val="19"/>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offering.</w:t>
            </w:r>
          </w:p>
        </w:tc>
        <w:tc>
          <w:tcPr>
            <w:tcW w:w="1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2"/>
        </w:trPr>
        <w:tc>
          <w:tcPr>
            <w:tcW w:w="4080" w:type="dxa"/>
            <w:vAlign w:val="bottom"/>
          </w:tcPr>
          <w:p>
            <w:pPr>
              <w:spacing w:after="0"/>
              <w:rPr>
                <w:sz w:val="20"/>
                <w:szCs w:val="20"/>
                <w:color w:val="auto"/>
              </w:rPr>
            </w:pPr>
            <w:r>
              <w:rPr>
                <w:rFonts w:ascii="Arial" w:cs="Arial" w:eastAsia="Arial" w:hAnsi="Arial"/>
                <w:sz w:val="18"/>
                <w:szCs w:val="18"/>
                <w:color w:val="auto"/>
              </w:rPr>
              <w:t>Risk factors</w:t>
            </w: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w w:val="89"/>
              </w:rPr>
              <w:t>You should read the section of this prospectus titled “Risk Factors” for a discussion of factors to</w:t>
            </w:r>
          </w:p>
        </w:tc>
      </w:tr>
      <w:tr>
        <w:trPr>
          <w:trHeight w:val="222"/>
        </w:trPr>
        <w:tc>
          <w:tcPr>
            <w:tcW w:w="4080" w:type="dxa"/>
            <w:vAlign w:val="bottom"/>
          </w:tcPr>
          <w:p>
            <w:pPr>
              <w:spacing w:after="0"/>
              <w:rPr>
                <w:sz w:val="19"/>
                <w:szCs w:val="19"/>
                <w:color w:val="auto"/>
              </w:rPr>
            </w:pPr>
          </w:p>
        </w:tc>
        <w:tc>
          <w:tcPr>
            <w:tcW w:w="6960" w:type="dxa"/>
            <w:vAlign w:val="bottom"/>
            <w:gridSpan w:val="5"/>
          </w:tcPr>
          <w:p>
            <w:pPr>
              <w:ind w:left="120"/>
              <w:spacing w:after="0"/>
              <w:rPr>
                <w:sz w:val="20"/>
                <w:szCs w:val="20"/>
                <w:color w:val="auto"/>
              </w:rPr>
            </w:pPr>
            <w:r>
              <w:rPr>
                <w:rFonts w:ascii="Arial" w:cs="Arial" w:eastAsia="Arial" w:hAnsi="Arial"/>
                <w:sz w:val="18"/>
                <w:szCs w:val="18"/>
                <w:color w:val="auto"/>
              </w:rPr>
              <w:t>carefully consider before deciding to invest in shares of our common stock.</w:t>
            </w:r>
          </w:p>
        </w:tc>
      </w:tr>
      <w:tr>
        <w:trPr>
          <w:trHeight w:val="419"/>
        </w:trPr>
        <w:tc>
          <w:tcPr>
            <w:tcW w:w="408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SNDX</w:t>
            </w:r>
          </w:p>
        </w:tc>
        <w:tc>
          <w:tcPr>
            <w:tcW w:w="1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13"/>
        </w:trPr>
        <w:tc>
          <w:tcPr>
            <w:tcW w:w="4380" w:type="dxa"/>
            <w:vAlign w:val="bottom"/>
            <w:gridSpan w:val="2"/>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70"/>
        </w:trPr>
        <w:tc>
          <w:tcPr>
            <w:tcW w:w="8560" w:type="dxa"/>
            <w:vAlign w:val="bottom"/>
            <w:gridSpan w:val="5"/>
          </w:tcPr>
          <w:p>
            <w:pPr>
              <w:ind w:left="440"/>
              <w:spacing w:after="0"/>
              <w:rPr>
                <w:sz w:val="20"/>
                <w:szCs w:val="20"/>
                <w:color w:val="auto"/>
              </w:rPr>
            </w:pPr>
            <w:r>
              <w:rPr>
                <w:rFonts w:ascii="Arial" w:cs="Arial" w:eastAsia="Arial" w:hAnsi="Arial"/>
                <w:sz w:val="18"/>
                <w:szCs w:val="18"/>
                <w:color w:val="auto"/>
                <w:w w:val="93"/>
              </w:rPr>
              <w:t>The number of shares of our common stock outstanding immediately following this offering set forth above is</w:t>
            </w:r>
          </w:p>
        </w:tc>
        <w:tc>
          <w:tcPr>
            <w:tcW w:w="2480" w:type="dxa"/>
            <w:vAlign w:val="bottom"/>
          </w:tcPr>
          <w:p>
            <w:pPr>
              <w:ind w:left="400"/>
              <w:spacing w:after="0"/>
              <w:rPr>
                <w:sz w:val="20"/>
                <w:szCs w:val="20"/>
                <w:color w:val="auto"/>
              </w:rPr>
            </w:pPr>
            <w:r>
              <w:rPr>
                <w:rFonts w:ascii="Arial" w:cs="Arial" w:eastAsia="Arial" w:hAnsi="Arial"/>
                <w:sz w:val="18"/>
                <w:szCs w:val="18"/>
                <w:color w:val="auto"/>
                <w:w w:val="91"/>
              </w:rPr>
              <w:t>shares of our common stock</w:t>
            </w:r>
          </w:p>
        </w:tc>
      </w:tr>
    </w:tbl>
    <w:p>
      <w:pPr>
        <w:ind w:left="200" w:right="160"/>
        <w:spacing w:after="0" w:line="302" w:lineRule="auto"/>
        <w:rPr>
          <w:sz w:val="20"/>
          <w:szCs w:val="20"/>
          <w:color w:val="auto"/>
        </w:rPr>
      </w:pPr>
      <w:r>
        <w:rPr>
          <w:rFonts w:ascii="Arial" w:cs="Arial" w:eastAsia="Arial" w:hAnsi="Arial"/>
          <w:sz w:val="16"/>
          <w:szCs w:val="16"/>
          <w:color w:val="auto"/>
        </w:rPr>
        <w:t>outstanding as of June 30, 2015, which gives effect to (i) the conversion of all outstanding shares of our convertible preferred stock into an aggregate of 10,618,367 shares of our common stock upon completion of this offering and (ii) the conversion of the shares of our Series C-1 convertible preferred stock issued on August 21, 2015 into an aggregate of 5,472,390 shares of our common stock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91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9916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number of shares of our common stock outstanding immediately following this offering excludes:</w:t>
      </w:r>
    </w:p>
    <w:p>
      <w:pPr>
        <w:spacing w:after="0" w:line="212" w:lineRule="exact"/>
        <w:rPr>
          <w:sz w:val="20"/>
          <w:szCs w:val="20"/>
          <w:color w:val="auto"/>
        </w:rPr>
      </w:pPr>
    </w:p>
    <w:p>
      <w:pPr>
        <w:ind w:left="1180" w:right="60" w:hanging="321"/>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2,234,519 shares of our common stock issuable upon the exercise of stock options outstanding as of June 30, 2015 under our 2007 Stock Plan, as amended, or 2007 Plan, at a weighted-average exercise price of $4.96 per share;</w:t>
      </w:r>
    </w:p>
    <w:p>
      <w:pPr>
        <w:spacing w:after="0" w:line="50" w:lineRule="exact"/>
        <w:rPr>
          <w:rFonts w:ascii="Arial" w:cs="Arial" w:eastAsia="Arial" w:hAnsi="Arial"/>
          <w:sz w:val="18"/>
          <w:szCs w:val="18"/>
          <w:color w:val="auto"/>
        </w:rPr>
      </w:pPr>
    </w:p>
    <w:p>
      <w:pPr>
        <w:ind w:left="1700" w:hanging="841"/>
        <w:spacing w:after="0"/>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a warrant issued to Bayer on March 26, 2007, or the Bayer Warrant, at an</w:t>
      </w:r>
    </w:p>
    <w:p>
      <w:pPr>
        <w:spacing w:after="0" w:line="38" w:lineRule="exact"/>
        <w:rPr>
          <w:sz w:val="20"/>
          <w:szCs w:val="20"/>
          <w:color w:val="auto"/>
        </w:rPr>
      </w:pPr>
    </w:p>
    <w:p>
      <w:pPr>
        <w:ind w:left="1180" w:right="440"/>
        <w:spacing w:after="0" w:line="323" w:lineRule="auto"/>
        <w:rPr>
          <w:sz w:val="20"/>
          <w:szCs w:val="20"/>
          <w:color w:val="auto"/>
        </w:rPr>
      </w:pPr>
      <w:r>
        <w:rPr>
          <w:rFonts w:ascii="Arial" w:cs="Arial" w:eastAsia="Arial" w:hAnsi="Arial"/>
          <w:sz w:val="16"/>
          <w:szCs w:val="16"/>
          <w:color w:val="auto"/>
        </w:rPr>
        <w:t>exercise price of $1.23 per share, based upon shares of our common stock outstanding as of June 30, 2015 on a fully diluted basis immediately following this offering, which warrant is expected to remain outstanding upon completion of this offering;</w:t>
      </w:r>
    </w:p>
    <w:p>
      <w:pPr>
        <w:spacing w:after="0" w:line="12" w:lineRule="exact"/>
        <w:rPr>
          <w:sz w:val="20"/>
          <w:szCs w:val="20"/>
          <w:color w:val="auto"/>
        </w:rPr>
      </w:pPr>
    </w:p>
    <w:p>
      <w:pPr>
        <w:jc w:val="both"/>
        <w:ind w:left="1180" w:right="200" w:hanging="321"/>
        <w:spacing w:after="0" w:line="306" w:lineRule="auto"/>
        <w:tabs>
          <w:tab w:leader="none" w:pos="1707"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of our common stock (which includes 543,502 shares reserved for issuance under the 2007 Plan as of June 30, 2015) reserved for issuance under our 2015 Omnibus Incentive Plan, or 2015 Plan, which will become effective upon completion of this offering, as well as any future increases in the number of shares of our common stock reserved for issuance under the 2015 Plan; and</w:t>
      </w:r>
    </w:p>
    <w:p>
      <w:pPr>
        <w:spacing w:after="0" w:line="25" w:lineRule="exact"/>
        <w:rPr>
          <w:rFonts w:ascii="Arial" w:cs="Arial" w:eastAsia="Arial" w:hAnsi="Arial"/>
          <w:sz w:val="16"/>
          <w:szCs w:val="16"/>
          <w:color w:val="auto"/>
        </w:rPr>
      </w:pPr>
    </w:p>
    <w:p>
      <w:pPr>
        <w:ind w:left="1180" w:right="140" w:hanging="321"/>
        <w:spacing w:after="0" w:line="259" w:lineRule="auto"/>
        <w:tabs>
          <w:tab w:leader="none" w:pos="1707"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our common stock reserved for issuance under our 2015 Employee Stock Purchase Plan, or ESPP, which will become effective upon completion of this offering, as well as any future increases in the number of shares of our common stock reserved for issuance under the ESPP.</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the information in this prospectus assumes or gives effect to:</w:t>
      </w:r>
    </w:p>
    <w:p>
      <w:pPr>
        <w:spacing w:after="0" w:line="212" w:lineRule="exact"/>
        <w:rPr>
          <w:sz w:val="20"/>
          <w:szCs w:val="20"/>
          <w:color w:val="auto"/>
        </w:rPr>
      </w:pPr>
    </w:p>
    <w:p>
      <w:pPr>
        <w:ind w:left="860"/>
        <w:spacing w:after="0"/>
        <w:tabs>
          <w:tab w:leader="none" w:pos="1160" w:val="left"/>
          <w:tab w:leader="none" w:pos="7300" w:val="left"/>
        </w:tabs>
        <w:rPr>
          <w:sz w:val="20"/>
          <w:szCs w:val="20"/>
          <w:color w:val="auto"/>
        </w:rPr>
      </w:pPr>
      <w:r>
        <w:rPr>
          <w:rFonts w:ascii="Arial" w:cs="Arial" w:eastAsia="Arial" w:hAnsi="Arial"/>
          <w:sz w:val="18"/>
          <w:szCs w:val="18"/>
          <w:color w:val="auto"/>
        </w:rPr>
        <w:t>•</w:t>
        <w:tab/>
        <w:t>no exercise by the underwriters of their over-allotment option to purchase up to</w:t>
      </w:r>
      <w:r>
        <w:rPr>
          <w:sz w:val="20"/>
          <w:szCs w:val="20"/>
          <w:color w:val="auto"/>
        </w:rPr>
        <w:tab/>
      </w:r>
      <w:r>
        <w:rPr>
          <w:rFonts w:ascii="Arial" w:cs="Arial" w:eastAsia="Arial" w:hAnsi="Arial"/>
          <w:sz w:val="15"/>
          <w:szCs w:val="15"/>
          <w:color w:val="auto"/>
        </w:rPr>
        <w:t>additional shares of common stock from us;</w:t>
      </w:r>
    </w:p>
    <w:p>
      <w:pPr>
        <w:spacing w:after="0" w:line="90" w:lineRule="exact"/>
        <w:rPr>
          <w:sz w:val="20"/>
          <w:szCs w:val="20"/>
          <w:color w:val="auto"/>
        </w:rPr>
      </w:pPr>
    </w:p>
    <w:p>
      <w:pPr>
        <w:ind w:left="1180" w:right="320" w:hanging="321"/>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outstanding as of June 30, 2015 into an aggregate of 10,618,367 shares of our common stock upon completion of this offering;</w:t>
      </w:r>
    </w:p>
    <w:p>
      <w:pPr>
        <w:spacing w:after="0" w:line="50" w:lineRule="exact"/>
        <w:rPr>
          <w:rFonts w:ascii="Arial" w:cs="Arial" w:eastAsia="Arial" w:hAnsi="Arial"/>
          <w:sz w:val="18"/>
          <w:szCs w:val="18"/>
          <w:color w:val="auto"/>
        </w:rPr>
      </w:pPr>
    </w:p>
    <w:p>
      <w:pPr>
        <w:ind w:left="1180" w:right="140" w:hanging="321"/>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conversion of the shares of our Series C-1 convertible preferred stock issued on August 21, 2015 into an aggregate of 5,472,390 shares of our common stock upon completion of this offering; and</w:t>
      </w:r>
    </w:p>
    <w:p>
      <w:pPr>
        <w:spacing w:after="0" w:line="51" w:lineRule="exact"/>
        <w:rPr>
          <w:sz w:val="20"/>
          <w:szCs w:val="20"/>
          <w:color w:val="auto"/>
        </w:rPr>
      </w:pPr>
    </w:p>
    <w:p>
      <w:pPr>
        <w:ind w:left="860"/>
        <w:spacing w:after="0"/>
        <w:tabs>
          <w:tab w:leader="none" w:pos="1160" w:val="left"/>
          <w:tab w:leader="none" w:pos="1460" w:val="left"/>
          <w:tab w:leader="none" w:pos="2000" w:val="left"/>
        </w:tabs>
        <w:rPr>
          <w:sz w:val="20"/>
          <w:szCs w:val="20"/>
          <w:color w:val="auto"/>
        </w:rPr>
      </w:pPr>
      <w:r>
        <w:rPr>
          <w:rFonts w:ascii="Arial" w:cs="Arial" w:eastAsia="Arial" w:hAnsi="Arial"/>
          <w:sz w:val="18"/>
          <w:szCs w:val="18"/>
          <w:color w:val="auto"/>
        </w:rPr>
        <w:t>•</w:t>
        <w:tab/>
        <w:t>a</w:t>
        <w:tab/>
        <w:t>-for-</w:t>
      </w:r>
      <w:r>
        <w:rPr>
          <w:sz w:val="20"/>
          <w:szCs w:val="20"/>
          <w:color w:val="auto"/>
        </w:rPr>
        <w:tab/>
      </w:r>
      <w:r>
        <w:rPr>
          <w:rFonts w:ascii="Arial" w:cs="Arial" w:eastAsia="Arial" w:hAnsi="Arial"/>
          <w:sz w:val="16"/>
          <w:szCs w:val="16"/>
          <w:color w:val="auto"/>
        </w:rPr>
        <w:t>reverse stock split of our common stock and convertible preferred stock to be effected prior to the completion of this offering;</w:t>
      </w:r>
    </w:p>
    <w:p>
      <w:pPr>
        <w:spacing w:after="0" w:line="90" w:lineRule="exact"/>
        <w:rPr>
          <w:sz w:val="20"/>
          <w:szCs w:val="20"/>
          <w:color w:val="auto"/>
        </w:rPr>
      </w:pPr>
    </w:p>
    <w:p>
      <w:pPr>
        <w:ind w:left="1180" w:hanging="321"/>
        <w:spacing w:after="0" w:line="268"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adoption of our amended and restated bylaws, which will occur upon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18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2184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77" w:lineRule="exact"/>
        <w:rPr>
          <w:sz w:val="20"/>
          <w:szCs w:val="20"/>
          <w:color w:val="auto"/>
        </w:rPr>
      </w:pPr>
    </w:p>
    <w:p>
      <w:pPr>
        <w:ind w:left="200" w:firstLine="443"/>
        <w:spacing w:after="0" w:line="308" w:lineRule="auto"/>
        <w:rPr>
          <w:sz w:val="20"/>
          <w:szCs w:val="20"/>
          <w:color w:val="auto"/>
        </w:rPr>
      </w:pPr>
      <w:r>
        <w:rPr>
          <w:rFonts w:ascii="Arial" w:cs="Arial" w:eastAsia="Arial" w:hAnsi="Arial"/>
          <w:sz w:val="15"/>
          <w:szCs w:val="15"/>
          <w:color w:val="auto"/>
        </w:rPr>
        <w:t>The following table summarizes our consolidated financial data. We have derived the following consolidated statements of operations data for the years ended December 31, 2013 and 2014 from our audited consolidated financial statements, included elsewhere in this prospectus. The following consolidated statements of operations data for the six months ended June 30, 2014 and 2015 and the consolidated balance sheet data as of June 30, 2015, are derived from our unaudited interim condensed consolidated financial statements, included elsewhere in this prospectus. The unaudited interim condensed consolidated financial statements have been prepared on a basis consistent with our audited consolidated financial statements included elsewhere in this prospectus and include, in our opinion, all adjustments, consisting only of normal recurring adjustments, necessary for the fair statement of the financial information in those statements. Our historical results are not necessarily indicative of results to be expected for the full year or any period in the future. The summary consolidated financial data presented below should be read in conjunction with the section titled “Management’s Discussion and Analysis of Financial Condition and Results of Operations” and our consolidated financial statements and the related notes thereto, included elsewhere in this prospectus. The summary consolidated financial data in this section is not intended to replace our consolidated financial statements and the related notes thereto.</w:t>
      </w:r>
    </w:p>
    <w:p>
      <w:pPr>
        <w:spacing w:after="0" w:line="13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10,175</w:t>
            </w: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5,363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11,157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3,296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8,571</w:t>
            </w:r>
          </w:p>
        </w:tc>
        <w:tc>
          <w:tcPr>
            <w:tcW w:w="10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21,332</w:t>
            </w:r>
          </w:p>
        </w:tc>
        <w:tc>
          <w:tcPr>
            <w:tcW w:w="100" w:type="dxa"/>
            <w:vAlign w:val="bottom"/>
          </w:tcPr>
          <w:p>
            <w:pPr>
              <w:spacing w:after="0"/>
              <w:rPr>
                <w:sz w:val="19"/>
                <w:szCs w:val="19"/>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w w:val="98"/>
              </w:rPr>
              <w:t>10,307</w:t>
            </w: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17"/>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(8,571)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(21,332)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(10,307)</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tcPr>
          <w:p>
            <w:pPr>
              <w:ind w:left="440"/>
              <w:spacing w:after="0"/>
              <w:rPr>
                <w:sz w:val="20"/>
                <w:szCs w:val="20"/>
                <w:color w:val="auto"/>
              </w:rPr>
            </w:pPr>
            <w:r>
              <w:rPr>
                <w:rFonts w:ascii="Arial" w:cs="Arial" w:eastAsia="Arial" w:hAnsi="Arial"/>
                <w:sz w:val="18"/>
                <w:szCs w:val="18"/>
                <w:color w:val="auto"/>
              </w:rPr>
              <w:t>Change in fair value of tranche liability</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Total other (expense) income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19"/>
                <w:szCs w:val="19"/>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1,504</w:t>
            </w:r>
          </w:p>
        </w:tc>
        <w:tc>
          <w:tcPr>
            <w:tcW w:w="100" w:type="dxa"/>
            <w:vAlign w:val="bottom"/>
          </w:tcPr>
          <w:p>
            <w:pPr>
              <w:spacing w:after="0"/>
              <w:rPr>
                <w:sz w:val="19"/>
                <w:szCs w:val="19"/>
                <w:color w:val="auto"/>
              </w:rPr>
            </w:pPr>
          </w:p>
        </w:tc>
        <w:tc>
          <w:tcPr>
            <w:tcW w:w="1080" w:type="dxa"/>
            <w:vAlign w:val="bottom"/>
            <w:gridSpan w:val="2"/>
          </w:tcPr>
          <w:p>
            <w:pPr>
              <w:jc w:val="right"/>
              <w:ind w:right="452"/>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8"/>
        </w:trPr>
        <w:tc>
          <w:tcPr>
            <w:tcW w:w="6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(14,171)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(19,828)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(8,508)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(11,125)</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stockholders—basic and diluted</w:t>
            </w: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(60,454)</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(26,357)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92"/>
              <w:spacing w:after="0"/>
              <w:rPr>
                <w:sz w:val="20"/>
                <w:szCs w:val="20"/>
                <w:color w:val="auto"/>
              </w:rPr>
            </w:pPr>
            <w:r>
              <w:rPr>
                <w:rFonts w:ascii="Arial" w:cs="Arial" w:eastAsia="Arial" w:hAnsi="Arial"/>
                <w:sz w:val="18"/>
                <w:szCs w:val="18"/>
                <w:color w:val="auto"/>
                <w:w w:val="89"/>
              </w:rPr>
              <w:t>(11,746)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(38,410)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5"/>
              </w:rPr>
              <w:t>(1,139.14)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(362.38)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w w:val="89"/>
              </w:rPr>
              <w:t>(162.45)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(519.40)</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75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77596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6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center"/>
              <w:ind w:left="112"/>
              <w:spacing w:after="0"/>
              <w:rPr>
                <w:sz w:val="20"/>
                <w:szCs w:val="20"/>
                <w:color w:val="auto"/>
              </w:rPr>
            </w:pPr>
            <w:r>
              <w:rPr>
                <w:rFonts w:ascii="Arial" w:cs="Arial" w:eastAsia="Arial" w:hAnsi="Arial"/>
                <w:sz w:val="14"/>
                <w:szCs w:val="14"/>
                <w:b w:val="1"/>
                <w:bCs w:val="1"/>
                <w:color w:val="auto"/>
                <w:w w:val="85"/>
              </w:rPr>
              <w:t>June 30,</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60" w:type="dxa"/>
            <w:vAlign w:val="bottom"/>
            <w:tcBorders>
              <w:bottom w:val="single" w:sz="8" w:color="CCEEFF"/>
            </w:tcBorders>
            <w:gridSpan w:val="2"/>
            <w:vMerge w:val="continue"/>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460" w:type="dxa"/>
            <w:vAlign w:val="bottom"/>
            <w:gridSpan w:val="2"/>
            <w:shd w:val="clear" w:color="auto" w:fill="CCEEFF"/>
          </w:tcPr>
          <w:p>
            <w:pPr>
              <w:spacing w:after="0" w:line="188" w:lineRule="exact"/>
              <w:rPr>
                <w:sz w:val="20"/>
                <w:szCs w:val="20"/>
                <w:color w:val="auto"/>
              </w:rPr>
            </w:pPr>
            <w:r>
              <w:rPr>
                <w:rFonts w:ascii="Arial" w:cs="Arial" w:eastAsia="Arial" w:hAnsi="Arial"/>
                <w:sz w:val="18"/>
                <w:szCs w:val="18"/>
                <w:color w:val="auto"/>
                <w:w w:val="96"/>
              </w:rPr>
              <w:t>Weighted-average common shares outstanding used to compute net loss per share</w:t>
            </w: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attributable to common stockholders—basic and diluted</w:t>
            </w:r>
            <w:r>
              <w:rPr>
                <w:rFonts w:ascii="Arial" w:cs="Arial" w:eastAsia="Arial" w:hAnsi="Arial"/>
                <w:sz w:val="11"/>
                <w:szCs w:val="11"/>
                <w:color w:val="auto"/>
              </w:rPr>
              <w:t>(1)</w:t>
            </w:r>
            <w:r>
              <w:rPr>
                <w:rFonts w:ascii="Arial" w:cs="Arial" w:eastAsia="Arial" w:hAnsi="Arial"/>
                <w:sz w:val="18"/>
                <w:szCs w:val="18"/>
                <w:color w:val="auto"/>
              </w:rPr>
              <w:t>:</w:t>
            </w: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4"/>
              </w:rPr>
              <w:t>53,070</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8"/>
              </w:rPr>
              <w:t>72,733</w:t>
            </w:r>
          </w:p>
        </w:tc>
        <w:tc>
          <w:tcPr>
            <w:tcW w:w="1160" w:type="dxa"/>
            <w:vAlign w:val="bottom"/>
            <w:gridSpan w:val="2"/>
            <w:shd w:val="clear" w:color="auto" w:fill="CCEEFF"/>
          </w:tcPr>
          <w:p>
            <w:pPr>
              <w:jc w:val="right"/>
              <w:ind w:right="552"/>
              <w:spacing w:after="0"/>
              <w:rPr>
                <w:sz w:val="20"/>
                <w:szCs w:val="20"/>
                <w:color w:val="auto"/>
              </w:rPr>
            </w:pPr>
            <w:r>
              <w:rPr>
                <w:rFonts w:ascii="Arial" w:cs="Arial" w:eastAsia="Arial" w:hAnsi="Arial"/>
                <w:sz w:val="18"/>
                <w:szCs w:val="18"/>
                <w:color w:val="auto"/>
                <w:w w:val="94"/>
              </w:rPr>
              <w:t>72,306</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60" w:type="dxa"/>
            <w:vAlign w:val="bottom"/>
            <w:gridSpan w:val="2"/>
            <w:vMerge w:val="continue"/>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ind w:left="220"/>
              <w:spacing w:after="0"/>
              <w:rPr>
                <w:sz w:val="20"/>
                <w:szCs w:val="20"/>
                <w:color w:val="auto"/>
              </w:rPr>
            </w:pPr>
            <w:r>
              <w:rPr>
                <w:rFonts w:ascii="Arial" w:cs="Arial" w:eastAsia="Arial" w:hAnsi="Arial"/>
                <w:sz w:val="18"/>
                <w:szCs w:val="18"/>
                <w:color w:val="auto"/>
              </w:rPr>
              <w:t>diluted</w:t>
            </w:r>
            <w:r>
              <w:rPr>
                <w:rFonts w:ascii="Arial" w:cs="Arial" w:eastAsia="Arial" w:hAnsi="Arial"/>
                <w:sz w:val="11"/>
                <w:szCs w:val="11"/>
                <w:color w:val="auto"/>
              </w:rPr>
              <w:t>(1)</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(2.69)</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Pro forma weighted-average common shares outstanding used to compute net loss</w:t>
            </w:r>
          </w:p>
        </w:tc>
        <w:tc>
          <w:tcPr>
            <w:tcW w:w="5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 share attributable to common stockholders, basic and diluted</w:t>
            </w:r>
            <w:r>
              <w:rPr>
                <w:rFonts w:ascii="Arial" w:cs="Arial" w:eastAsia="Arial" w:hAnsi="Arial"/>
                <w:sz w:val="11"/>
                <w:szCs w:val="11"/>
                <w:color w:val="auto"/>
              </w:rPr>
              <w:t>(1)</w:t>
            </w:r>
          </w:p>
        </w:tc>
        <w:tc>
          <w:tcPr>
            <w:tcW w:w="254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8,007,439</w:t>
            </w:r>
          </w:p>
        </w:tc>
        <w:tc>
          <w:tcPr>
            <w:tcW w:w="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9,263,351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00" w:type="dxa"/>
            <w:vAlign w:val="bottom"/>
            <w:tcBorders>
              <w:bottom w:val="single" w:sz="8" w:color="auto"/>
            </w:tcBorders>
          </w:tcPr>
          <w:p>
            <w:pPr>
              <w:spacing w:after="0"/>
              <w:rPr>
                <w:sz w:val="8"/>
                <w:szCs w:val="8"/>
                <w:color w:val="auto"/>
              </w:rPr>
            </w:pPr>
          </w:p>
        </w:tc>
        <w:tc>
          <w:tcPr>
            <w:tcW w:w="5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20" w:right="40" w:hanging="423"/>
        <w:spacing w:after="0" w:line="259"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and our unaudited interim condensed consolidated financial statements included elsewhere in this prospectus for an explanation of the method used to calculate the historical and pro forma net loss per share, basic and diluted, and the weighted-average number of shares used in the computation of the per share amounts.</w:t>
      </w:r>
    </w:p>
    <w:p>
      <w:pPr>
        <w:spacing w:after="0" w:line="1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96"/>
              </w:rPr>
              <w:t>As of June 30, 2015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7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88"/>
              </w:rPr>
              <w:t>Pro Forma</w:t>
            </w:r>
            <w:r>
              <w:rPr>
                <w:rFonts w:ascii="Arial" w:cs="Arial" w:eastAsia="Arial" w:hAnsi="Arial"/>
                <w:sz w:val="22"/>
                <w:szCs w:val="22"/>
                <w:b w:val="1"/>
                <w:bCs w:val="1"/>
                <w:color w:val="auto"/>
                <w:w w:val="88"/>
                <w:vertAlign w:val="superscript"/>
              </w:rPr>
              <w:t>(1)</w:t>
            </w:r>
          </w:p>
        </w:tc>
        <w:tc>
          <w:tcPr>
            <w:tcW w:w="840" w:type="dxa"/>
            <w:vAlign w:val="bottom"/>
          </w:tcPr>
          <w:p>
            <w:pPr>
              <w:spacing w:after="0" w:line="115" w:lineRule="exact"/>
              <w:rPr>
                <w:sz w:val="20"/>
                <w:szCs w:val="20"/>
                <w:color w:val="auto"/>
              </w:rPr>
            </w:pPr>
            <w:r>
              <w:rPr>
                <w:rFonts w:ascii="Arial" w:cs="Arial" w:eastAsia="Arial" w:hAnsi="Arial"/>
                <w:sz w:val="12"/>
                <w:szCs w:val="12"/>
                <w:b w:val="1"/>
                <w:bCs w:val="1"/>
                <w:color w:val="auto"/>
              </w:rPr>
              <w:t>Pro Forma As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75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40" w:type="dxa"/>
            <w:vAlign w:val="bottom"/>
            <w:gridSpan w:val="2"/>
          </w:tcPr>
          <w:p>
            <w:pPr>
              <w:ind w:left="20"/>
              <w:spacing w:after="0" w:line="176" w:lineRule="exact"/>
              <w:rPr>
                <w:sz w:val="20"/>
                <w:szCs w:val="20"/>
                <w:color w:val="auto"/>
              </w:rPr>
            </w:pPr>
            <w:r>
              <w:rPr>
                <w:rFonts w:ascii="Arial" w:cs="Arial" w:eastAsia="Arial" w:hAnsi="Arial"/>
                <w:sz w:val="13"/>
                <w:szCs w:val="13"/>
                <w:b w:val="1"/>
                <w:bCs w:val="1"/>
                <w:color w:val="auto"/>
              </w:rPr>
              <w:t>Adjusted</w:t>
            </w:r>
            <w:r>
              <w:rPr>
                <w:rFonts w:ascii="Arial" w:cs="Arial" w:eastAsia="Arial" w:hAnsi="Arial"/>
                <w:sz w:val="20"/>
                <w:szCs w:val="20"/>
                <w:b w:val="1"/>
                <w:bCs w:val="1"/>
                <w:color w:val="auto"/>
                <w:vertAlign w:val="superscript"/>
              </w:rPr>
              <w:t>(2)(3)</w:t>
            </w:r>
          </w:p>
        </w:tc>
        <w:tc>
          <w:tcPr>
            <w:tcW w:w="0" w:type="dxa"/>
            <w:vAlign w:val="bottom"/>
          </w:tcPr>
          <w:p>
            <w:pPr>
              <w:spacing w:after="0"/>
              <w:rPr>
                <w:sz w:val="1"/>
                <w:szCs w:val="1"/>
                <w:color w:val="auto"/>
              </w:rPr>
            </w:pPr>
          </w:p>
        </w:tc>
      </w:tr>
      <w:tr>
        <w:trPr>
          <w:trHeight w:val="196"/>
        </w:trPr>
        <w:tc>
          <w:tcPr>
            <w:tcW w:w="7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  45,419</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  106,671</w:t>
            </w:r>
          </w:p>
        </w:tc>
        <w:tc>
          <w:tcPr>
            <w:tcW w:w="8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46,547</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107,799</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205,588</w:t>
            </w:r>
          </w:p>
        </w:tc>
        <w:tc>
          <w:tcPr>
            <w:tcW w:w="26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(196,775)</w:t>
            </w:r>
          </w:p>
        </w:tc>
        <w:tc>
          <w:tcPr>
            <w:tcW w:w="15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(196,775)</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(189,551)</w:t>
            </w:r>
          </w:p>
        </w:tc>
        <w:tc>
          <w:tcPr>
            <w:tcW w:w="1580" w:type="dxa"/>
            <w:vAlign w:val="bottom"/>
            <w:gridSpan w:val="3"/>
          </w:tcPr>
          <w:p>
            <w:pPr>
              <w:jc w:val="right"/>
              <w:ind w:right="520"/>
              <w:spacing w:after="0"/>
              <w:rPr>
                <w:sz w:val="20"/>
                <w:szCs w:val="20"/>
                <w:color w:val="auto"/>
              </w:rPr>
            </w:pPr>
            <w:r>
              <w:rPr>
                <w:rFonts w:ascii="Arial" w:cs="Arial" w:eastAsia="Arial" w:hAnsi="Arial"/>
                <w:sz w:val="18"/>
                <w:szCs w:val="18"/>
                <w:color w:val="auto"/>
              </w:rPr>
              <w:t>78,460</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20" w:right="180" w:hanging="423"/>
        <w:spacing w:after="0" w:line="303"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pro forma column in the consolidated balance sheet data above gives effect to (i) the conversion of all outstanding shares of our convertible preferred stock outstanding as of June 30, 2015 into an aggregate of 10,618,367 shares of our common stock upon completion of this offering and (ii) the conversion of the shares of our Series C-1 convertible preferred stock issued on August 21, 2015 into an aggregate of 5,472,390 shares of our</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320" w:type="dxa"/>
            <w:vAlign w:val="bottom"/>
          </w:tcPr>
          <w:p>
            <w:pPr>
              <w:spacing w:after="0"/>
              <w:rPr>
                <w:sz w:val="18"/>
                <w:szCs w:val="18"/>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w w:val="97"/>
              </w:rPr>
              <w:t>common stock upon completion of this offering.</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(2)</w:t>
            </w:r>
          </w:p>
        </w:tc>
        <w:tc>
          <w:tcPr>
            <w:tcW w:w="8500" w:type="dxa"/>
            <w:vAlign w:val="bottom"/>
            <w:gridSpan w:val="5"/>
          </w:tcPr>
          <w:p>
            <w:pPr>
              <w:ind w:left="100"/>
              <w:spacing w:after="0"/>
              <w:rPr>
                <w:sz w:val="20"/>
                <w:szCs w:val="20"/>
                <w:color w:val="auto"/>
              </w:rPr>
            </w:pPr>
            <w:r>
              <w:rPr>
                <w:rFonts w:ascii="Arial" w:cs="Arial" w:eastAsia="Arial" w:hAnsi="Arial"/>
                <w:sz w:val="18"/>
                <w:szCs w:val="18"/>
                <w:color w:val="auto"/>
                <w:w w:val="90"/>
              </w:rPr>
              <w:t>The pro forma as adjusted column in the consolidated balance sheet data above gives additional effect to the sale of</w:t>
            </w:r>
          </w:p>
        </w:tc>
        <w:tc>
          <w:tcPr>
            <w:tcW w:w="2220" w:type="dxa"/>
            <w:vAlign w:val="bottom"/>
          </w:tcPr>
          <w:p>
            <w:pPr>
              <w:jc w:val="right"/>
              <w:spacing w:after="0"/>
              <w:rPr>
                <w:sz w:val="20"/>
                <w:szCs w:val="20"/>
                <w:color w:val="auto"/>
              </w:rPr>
            </w:pPr>
            <w:r>
              <w:rPr>
                <w:rFonts w:ascii="Arial" w:cs="Arial" w:eastAsia="Arial" w:hAnsi="Arial"/>
                <w:sz w:val="18"/>
                <w:szCs w:val="18"/>
                <w:color w:val="auto"/>
                <w:w w:val="99"/>
              </w:rPr>
              <w:t>shares of common stock in</w:t>
            </w:r>
          </w:p>
        </w:tc>
      </w:tr>
      <w:tr>
        <w:trPr>
          <w:trHeight w:val="216"/>
        </w:trPr>
        <w:tc>
          <w:tcPr>
            <w:tcW w:w="320" w:type="dxa"/>
            <w:vAlign w:val="bottom"/>
          </w:tcPr>
          <w:p>
            <w:pPr>
              <w:spacing w:after="0"/>
              <w:rPr>
                <w:sz w:val="18"/>
                <w:szCs w:val="18"/>
                <w:color w:val="auto"/>
              </w:rPr>
            </w:pPr>
          </w:p>
        </w:tc>
        <w:tc>
          <w:tcPr>
            <w:tcW w:w="4460" w:type="dxa"/>
            <w:vAlign w:val="bottom"/>
            <w:gridSpan w:val="3"/>
          </w:tcPr>
          <w:p>
            <w:pPr>
              <w:ind w:left="100"/>
              <w:spacing w:after="0"/>
              <w:rPr>
                <w:sz w:val="20"/>
                <w:szCs w:val="20"/>
                <w:color w:val="auto"/>
              </w:rPr>
            </w:pPr>
            <w:r>
              <w:rPr>
                <w:rFonts w:ascii="Arial" w:cs="Arial" w:eastAsia="Arial" w:hAnsi="Arial"/>
                <w:sz w:val="18"/>
                <w:szCs w:val="18"/>
                <w:color w:val="auto"/>
                <w:w w:val="94"/>
              </w:rPr>
              <w:t>this offering at an assumed initial public offering price of $</w:t>
            </w:r>
          </w:p>
        </w:tc>
        <w:tc>
          <w:tcPr>
            <w:tcW w:w="6260" w:type="dxa"/>
            <w:vAlign w:val="bottom"/>
            <w:gridSpan w:val="3"/>
          </w:tcPr>
          <w:p>
            <w:pPr>
              <w:jc w:val="right"/>
              <w:spacing w:after="0"/>
              <w:rPr>
                <w:sz w:val="20"/>
                <w:szCs w:val="20"/>
                <w:color w:val="auto"/>
              </w:rPr>
            </w:pPr>
            <w:r>
              <w:rPr>
                <w:rFonts w:ascii="Arial" w:cs="Arial" w:eastAsia="Arial" w:hAnsi="Arial"/>
                <w:sz w:val="18"/>
                <w:szCs w:val="18"/>
                <w:color w:val="auto"/>
                <w:w w:val="90"/>
              </w:rPr>
              <w:t>per share, the midpoint of the estimated price range set forth on the cover page of this</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8"/>
              </w:rPr>
              <w:t>prospectus, after deducting underwriting discounts and commissions and estimated offering expenses payable by us, as if the sale of the shares in this</w:t>
            </w:r>
          </w:p>
        </w:tc>
      </w:tr>
      <w:tr>
        <w:trPr>
          <w:trHeight w:val="216"/>
        </w:trPr>
        <w:tc>
          <w:tcPr>
            <w:tcW w:w="320" w:type="dxa"/>
            <w:vAlign w:val="bottom"/>
          </w:tcPr>
          <w:p>
            <w:pPr>
              <w:spacing w:after="0"/>
              <w:rPr>
                <w:sz w:val="18"/>
                <w:szCs w:val="18"/>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rPr>
              <w:t>offering had occurred as of June 30, 2015.</w:t>
            </w: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320" w:type="dxa"/>
            <w:vAlign w:val="bottom"/>
          </w:tcPr>
          <w:p>
            <w:pPr>
              <w:jc w:val="right"/>
              <w:ind w:right="32"/>
              <w:spacing w:after="0"/>
              <w:rPr>
                <w:sz w:val="20"/>
                <w:szCs w:val="20"/>
                <w:color w:val="auto"/>
              </w:rPr>
            </w:pPr>
            <w:r>
              <w:rPr>
                <w:rFonts w:ascii="Arial" w:cs="Arial" w:eastAsia="Arial" w:hAnsi="Arial"/>
                <w:sz w:val="18"/>
                <w:szCs w:val="18"/>
                <w:color w:val="auto"/>
                <w:w w:val="81"/>
              </w:rPr>
              <w:t>(3)</w:t>
            </w:r>
          </w:p>
        </w:tc>
        <w:tc>
          <w:tcPr>
            <w:tcW w:w="5820" w:type="dxa"/>
            <w:vAlign w:val="bottom"/>
            <w:gridSpan w:val="4"/>
          </w:tcPr>
          <w:p>
            <w:pPr>
              <w:ind w:left="100"/>
              <w:spacing w:after="0"/>
              <w:rPr>
                <w:sz w:val="20"/>
                <w:szCs w:val="20"/>
                <w:color w:val="auto"/>
              </w:rPr>
            </w:pPr>
            <w:r>
              <w:rPr>
                <w:rFonts w:ascii="Arial" w:cs="Arial" w:eastAsia="Arial" w:hAnsi="Arial"/>
                <w:sz w:val="18"/>
                <w:szCs w:val="18"/>
                <w:color w:val="auto"/>
                <w:w w:val="91"/>
              </w:rPr>
              <w:t>Each $1.00 increase (decrease) in the assumed initial public offering price of $</w:t>
            </w:r>
          </w:p>
        </w:tc>
        <w:tc>
          <w:tcPr>
            <w:tcW w:w="4900" w:type="dxa"/>
            <w:vAlign w:val="bottom"/>
            <w:gridSpan w:val="2"/>
          </w:tcPr>
          <w:p>
            <w:pPr>
              <w:jc w:val="right"/>
              <w:ind w:right="152"/>
              <w:spacing w:after="0"/>
              <w:rPr>
                <w:sz w:val="20"/>
                <w:szCs w:val="20"/>
                <w:color w:val="auto"/>
              </w:rPr>
            </w:pPr>
            <w:r>
              <w:rPr>
                <w:rFonts w:ascii="Arial" w:cs="Arial" w:eastAsia="Arial" w:hAnsi="Arial"/>
                <w:sz w:val="18"/>
                <w:szCs w:val="18"/>
                <w:color w:val="auto"/>
                <w:w w:val="91"/>
              </w:rPr>
              <w:t>per share, the midpoint of the estimated price range set forth on</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9"/>
              </w:rPr>
              <w:t>the cover page of this prospectus, would increase (decrease) each of cash, cash equivalents and short-term investments, working capital, total assets</w:t>
            </w:r>
          </w:p>
        </w:tc>
      </w:tr>
      <w:tr>
        <w:trPr>
          <w:trHeight w:val="216"/>
        </w:trPr>
        <w:tc>
          <w:tcPr>
            <w:tcW w:w="320" w:type="dxa"/>
            <w:vAlign w:val="bottom"/>
          </w:tcPr>
          <w:p>
            <w:pPr>
              <w:spacing w:after="0"/>
              <w:rPr>
                <w:sz w:val="18"/>
                <w:szCs w:val="18"/>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w w:val="94"/>
              </w:rPr>
              <w:t>and total stockholders’ equity by approximately $</w:t>
            </w:r>
          </w:p>
        </w:tc>
        <w:tc>
          <w:tcPr>
            <w:tcW w:w="6920" w:type="dxa"/>
            <w:vAlign w:val="bottom"/>
            <w:gridSpan w:val="4"/>
          </w:tcPr>
          <w:p>
            <w:pPr>
              <w:jc w:val="right"/>
              <w:spacing w:after="0"/>
              <w:rPr>
                <w:sz w:val="20"/>
                <w:szCs w:val="20"/>
                <w:color w:val="auto"/>
              </w:rPr>
            </w:pPr>
            <w:r>
              <w:rPr>
                <w:rFonts w:ascii="Arial" w:cs="Arial" w:eastAsia="Arial" w:hAnsi="Arial"/>
                <w:sz w:val="18"/>
                <w:szCs w:val="18"/>
                <w:color w:val="auto"/>
                <w:w w:val="90"/>
              </w:rPr>
              <w:t>million, assuming that the number of shares offered by us, as set forth on the cover page of this</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9"/>
              </w:rPr>
              <w:t>prospectus, remains the same, and after deducting underwriting discounts and commissions and estimated offering expenses payable by us. We may</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9"/>
              </w:rPr>
              <w:t>also increase or decrease the number of shares we are offering. Each increase (decrease) of 1.0 million shares in the number of shares offered by us</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0"/>
              </w:rPr>
              <w:t>would increase (decrease) each of cash, cash equivalents and short-term investments, working capital, total assets and total stockholders’ equity by</w:t>
            </w:r>
          </w:p>
        </w:tc>
      </w:tr>
      <w:tr>
        <w:trPr>
          <w:trHeight w:val="216"/>
        </w:trPr>
        <w:tc>
          <w:tcPr>
            <w:tcW w:w="320" w:type="dxa"/>
            <w:vAlign w:val="bottom"/>
          </w:tcPr>
          <w:p>
            <w:pPr>
              <w:spacing w:after="0"/>
              <w:rPr>
                <w:sz w:val="18"/>
                <w:szCs w:val="18"/>
                <w:color w:val="auto"/>
              </w:rPr>
            </w:pPr>
          </w:p>
        </w:tc>
        <w:tc>
          <w:tcPr>
            <w:tcW w:w="146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9260" w:type="dxa"/>
            <w:vAlign w:val="bottom"/>
            <w:gridSpan w:val="5"/>
          </w:tcPr>
          <w:p>
            <w:pPr>
              <w:jc w:val="right"/>
              <w:spacing w:after="0"/>
              <w:rPr>
                <w:sz w:val="20"/>
                <w:szCs w:val="20"/>
                <w:color w:val="auto"/>
              </w:rPr>
            </w:pPr>
            <w:r>
              <w:rPr>
                <w:rFonts w:ascii="Arial" w:cs="Arial" w:eastAsia="Arial" w:hAnsi="Arial"/>
                <w:sz w:val="18"/>
                <w:szCs w:val="18"/>
                <w:color w:val="auto"/>
                <w:w w:val="90"/>
              </w:rPr>
              <w:t>million, assuming that the assumed initial public offering price remains the same, and after deducting underwriting discounts and</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8"/>
              </w:rPr>
              <w:t>commissions and estimated offering expenses payable by us. The pro forma as adjusted information discussed above is illustrative only and will adjust</w:t>
            </w:r>
          </w:p>
        </w:tc>
      </w:tr>
      <w:tr>
        <w:trPr>
          <w:trHeight w:val="222"/>
        </w:trPr>
        <w:tc>
          <w:tcPr>
            <w:tcW w:w="320" w:type="dxa"/>
            <w:vAlign w:val="bottom"/>
          </w:tcPr>
          <w:p>
            <w:pPr>
              <w:spacing w:after="0"/>
              <w:rPr>
                <w:sz w:val="19"/>
                <w:szCs w:val="19"/>
                <w:color w:val="auto"/>
              </w:rPr>
            </w:pPr>
          </w:p>
        </w:tc>
        <w:tc>
          <w:tcPr>
            <w:tcW w:w="8500" w:type="dxa"/>
            <w:vAlign w:val="bottom"/>
            <w:gridSpan w:val="5"/>
          </w:tcPr>
          <w:p>
            <w:pPr>
              <w:ind w:left="100"/>
              <w:spacing w:after="0"/>
              <w:rPr>
                <w:sz w:val="20"/>
                <w:szCs w:val="20"/>
                <w:color w:val="auto"/>
              </w:rPr>
            </w:pPr>
            <w:r>
              <w:rPr>
                <w:rFonts w:ascii="Arial" w:cs="Arial" w:eastAsia="Arial" w:hAnsi="Arial"/>
                <w:sz w:val="18"/>
                <w:szCs w:val="18"/>
                <w:color w:val="auto"/>
              </w:rPr>
              <w:t>based on the actual initial public offering price and other terms of this offering determined at pricing.</w:t>
            </w:r>
          </w:p>
        </w:tc>
        <w:tc>
          <w:tcPr>
            <w:tcW w:w="22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consolidated financial statements and the related notes appearing at the end of this prospectus. We cannot assure you that any of the events discussed below will not occur. These events could harm our business, results of operations, financial condition and cash flows. If that were to happen, the trading price of our common stock could decline, and you could lose all or part of your investment.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since our inception and anticipate that we will continue to incur net losses for the foreseeable future.</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clinical stage biopharmaceutical company with limited operating history. We have no products approved for commercial sale and have not generated any product revenues to date, and we continue to incur significant research and development and other expenses related to our ongoing operations and clinical development of entinostat. As a result, we are not and have never been profitable and have incurred losses in each period since our inception in 2005. For the years ended December 31, 2013 and 2014 and the six months ended June 30, 2015, we reported a net loss of $14.2 million, $19.8 million and $11.1 million, respectively. As of June 30, 2015, we had an accumulated deficit of $196.8 million, which included non-cash charges for stock-based compensation, preferred stock accretion and extinguishment charges.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expect to continue to incur significant losses for the foreseeable future, and we expect these losses to increase as we continue our research and development of, and seek regulatory approvals for, entinostat. We may also encounter unforeseen expenses, difficulties, complications, delays and other unknown factors that may adversely affect our business. The size of our future net losses will depend, in part, on the rate of future growth of our expenses and our ability to generate revenues, if any. Our prior losses and expected future losses have had and will continue to have an adverse effect on our stockholders’ equity and working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source of product revenue and may never achieve or maintain profitability.</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ability to generate product revenue and become profitable depends upon our ability to successfully commercialize entinostat. We do not anticipate generating revenue from the sale of entinostat for the foreseeable future. Our ability to generate future product revenue from entinostat also depends on a number of additional factors, including, but not limited to, our ability to:</w:t>
      </w:r>
    </w:p>
    <w:p>
      <w:pPr>
        <w:spacing w:after="0" w:line="181" w:lineRule="exact"/>
        <w:rPr>
          <w:sz w:val="20"/>
          <w:szCs w:val="20"/>
          <w:color w:val="auto"/>
        </w:rPr>
      </w:pPr>
    </w:p>
    <w:p>
      <w:pPr>
        <w:ind w:left="1000" w:hanging="317"/>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complete the research and clinical development of, and receive regulatory approval for, entinostat;</w:t>
      </w:r>
    </w:p>
    <w:p>
      <w:pPr>
        <w:spacing w:after="0" w:line="90" w:lineRule="exact"/>
        <w:rPr>
          <w:rFonts w:ascii="Arial" w:cs="Arial" w:eastAsia="Arial" w:hAnsi="Arial"/>
          <w:sz w:val="18"/>
          <w:szCs w:val="18"/>
          <w:color w:val="auto"/>
        </w:rPr>
      </w:pPr>
    </w:p>
    <w:p>
      <w:pPr>
        <w:ind w:left="1000" w:right="260" w:hanging="317"/>
        <w:spacing w:after="0" w:line="26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 commercialize and achieve market acceptance of entinostat, and if launched independently, successfully establish a sales, marketing and distribution infrastructure;</w:t>
      </w:r>
    </w:p>
    <w:p>
      <w:pPr>
        <w:spacing w:after="0" w:line="50" w:lineRule="exact"/>
        <w:rPr>
          <w:rFonts w:ascii="Arial" w:cs="Arial" w:eastAsia="Arial" w:hAnsi="Arial"/>
          <w:sz w:val="18"/>
          <w:szCs w:val="18"/>
          <w:color w:val="auto"/>
        </w:rPr>
      </w:pPr>
    </w:p>
    <w:p>
      <w:pPr>
        <w:ind w:left="1000" w:right="320" w:hanging="317"/>
        <w:spacing w:after="0" w:line="268"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supplier and manufacturing relationships with third parties, and ensure adequate and legally compliant manufacturing of bulk drug substances and drug products to maintain that supply;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maintain and protect our intellectual property rights;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additional qualified personnel.</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because of the numerous risks and uncertainties associated with the development of a new chemical entity, including that entinostat may not achieve the endpoints of applicable trials, we are unable to predict the timing or amount of increased expenses, and if or when we will achieve or maintain profitability. In addition, our expenses could increase beyond expectations if we decide to or are required by the U.S. Food and Drug Administration, or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entinostat and any other product candidates we may develop.</w:t>
      </w:r>
    </w:p>
    <w:p>
      <w:pPr>
        <w:spacing w:after="0" w:line="144"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Even if we generate revenues from the sale of entinostat,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w:t>
      </w:r>
    </w:p>
    <w:p>
      <w:pPr>
        <w:spacing w:after="0" w:line="10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We will require additional capital to finance our planned operations, which may not be available to us on acceptable terms, or at all. As a result, we may not complete the development and commercialization of entinostat or develop new product candidates.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operations have consumed substantial amounts of cash since our inception, primarily due to our research and development efforts. We expect our research and development expenses to increase substantially in connection with our ongoing and planned activities. We believe that the net proceeds from this offering, together with our existing cash and cash equivalents and short-term investments, will fund our projected operating expenses and capital expenditure requirements for at least the next 24 months. Unexpected circumstances may cause us to consume capital more rapidly than we currently anticipate. For example, we may discover that we need to conduct additional activities which exceed our current budget to achieve appropriate rates of patient enrollment, which would increase our development costs.</w:t>
      </w:r>
    </w:p>
    <w:p>
      <w:pPr>
        <w:spacing w:after="0" w:line="14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any event, we will require additional capital to continue the development of, obtain regulatory approval for, and to commercialize, entinostat and any future product candidates. Any efforts to secure additional financing may divert our management from our day-to-day activities, which may adversely affect our ability to develop and commercialize entinostat. In addition, we cannot guarantee that future financing will be available in sufficient amounts or on terms acceptable to us, if at all. If we do not raise additional capital when required or on acceptable terms, we may need to:</w:t>
      </w:r>
    </w:p>
    <w:p>
      <w:pPr>
        <w:spacing w:after="0" w:line="153" w:lineRule="exact"/>
        <w:rPr>
          <w:sz w:val="20"/>
          <w:szCs w:val="20"/>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scale back or discontinue the development or commercialization of entinostat or cease operations altogether;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strategic alliances for entinostat on terms less favorable than might otherwise be available; or</w:t>
      </w:r>
    </w:p>
    <w:p>
      <w:pPr>
        <w:spacing w:after="0" w:line="90" w:lineRule="exact"/>
        <w:rPr>
          <w:rFonts w:ascii="Arial" w:cs="Arial" w:eastAsia="Arial" w:hAnsi="Arial"/>
          <w:sz w:val="18"/>
          <w:szCs w:val="18"/>
          <w:color w:val="auto"/>
        </w:rPr>
      </w:pPr>
    </w:p>
    <w:p>
      <w:pPr>
        <w:ind w:left="1000" w:right="60" w:hanging="317"/>
        <w:spacing w:after="0" w:line="268"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we need to conduct additional fundraising activities and we do not raise additional capital in sufficient amounts or on terms acceptable to us, we may be prevented from pursuing development and commercialization efforts, which will harm our business, operating results and prospects.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12"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entinostat;</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foreign regulatory authorities, including the potential for such authorities to require that we perform more trials than we currently expect;</w:t>
      </w:r>
    </w:p>
    <w:p>
      <w:pPr>
        <w:spacing w:after="0" w:line="50" w:lineRule="exact"/>
        <w:rPr>
          <w:rFonts w:ascii="Arial" w:cs="Arial" w:eastAsia="Arial" w:hAnsi="Arial"/>
          <w:sz w:val="18"/>
          <w:szCs w:val="18"/>
          <w:color w:val="auto"/>
        </w:rPr>
      </w:pPr>
    </w:p>
    <w:p>
      <w:pPr>
        <w:ind w:left="1000" w:right="40" w:hanging="317"/>
        <w:spacing w:after="0" w:line="259"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entinostat;</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13" w:lineRule="exact"/>
        <w:rPr>
          <w:rFonts w:ascii="Arial" w:cs="Arial" w:eastAsia="Arial" w:hAnsi="Arial"/>
          <w:sz w:val="16"/>
          <w:szCs w:val="16"/>
          <w:color w:val="auto"/>
        </w:rPr>
      </w:pPr>
    </w:p>
    <w:p>
      <w:pPr>
        <w:ind w:left="1000" w:right="260" w:hanging="317"/>
        <w:spacing w:after="0" w:line="268"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entinostat if entinostat receives regulatory approval and we determine to commercialize it ourselves;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19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we cannot expand our operations or otherwise capitalize on our business opportunities because we cannot secure sufficient capital, our business, financial condition and results of operations could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incurred substantial losses during our history. we do not expect to become profitable in the near future, and we may never achieve profitability. Unused losses generally are available to be carried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completed an analysis through December 31, 2014 and determined that on March 30, 2007 an ownership change had occurred. We may have experienced an ownership change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subsequent to December 31, 2014, and we may also experience ownership changes in the future as a result of this offering or subsequent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Entinostat is currently our only product candidate. If we are unable to successfully complete clinical development of, obtain regulatory approval for and commercialize entinostat, our business prospects will be significantly harmed.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Entinostat is currently our only product candidate. Our financial success will depend substantially on our ability to effectively and profitably commercialize entinostat. In order to commercialize entinostat, we will be required to obtain regulatory approvals by establishing that it is sufficiently safe and effective. The clinical and commercial success of entinostat will depend on a number of factors, including the following:</w:t>
      </w:r>
    </w:p>
    <w:p>
      <w:pPr>
        <w:spacing w:after="0" w:line="181" w:lineRule="exact"/>
        <w:rPr>
          <w:sz w:val="20"/>
          <w:szCs w:val="20"/>
          <w:color w:val="auto"/>
        </w:rPr>
      </w:pPr>
    </w:p>
    <w:p>
      <w:pPr>
        <w:ind w:left="1000" w:right="160" w:hanging="317"/>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timely commencement and completion of, the planned Phase 1b/2 clinical trial of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and the planned Phase 1b/2 clinical trial of entinostat in combination with atezolizumab;</w:t>
      </w:r>
    </w:p>
    <w:p>
      <w:pPr>
        <w:spacing w:after="0" w:line="50" w:lineRule="exact"/>
        <w:rPr>
          <w:rFonts w:ascii="Arial" w:cs="Arial" w:eastAsia="Arial" w:hAnsi="Arial"/>
          <w:sz w:val="18"/>
          <w:szCs w:val="18"/>
          <w:color w:val="auto"/>
        </w:rPr>
      </w:pPr>
    </w:p>
    <w:p>
      <w:pPr>
        <w:ind w:left="1000" w:right="540" w:hanging="317"/>
        <w:spacing w:after="0" w:line="256"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patient enrollment and completion of the Phase 3 clinical trial in advanced hormone receptor, or HR+, breast cancer, which may be significantly slower than we currently anticipate and will depend substantially upon the satisfactory performance of the Eastern Cooperative Oncology Group—American College of Radiology Imaging Network Cancer Research Group, or ECOG-ACRIN, and the National Cancer Institute, or NCI, and other third-party contractors;</w:t>
      </w:r>
    </w:p>
    <w:p>
      <w:pPr>
        <w:spacing w:after="0" w:line="62"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required by the FDA or foreign regulatory authorities to conduct additional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w:t>
      </w:r>
    </w:p>
    <w:p>
      <w:pPr>
        <w:spacing w:after="0" w:line="90" w:lineRule="exact"/>
        <w:rPr>
          <w:rFonts w:ascii="Arial" w:cs="Arial" w:eastAsia="Arial" w:hAnsi="Arial"/>
          <w:sz w:val="18"/>
          <w:szCs w:val="18"/>
          <w:color w:val="auto"/>
        </w:rPr>
      </w:pPr>
    </w:p>
    <w:p>
      <w:pPr>
        <w:ind w:left="1000" w:right="80" w:hanging="317"/>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demonstrate entinostat’s safety and efficacy for its proposed indications and the timely receipt of necessary marketing approvals from the FDA and foreign regulatory authorities;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achieving and maintaining compliance with all regulatory requirements applicable to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competing treatments;</w:t>
      </w:r>
    </w:p>
    <w:p>
      <w:pPr>
        <w:spacing w:after="0" w:line="90" w:lineRule="exact"/>
        <w:rPr>
          <w:rFonts w:ascii="Arial" w:cs="Arial" w:eastAsia="Arial" w:hAnsi="Arial"/>
          <w:sz w:val="18"/>
          <w:szCs w:val="18"/>
          <w:color w:val="auto"/>
        </w:rPr>
      </w:pPr>
    </w:p>
    <w:p>
      <w:pPr>
        <w:ind w:left="1000" w:right="180" w:hanging="317"/>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own or our potential strategic collaborators’ marketing, sales and distribution strategy and operations in the United States and abroad;</w:t>
      </w:r>
    </w:p>
    <w:p>
      <w:pPr>
        <w:spacing w:after="0" w:line="50" w:lineRule="exact"/>
        <w:rPr>
          <w:rFonts w:ascii="Arial" w:cs="Arial" w:eastAsia="Arial" w:hAnsi="Arial"/>
          <w:sz w:val="18"/>
          <w:szCs w:val="18"/>
          <w:color w:val="auto"/>
        </w:rPr>
      </w:pPr>
    </w:p>
    <w:p>
      <w:pPr>
        <w:ind w:left="1000" w:right="300" w:hanging="317"/>
        <w:spacing w:after="0" w:line="268"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third-party contract manufacturers to produce trial supplies of entinostat and to develop, validate and maintain a commercially viable manufacturing process that is compliant with current Good Manufacturing Practices, or cGMP;</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740" w:hanging="317"/>
        <w:spacing w:after="0" w:line="357" w:lineRule="auto"/>
        <w:tabs>
          <w:tab w:leader="none" w:pos="10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the availability of commercial supplies of therapeutics, including </w:t>
      </w:r>
      <w:r>
        <w:rPr>
          <w:rFonts w:ascii="Arial" w:cs="Arial" w:eastAsia="Arial" w:hAnsi="Arial"/>
          <w:sz w:val="15"/>
          <w:szCs w:val="15"/>
          <w:i w:val="1"/>
          <w:iCs w:val="1"/>
          <w:color w:val="auto"/>
        </w:rPr>
        <w:t>Aromasin</w:t>
      </w:r>
      <w:r>
        <w:rPr>
          <w:rFonts w:ascii="Arial" w:cs="Arial" w:eastAsia="Arial" w:hAnsi="Arial"/>
          <w:sz w:val="10"/>
          <w:szCs w:val="10"/>
          <w:color w:val="auto"/>
        </w:rPr>
        <w:t>®</w:t>
      </w:r>
      <w:r>
        <w:rPr>
          <w:rFonts w:ascii="Arial" w:cs="Arial" w:eastAsia="Arial" w:hAnsi="Arial"/>
          <w:sz w:val="15"/>
          <w:szCs w:val="15"/>
          <w:color w:val="auto"/>
        </w:rPr>
        <w:t xml:space="preserve"> (exemestane tablets) and </w:t>
      </w:r>
      <w:r>
        <w:rPr>
          <w:rFonts w:ascii="Arial" w:cs="Arial" w:eastAsia="Arial" w:hAnsi="Arial"/>
          <w:sz w:val="15"/>
          <w:szCs w:val="15"/>
          <w:i w:val="1"/>
          <w:iCs w:val="1"/>
          <w:color w:val="auto"/>
        </w:rPr>
        <w:t>Keytruda</w:t>
      </w:r>
      <w:r>
        <w:rPr>
          <w:rFonts w:ascii="Arial" w:cs="Arial" w:eastAsia="Arial" w:hAnsi="Arial"/>
          <w:sz w:val="15"/>
          <w:szCs w:val="15"/>
          <w:color w:val="auto"/>
        </w:rPr>
        <w:t>, and clinical supplies of investigational drugs, to support the development and marketing of the entinostat therapy as a component of a combination drug regimen;</w:t>
      </w:r>
    </w:p>
    <w:p>
      <w:pPr>
        <w:ind w:left="1000" w:hanging="317"/>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successfully commercialize entinostat in the United States and abroad, whether alone or in collaboration with others;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enforce our intellectual property rights in and to entinostat.</w:t>
      </w:r>
    </w:p>
    <w:p>
      <w:pPr>
        <w:spacing w:after="0" w:line="171"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we fail to obtain regulatory approval for, or are unable to successfully commercialize, entinostat, we will have no other product candidates to rely on. In addition, we will not be able to generate product sales, which will have a material adverse effect on our business and our prospects.</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Our strategy of combining entinostat with immune checkpoint inhibitors is clinically untested and we may fail to show that the combination is safe and well tolerated and demonstrates additional clinical benefit from the combination.</w:t>
      </w:r>
    </w:p>
    <w:p>
      <w:pPr>
        <w:spacing w:after="0" w:line="132"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Preclinical studies conducted by us and others suggest a strong rationale for combining entinostat with immune checkpoint inhibitors to enhance the immune system’s ability to detect and eliminate tumor cells. Our approach is to conduct Phase 1 and 2 clinical trials in patients with tumors that are known to be responsive to immune checkpoint inhibitors and assess both the safety and efficacy of the combination of entinostat plus a checkpoint inhibitor. However, we have not yet begun to clinically test our strategy of combining entinostat with immune checkpoint inhibitors, and therefore have not yet demonstrated the safety or the benefit of this combination in humans and we may be unable to establish a clinically meaningful benefit for patient without added toxicity.</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Although the NCI has entered into a Special Protocol Assessment, or SPA, agreement with the FDA relating to the pivotal Phase 3 clinical trial of entinostat for advanced HR+ breast cancer, this agreement does not guarantee any particular outcome with respect to regulatory review of the trial or any associated New Drug Application, or NDA, for entinostat.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The protocol for the pivotal Phase 3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was reviewed and agreed upon by the FDA under an SPA agreement with the NCI. The SPA agreement allows for FDA evaluation of whether a clinical trial protocol could form the primary basis of an efficacy claim in support of an NDA. The SPA is an agreement that a Phase 3 clinical trial’s design, clinical endpoints, patient population and statistical analyses are sufficient to support the efficacy claim. Agreement on the SPA is not a guarantee of approval, and there is no assurance that the design of, or data collected from, the trial will be adequate to obtain the requisite regulatory approval. Further, obtaining clinical trial data meeting the clinical endpoints in satisfaction of the SPA does not guarantee approval. The SPA is not binding on the FDA if public health concerns unrecognized at the time the SPA was entered into become evident or other new scientific concerns regarding product safety or efficacy arise. In addition, upon written agreement of both the FDA and the NCI, the SPA may be changed, and the FDA retains significant latitude and discretion in interpreting the terms of the SPA and any resulting trial data. As a result, we do not know how the FDA will interpret the parties’ respective commitments under the SPA, how it will interpret the data and results from the pivotal Phase 3 clinical trial, whether the FDA will require that we conduct or complete one or more additional clinical trials to support potential approval or whether entinostat will receive any regulatory approvals. ECOG-ACRIN, with sponsorship and funding support from the NCI, is conducting the pivotal Phase 3 clinical trial, which began enrollment in the second quarter of 2014.</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b w:val="1"/>
          <w:bCs w:val="1"/>
          <w:i w:val="1"/>
          <w:iCs w:val="1"/>
          <w:color w:val="auto"/>
        </w:rPr>
        <w:t>If the Phase 3 clinical trial of entinostat in combination with Aromasin in advanced HR+ breast cancer patients fails to demonstrate safety and efficacy to the satisfaction of regulatory authorities or does not otherwise produce positive results, we may incur additional costs or experience delays in completing, or ultimately be unable to complete, the development and commercialization of entinostat.</w:t>
      </w:r>
    </w:p>
    <w:p>
      <w:pPr>
        <w:spacing w:after="0" w:line="10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Before obtaining marketing approval from regulatory authorities for the sale of entinostat, we or our collaborators must conduct extensive trials to demonstrate the safety and efficacy of entinostat in humans. We have entered into an arrangement with ECOG-ACRIN to conduct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patients. The trial will measure two primary endpoints of progression-free survival, or PFS, and overall survival. Based on information received from ECOG-ACRIN to date, PFS data is expected no sooner than the second half of 2017 and overall survival data no sooner than the second half of 2019. If the Phase 3 clinical trial meets the PFS endpoint and the interim analysis of overall survival demonstrates a favorable trend, we expect to submit an NDA based on this data. However, if the trial does not meet the PFS endpoint, we will not be able to submit an NDA unless and until we receive data demonstrating that the primary endpoint for overall survival has been achieved. In addition, based on scientific advice from the European Medicines Agency, the current Phase 3 clinical trial is not likely to be sufficient to receive regulatory approval in Europe for entinostat to treat advanced HR+ breast cancer, and it is unclear whether we would be able to complete an alternate clinical trial that would be sufficient.</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Despite the results reported in our Phase 2b clinical trial for entinostat in advanced estrogen receptor positive, or ER+, breast cancer, we do not know whether the Phase 3 clinical trial in advanced HR+ breast cancer will demonstrate adequate efficacy and safety to result in regulatory approval to market entinostat in any particular cancer indications or jurisdiction. Additionally, while we do not expect that there will be overlapping toxicities between entinostat and </w:t>
      </w:r>
      <w:r>
        <w:rPr>
          <w:rFonts w:ascii="Arial" w:cs="Arial" w:eastAsia="Arial" w:hAnsi="Arial"/>
          <w:sz w:val="16"/>
          <w:szCs w:val="16"/>
          <w:i w:val="1"/>
          <w:iCs w:val="1"/>
          <w:color w:val="auto"/>
        </w:rPr>
        <w:t>Aromasin</w:t>
      </w:r>
      <w:r>
        <w:rPr>
          <w:rFonts w:ascii="Arial" w:cs="Arial" w:eastAsia="Arial" w:hAnsi="Arial"/>
          <w:sz w:val="16"/>
          <w:szCs w:val="16"/>
          <w:color w:val="auto"/>
        </w:rPr>
        <w:t>, we cannot be certain that we will not observe these toxicities or unexpected side effects in the Phase 3 clinical trial.</w:t>
      </w:r>
    </w:p>
    <w:p>
      <w:pPr>
        <w:spacing w:after="0" w:line="113" w:lineRule="exact"/>
        <w:rPr>
          <w:sz w:val="20"/>
          <w:szCs w:val="20"/>
          <w:color w:val="auto"/>
        </w:rPr>
      </w:pPr>
    </w:p>
    <w:p>
      <w:pPr>
        <w:ind w:firstLine="456"/>
        <w:spacing w:after="0" w:line="244" w:lineRule="auto"/>
        <w:rPr>
          <w:sz w:val="20"/>
          <w:szCs w:val="20"/>
          <w:color w:val="auto"/>
        </w:rPr>
      </w:pPr>
      <w:r>
        <w:rPr>
          <w:rFonts w:ascii="Arial" w:cs="Arial" w:eastAsia="Arial" w:hAnsi="Arial"/>
          <w:sz w:val="17"/>
          <w:szCs w:val="17"/>
          <w:color w:val="auto"/>
        </w:rPr>
        <w:t xml:space="preserve">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 For example, with the emergence of the new therapies such as </w:t>
      </w:r>
      <w:r>
        <w:rPr>
          <w:rFonts w:ascii="Arial" w:cs="Arial" w:eastAsia="Arial" w:hAnsi="Arial"/>
          <w:sz w:val="17"/>
          <w:szCs w:val="17"/>
          <w:i w:val="1"/>
          <w:iCs w:val="1"/>
          <w:color w:val="auto"/>
        </w:rPr>
        <w:t>Faslodex</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(fulvestrant)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(palbociclib), patients enrolled in the Phase 3 clinical trial may be different than those enrolled in our previous Phase 2b clinical trial in that they may have received </w:t>
      </w:r>
      <w:r>
        <w:rPr>
          <w:rFonts w:ascii="Arial" w:cs="Arial" w:eastAsia="Arial" w:hAnsi="Arial"/>
          <w:sz w:val="17"/>
          <w:szCs w:val="17"/>
          <w:i w:val="1"/>
          <w:iCs w:val="1"/>
          <w:color w:val="auto"/>
        </w:rPr>
        <w:t>Faslodex</w:t>
      </w:r>
      <w:r>
        <w:rPr>
          <w:rFonts w:ascii="Arial" w:cs="Arial" w:eastAsia="Arial" w:hAnsi="Arial"/>
          <w:sz w:val="17"/>
          <w:szCs w:val="17"/>
          <w:color w:val="auto"/>
        </w:rPr>
        <w:t xml:space="preserve"> and </w:t>
      </w:r>
      <w:r>
        <w:rPr>
          <w:rFonts w:ascii="Arial" w:cs="Arial" w:eastAsia="Arial" w:hAnsi="Arial"/>
          <w:sz w:val="17"/>
          <w:szCs w:val="17"/>
          <w:i w:val="1"/>
          <w:iCs w:val="1"/>
          <w:color w:val="auto"/>
        </w:rPr>
        <w:t>Ibrance</w:t>
      </w:r>
      <w:r>
        <w:rPr>
          <w:rFonts w:ascii="Arial" w:cs="Arial" w:eastAsia="Arial" w:hAnsi="Arial"/>
          <w:sz w:val="17"/>
          <w:szCs w:val="17"/>
          <w:color w:val="auto"/>
        </w:rPr>
        <w:t xml:space="preserve"> prior to our trial and therefore may respond differently to treatment with entinostat. A number of companies in the pharmaceutical and biotechnology industries have suffered significant setbacks in advanced trials due to lack of efficacy or unacceptable safety profiles, notwithstanding promising results in earlier trials.</w:t>
      </w:r>
    </w:p>
    <w:p>
      <w:pPr>
        <w:spacing w:after="0" w:line="155"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b w:val="1"/>
          <w:bCs w:val="1"/>
          <w:i w:val="1"/>
          <w:iCs w:val="1"/>
          <w:color w:val="auto"/>
        </w:rPr>
        <w:t>The failure of ECOG-ACRIN to adequately perform its obligations and responsibilities in the conduct of the Phase 3 clinical trial or to meet expected deadlines could substantially harm our business because we may not obtain regulatory approval for entinostat in a timely manner, or at all.</w:t>
      </w:r>
    </w:p>
    <w:p>
      <w:pPr>
        <w:spacing w:after="0" w:line="6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We have entered into an arrangement with ECOG-ACRIN, pursuant to which it, with sponsorship and funding support by the NCI, is conducting 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patients. While we provide operational and logistical support for the trial, we have limited control of their activities. We cannot control whether or not ECOG-ACRIN will devote sufficient time and resources to the trial, including as a result of any reduction or delay in government funding or sponsorship of the activities of ECOG-ACRIN or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NCI. If ECOG-ACRIN does not successfully carry out its obligations and responsibilities or meet expected deadlines or if the quality or accuracy of the clinical data it obtains is compromised due to the failure to adhere to clinical protocols, regulatory requirements or for other reasons, the Phase 3 clinical trial may be extended, delayed or terminated, and we may not be able to obtain regulatory approval for, or successfully commercialize, entinostat. As a result, our results of operations and the commercial prospects for entinostat would be harmed, our costs could increase and our ability to generate revenues could be delayed.</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Although the Phase 3 clinical trial is being conducted by ECOG-ACRIN, we are responsible for ensuring that each of our trials is conducted in accordance with the applicable protocol and legal, regulatory and scientific standards, and our reliance on ECOG-ACRIN does not relieve us of our regulatory responsibilities. We are required to comply with Good Clinical Practice, or GCP, which are regulations and guidelines enforced by the FDA, the Competent Authorities of the Member States of the European Economic Area and foreign regulatory authorities for any product in clinical development. Regulatory authorities enforce GCP through periodic inspections of trial sponsors, principal investigators and clinical trial sites. If we fail to comply with applicable GCP, the clinical data generated in our trials may be deemed unreliable and the FDA or foreign regulatory authorities may require us to perform additional trials before approving our marketing applications. We cannot assure you that upon inspection by a given regulatory authority, such regulatory authority will determine that any of our trials comply with GCP requirements. In addition, we must conduct our trials with products produced under cGMP requirements. Failure to comply with any of these regulations may require us to repeat preclinical and clinical trials, which would delay the regulatory development process.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there are delays in completing the Phase 3 clinical trial for entinostat in advanced HR+ breast cancer, we will be delayed in commercializing entinostat, our development costs may increase and our business may be harmed.</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Phase 3 clinical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commenced in the second quarter of 2014, and ECOG-ACRIN expects to have PFS data from this trial no sooner than the second half of 2017. However, to date, ECOG-ACRIN’s enrollment of patients in this trial has been slower than expected. We do not know whether this trial will need to be restructured, or will be completed on schedule or at all. Our product development costs will increase if we experience delays in clinical testing. Significant trial delays also could shorten any periods during which we may have the exclusive right to commercialize entinostat or allow our competitors to bring products to market before we do, which would impair our ability to successfully capitalize on entinostat and may harm our business, results of operations and prospects. Events which may result in a delay or unsuccessful completion of clinical development of entinostat include, among other things:</w:t>
      </w:r>
    </w:p>
    <w:p>
      <w:pPr>
        <w:spacing w:after="0" w:line="159" w:lineRule="exact"/>
        <w:rPr>
          <w:sz w:val="20"/>
          <w:szCs w:val="20"/>
          <w:color w:val="auto"/>
        </w:rPr>
      </w:pPr>
    </w:p>
    <w:p>
      <w:pPr>
        <w:ind w:left="1000" w:hanging="317"/>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failure of ECOG-ACRIN to timely identify and enroll patients in the Phase 3 clinical trial;</w:t>
      </w:r>
    </w:p>
    <w:p>
      <w:pPr>
        <w:spacing w:after="0" w:line="90" w:lineRule="exact"/>
        <w:rPr>
          <w:rFonts w:ascii="Arial" w:cs="Arial" w:eastAsia="Arial" w:hAnsi="Arial"/>
          <w:sz w:val="18"/>
          <w:szCs w:val="18"/>
          <w:color w:val="auto"/>
        </w:rPr>
      </w:pPr>
    </w:p>
    <w:p>
      <w:pPr>
        <w:ind w:left="1000" w:right="60" w:hanging="317"/>
        <w:spacing w:after="0" w:line="268"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feedback from the FDA and foreign regulatory authorities, institutional review boards, or IRBs, or the data safety monitoring board, or results from clinical trials that might require modification to a clinical trial protocol;</w:t>
      </w:r>
    </w:p>
    <w:p>
      <w:pPr>
        <w:spacing w:after="0" w:line="50" w:lineRule="exact"/>
        <w:rPr>
          <w:rFonts w:ascii="Arial" w:cs="Arial" w:eastAsia="Arial" w:hAnsi="Arial"/>
          <w:sz w:val="18"/>
          <w:szCs w:val="18"/>
          <w:color w:val="auto"/>
        </w:rPr>
      </w:pPr>
    </w:p>
    <w:p>
      <w:pPr>
        <w:ind w:left="1000" w:right="140" w:hanging="317"/>
        <w:spacing w:after="0" w:line="33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imposition of a clinical hold by the FDA or other regulatory authorities, a decision by the FDA, other regulatory authorities, IRBs or the company, or a recommendation by a data safety monitoring board to suspend or terminate trials at any time for safety issues or for any other reason;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deviations from the trial protocol by clinical trial sites and investigators or failure to conduct the trial in accordance with regulatory requirements;</w:t>
      </w:r>
    </w:p>
    <w:p>
      <w:pPr>
        <w:spacing w:after="0" w:line="113" w:lineRule="exact"/>
        <w:rPr>
          <w:rFonts w:ascii="Arial" w:cs="Arial" w:eastAsia="Arial" w:hAnsi="Arial"/>
          <w:sz w:val="16"/>
          <w:szCs w:val="16"/>
          <w:color w:val="auto"/>
        </w:rPr>
      </w:pPr>
    </w:p>
    <w:p>
      <w:pPr>
        <w:ind w:left="1000" w:right="240" w:hanging="317"/>
        <w:spacing w:after="0" w:line="26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third parties, such as ECOG-ACRIN or contract research organizations, or CROs, to satisfy their contractual duties or meet expected deadlines;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withdrawal of sponsorship of the NCI because of a failure of ECOG-ACRIN to meet certain performance metrics in the clinical trial;</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entinostat to the clinical trial sites;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unexpectedly high rate of patients withdrawing consent or being lost to follow-up;</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caused by patients dropping out of a trial due to side effects or disease progression;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unacceptable risk-benefit profile or unforeseen safety issues or adverse side effects;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demonstrate the efficacy of entinostat in this clinical trial;</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identify and maintain a sufficient number of clinical trial sites, many of which may already be engaged in other clinical trial programs, including some that may be for the same indication;</w:t>
      </w:r>
    </w:p>
    <w:p>
      <w:pPr>
        <w:spacing w:after="0" w:line="50" w:lineRule="exact"/>
        <w:rPr>
          <w:rFonts w:ascii="Arial" w:cs="Arial" w:eastAsia="Arial" w:hAnsi="Arial"/>
          <w:sz w:val="18"/>
          <w:szCs w:val="18"/>
          <w:color w:val="auto"/>
        </w:rPr>
      </w:pPr>
    </w:p>
    <w:p>
      <w:pPr>
        <w:ind w:left="1000" w:right="220" w:hanging="317"/>
        <w:spacing w:after="0" w:line="268"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withdrawal of clinical trial sites from our clinical trials as a result of changing standards of care or the ineligibility of a site to participate in our trials; or</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 or lack of adequate funding to continue the trials.</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An inability by us to timely complete clinical development could result in additional costs to us or impair our ability to generate product revenues or development, regulatory, commercialization and sales milestone payments and royalties on product sales.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or our collaborators are unable to enroll patients in clinical trials, these clinical trials may not be completed on a timely basis or at all.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timely completion of clinical trials largely depends on patient enrollment. Many factors affect patient enrollment, including:</w:t>
      </w:r>
    </w:p>
    <w:p>
      <w:pPr>
        <w:spacing w:after="0" w:line="212" w:lineRule="exact"/>
        <w:rPr>
          <w:sz w:val="20"/>
          <w:szCs w:val="20"/>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perception about the relative efficacy of entinostat versus other compounds in clinical development or commercially available;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evolving standard of care in treating cancer patients with immune-oncology agents;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location of clinical trial sites enrolled;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with other organizations or our own clinical trials for clinical trial sites or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ability to obtain and maintain patient consents;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above factors, there is a risk that our or our collaborators’ clinical trials may not be completed on a timely basis or at all.</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are dependent on Merck &amp; Co. Inc., or Merck, and Genentech Inc., or Genentech, and any future collaborators to perform satisfactorily under our agreements.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Under the agreements with Merck and Genentech and any future collaborations, we will be dependent on our collaborators’ performance of their responsibilities and their cooperation with us. Our collaborators may not perform their obligations under our agreements with them or otherwise cooperate with us. We cannot control whether our collaborators will devote the necessary resources to the activities contemplated by our collaborative agreements, nor can we control the timing of their performance. Our collaborators may choose to pursue existing or alternative technologies in preference to those being developed in collaboration with us. Disputes may arise between us and our collaborators that delay the development and commercialization of our product candidates, disputes that may be difficult and costly to resolve, or may not be resolved. In addition, a collaborator for the potential product may have the right to terminate the collaboration at its discretion and, for example, Merck has the right to terminate the Merck agreement for any reason after a specified advance notice period. Any termination may require us to seek a new collaborator, which we may not be able to do on a timely basis, if at all, or may require us to delay or scale back the commercialization efforts or spend additional money to complete the clinical trial. The occurrence of any of these events could adversely affect the commercialization of entinostat and materially harm our business.</w:t>
      </w:r>
    </w:p>
    <w:p>
      <w:pPr>
        <w:spacing w:after="0" w:line="12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we are unable to enter into additional clinical collaborations with developers of immune checkpoint inhibitors or other combination therapies to explore the same or additional indications, the commercial potential of entinostat could be limited. Such collaborations are complex, and any potential discussions may not result in a definitive agreement for many reasons. For example, whether we reach a definitive agreement for a clinical collaboration will depend, among other things, upon our respective assessments of the other party’s resources and expertise, the terms and conditions of the proposed collaboration, and the proposed collaborator’s evaluation of a number of factors. Those factors may include the design or results of our clinical trials, the potential market for the combination therapy, the costs and complexities of manufacturing and delivering the potential product to patients, the potential of competing products, and industry and market conditions generally.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actions of Kyowa Hakko Kirin, or KHK, and any other current or future sublicensees could adversely affect our business.</w:t>
      </w:r>
    </w:p>
    <w:p>
      <w:pPr>
        <w:spacing w:after="0" w:line="17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currently sublicense entinostat to third parties for development and commercialization in certain foreign jurisdictions. Specifically, we have a sublicense agreement with KHK under which we granted KHK an exclusive sublicense to develop and commercialize entinostat in Japan and Korea. It is possible that any clinical trials conducted by KHK and other current or future sublicensees in their respective jurisdictions could have negative results, which in turn could have a material adverse affect on the development of entinostat for development and commercialization in the United States and the rest of the world.</w:t>
      </w:r>
    </w:p>
    <w:p>
      <w:pPr>
        <w:spacing w:after="0" w:line="11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may be required to relinquish important rights to and control over the development and commercialization of entinostat to our current or future collaborators.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collaborations, including any future strategic collaborations we enter into, could subject us to a number of risks, including:</w:t>
      </w:r>
    </w:p>
    <w:p>
      <w:pPr>
        <w:spacing w:after="0" w:line="90" w:lineRule="exact"/>
        <w:rPr>
          <w:sz w:val="20"/>
          <w:szCs w:val="20"/>
          <w:color w:val="auto"/>
        </w:rPr>
      </w:pPr>
    </w:p>
    <w:p>
      <w:pPr>
        <w:ind w:left="5620" w:right="2460" w:hanging="4937"/>
        <w:spacing w:after="0" w:line="440" w:lineRule="auto"/>
        <w:tabs>
          <w:tab w:leader="none" w:pos="1001"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 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existing stockholders’ percentage of ownership;</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90" w:lineRule="exact"/>
        <w:rPr>
          <w:rFonts w:ascii="Arial" w:cs="Arial" w:eastAsia="Arial" w:hAnsi="Arial"/>
          <w:sz w:val="18"/>
          <w:szCs w:val="18"/>
          <w:color w:val="auto"/>
        </w:rPr>
      </w:pPr>
    </w:p>
    <w:p>
      <w:pPr>
        <w:ind w:left="1000" w:right="10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50" w:lineRule="exact"/>
        <w:rPr>
          <w:rFonts w:ascii="Arial" w:cs="Arial" w:eastAsia="Arial" w:hAnsi="Arial"/>
          <w:sz w:val="18"/>
          <w:szCs w:val="18"/>
          <w:color w:val="auto"/>
        </w:rPr>
      </w:pPr>
    </w:p>
    <w:p>
      <w:pPr>
        <w:ind w:left="1000" w:right="28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0" w:lineRule="exact"/>
        <w:rPr>
          <w:rFonts w:ascii="Arial" w:cs="Arial" w:eastAsia="Arial" w:hAnsi="Arial"/>
          <w:sz w:val="18"/>
          <w:szCs w:val="18"/>
          <w:color w:val="auto"/>
        </w:rPr>
      </w:pPr>
    </w:p>
    <w:p>
      <w:pPr>
        <w:ind w:left="1000" w:right="78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0" w:lineRule="exact"/>
        <w:rPr>
          <w:rFonts w:ascii="Arial" w:cs="Arial" w:eastAsia="Arial" w:hAnsi="Arial"/>
          <w:sz w:val="18"/>
          <w:szCs w:val="18"/>
          <w:color w:val="auto"/>
        </w:rPr>
      </w:pPr>
    </w:p>
    <w:p>
      <w:pPr>
        <w:ind w:left="1000" w:right="44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revenues from these products;</w:t>
      </w:r>
    </w:p>
    <w:p>
      <w:pPr>
        <w:spacing w:after="0" w:line="50" w:lineRule="exact"/>
        <w:rPr>
          <w:rFonts w:ascii="Arial" w:cs="Arial" w:eastAsia="Arial" w:hAnsi="Arial"/>
          <w:sz w:val="18"/>
          <w:szCs w:val="18"/>
          <w:color w:val="auto"/>
        </w:rPr>
      </w:pPr>
    </w:p>
    <w:p>
      <w:pPr>
        <w:ind w:left="1000" w:right="400" w:hanging="317"/>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or defend our intellectual property rights or may use our proprietary information in a manner that could jeopardize or invalidate our proprietary information or expose us to potential litigation;</w:t>
      </w:r>
    </w:p>
    <w:p>
      <w:pPr>
        <w:spacing w:after="0" w:line="50" w:lineRule="exact"/>
        <w:rPr>
          <w:rFonts w:ascii="Arial" w:cs="Arial" w:eastAsia="Arial" w:hAnsi="Arial"/>
          <w:sz w:val="18"/>
          <w:szCs w:val="18"/>
          <w:color w:val="auto"/>
        </w:rPr>
      </w:pPr>
    </w:p>
    <w:p>
      <w:pPr>
        <w:ind w:left="1000" w:right="36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also adversely affect a strategic collaborator’s willingness or ability to complete its obligations under any arrangement;</w:t>
      </w:r>
    </w:p>
    <w:p>
      <w:pPr>
        <w:spacing w:after="0" w:line="50" w:lineRule="exact"/>
        <w:rPr>
          <w:rFonts w:ascii="Arial" w:cs="Arial" w:eastAsia="Arial" w:hAnsi="Arial"/>
          <w:sz w:val="18"/>
          <w:szCs w:val="18"/>
          <w:color w:val="auto"/>
        </w:rPr>
      </w:pPr>
    </w:p>
    <w:p>
      <w:pPr>
        <w:ind w:left="1000" w:right="12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50" w:lineRule="exact"/>
        <w:rPr>
          <w:rFonts w:ascii="Arial" w:cs="Arial" w:eastAsia="Arial" w:hAnsi="Arial"/>
          <w:sz w:val="18"/>
          <w:szCs w:val="18"/>
          <w:color w:val="auto"/>
        </w:rPr>
      </w:pPr>
    </w:p>
    <w:p>
      <w:pPr>
        <w:ind w:left="1000" w:right="360" w:hanging="317"/>
        <w:spacing w:after="0" w:line="268"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explore strategic collaborations that may never materialize or may fail.</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may, in the future,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or at all. We are unable to predict when, if ever, we will enter into any additional strategic collaborations because of the numerous risks and uncertainties associated with establishing them.</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The regulatory approval processes of the FDA and foreign regulatory authorities are lengthy, time-consuming and inherently unpredictable. Our inability to obtain regulatory approval for entinostat could harm our business.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entinostat or any other product candidate, and it is possible that we will never obtain regulatory approval for entinostat or any future product candidates.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Entinostat could fail to receive regulatory approval from the FDA or foreign regulatory authorities for many reasons, including but not limited to:</w:t>
      </w:r>
    </w:p>
    <w:p>
      <w:pPr>
        <w:spacing w:after="0" w:line="235" w:lineRule="exact"/>
        <w:rPr>
          <w:sz w:val="20"/>
          <w:szCs w:val="20"/>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entinostat is safe and effective;</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clinical trials to meet the primary endpoints or level of statistical significance required for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demonstrate that entinostat’s clinical and other benefits outweigh any safety risks;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our interpretation of data from preclinical studies or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disagreement with the design or implementation of our or our collaborators’ trials;</w:t>
      </w:r>
    </w:p>
    <w:p>
      <w:pPr>
        <w:spacing w:after="0" w:line="90" w:lineRule="exact"/>
        <w:rPr>
          <w:rFonts w:ascii="Arial" w:cs="Arial" w:eastAsia="Arial" w:hAnsi="Arial"/>
          <w:sz w:val="18"/>
          <w:szCs w:val="18"/>
          <w:color w:val="auto"/>
        </w:rPr>
      </w:pPr>
    </w:p>
    <w:p>
      <w:pPr>
        <w:ind w:left="1000" w:right="600" w:hanging="317"/>
        <w:spacing w:after="0" w:line="26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insufficiency of data collected from trials of entinostat to support the submission and filing of an NDA or other submission or to obtain regulatory approval;</w:t>
      </w:r>
    </w:p>
    <w:p>
      <w:pPr>
        <w:spacing w:after="0" w:line="50" w:lineRule="exact"/>
        <w:rPr>
          <w:rFonts w:ascii="Arial" w:cs="Arial" w:eastAsia="Arial" w:hAnsi="Arial"/>
          <w:sz w:val="18"/>
          <w:szCs w:val="18"/>
          <w:color w:val="auto"/>
        </w:rPr>
      </w:pPr>
    </w:p>
    <w:p>
      <w:pPr>
        <w:ind w:left="1000" w:right="100" w:hanging="317"/>
        <w:spacing w:after="0" w:line="268"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obtain approval of the manufacturing and testing processes or facilities of third-party contract manufacturers with whom we contract for clinical and commercial supplies;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receipt of a negative opinion from an advisory committee due to a change in the standard of care regardless of the outcome of the clinical trials; or</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FDA or foreign regulatory authorities may require more information, including additional preclinical or clinical data, to support approval, which may delay or prevent approval and our commercialization plans, or may cause us to decide to abandon our development program. Even if we were to obtain approval, regulatory authorities may approve entinostat for a more limited patient population than we request, may grant approval contingent on the performance of costly post-marketing trials, may impose a Risk Evaluation and Mitigation Strategy, or REMS, or foreign regulatory authorities may require the establishment or modification of a similar strategy that may, for instance, restrict distribution of entinostat and impose burdensome implementation requirements on us, or may approve it with a label that does not include the labeling claims necessary or desirable for the successful commercialization of entinostat, all of which could limit our ability to successfully commercialize our drug products.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b w:val="1"/>
          <w:bCs w:val="1"/>
          <w:i w:val="1"/>
          <w:iCs w:val="1"/>
          <w:color w:val="auto"/>
        </w:rPr>
        <w:t>We are not developing entinostat as a monotherapy. A shortage in the supply of Aromasin, Keytruda, atezolizumab or other drugs used in combination with entinostat could increase our development costs and adversely affect our ability to commercialize entinostat, and any unexpected adverse events with any of the drugs used in combination with entinostat could halt or delay development of entinostat.</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Cancer drugs have from time to time been in short supply and, because many or all of these cancer drugs are also widely used in cancer treatment currently, we will compete with a broad range of healthcare providers and other companies for availability of those drugs. Any shortage of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atezolizumab or other drugs that we are testing in combination with entinostat could adversely affect our ability to timely conduct the Phase 3 clinical trial in advanced HR+ breast cancer and the Phase 1b/2 clinical trials in NSCLC, melanoma and TNBC, and if entinostat receives regulatory approval, to commercialize entinostat for treatment of advanced HR+ breast cancer, NSCLC, melanoma or TNBC. A shortage of supply may also result in an increase, which could be significant, in our costs of procuring </w:t>
      </w:r>
      <w:r>
        <w:rPr>
          <w:rFonts w:ascii="Arial" w:cs="Arial" w:eastAsia="Arial" w:hAnsi="Arial"/>
          <w:sz w:val="18"/>
          <w:szCs w:val="18"/>
          <w:i w:val="1"/>
          <w:iCs w:val="1"/>
          <w:color w:val="auto"/>
        </w:rPr>
        <w:t>Aromasin</w:t>
      </w:r>
      <w:r>
        <w:rPr>
          <w:rFonts w:ascii="Arial" w:cs="Arial" w:eastAsia="Arial" w:hAnsi="Arial"/>
          <w:sz w:val="18"/>
          <w:szCs w:val="18"/>
          <w:color w:val="auto"/>
        </w:rPr>
        <w:t>.</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Additionally, because entinostat is being developed for use in combination with other cancer treatments, the development of entinostat may be delayed or halted if unexpected adverse events occurring in patients are attributed to entinostat. Likewise, new adverse events emerging from commercialized or development stage drugs being administered with entinostat may limit or halt the potential of such combinations.</w:t>
      </w:r>
    </w:p>
    <w:p>
      <w:pPr>
        <w:spacing w:after="0" w:line="107"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b w:val="1"/>
          <w:bCs w:val="1"/>
          <w:i w:val="1"/>
          <w:iCs w:val="1"/>
          <w:color w:val="auto"/>
        </w:rPr>
        <w:t>Entinostat may not achieve adequate market acceptance among physicians, patients, healthcare payors and others in the medical community to be commercially successful.</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Even if entinostat receives regulatory approval, it may not gain sufficient market acceptance among physicians, patients, healthcare payors and others in the medical community. Our commercial success also depends on coverage and adequate reimbursement of entinostat by third-party payors, including government payors, which may be difficult or time-consuming to obtain, may be limited in scope and may not be obtained in all jurisdictions in which we may seek to market entinostat. The degree of market acceptance of entinostat will depend on a number of factors, including:</w:t>
      </w:r>
    </w:p>
    <w:p>
      <w:pPr>
        <w:spacing w:after="0" w:line="153"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as well as competitive products;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entinostat is approved;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entinostat as a safe and effective treatment by physicians, clinics and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entinostat over alternative treatments;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entinostat.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entinostat is approved but does not achieve an adequate level of acceptance by physicians, hospitals, healthcare payors and patients, we may not generate sufficient revenue to become or remain profitable.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rely on third-party suppliers to manufacture and distribute our clinical drug supplies for entinostat, we intend to rely on third parties for commercial manufacturing and distribution of entinostat and we expect to rely on third parties for manufacturing and distribution of preclinical, clinical and commercial supplies of any future product candidates.</w:t>
      </w:r>
    </w:p>
    <w:p>
      <w:pPr>
        <w:spacing w:after="0" w:line="14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We do not currently have, nor do we plan to acquire, the infrastructure or capability to manufacture or distribute preclinical, clinical or commercial quantities of drug substance or drug product, including entinostat. While we expect to continue to depend on third-party contract manufacturers for the foreseeable future, we do not have direct control over the ability of these manufacturers to maintain adequate manufacturing capacity and capabilities to serve our needs, including quality control, quality assurance and qualified personnel. We are dependent on our contract manufacturers for compliance with cGMPs and for manufacture of both active drug substances and finished drug products. Facilities used by our contract manufacturers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contract manufacturers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contract manufacturers are engaged with other companies to supply and/or manufacture materials or products for such companies, which also exposes our contract manufacturers to regulatory risks for the production of such materials and products. As a result, failure to meet the regulatory requirements for the production of those materials and products may also affect the regulatory clearance of a contract manufacturers’ facility. If the FDA or a foreign regulatory agency does not approve these facilities for the manufacture of entinostat, or if it withdraws its approval in the future, we may need to find alternative manufacturing facilities, which would impede or delay our ability to develop, obtain regulatory approval for or market entinostat, if approved.</w:t>
      </w:r>
    </w:p>
    <w:p>
      <w:pPr>
        <w:spacing w:after="0" w:line="12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A breakthrough therapy designation by the FDA for entinostat may not lead to a faster development or regulatory review or approval process, and it does not necessarily increase the likelihood that entinostat will receive marketing approval.</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We have received breakthrough therapy designation for entinostat.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Entinostat when used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received a breakthrough therapy designation from the FDA based on the overall survival results from our completed Phase 2b clinical trial in advanced ER+ breast cancer. The trial showed statistically significant improvements in PFS, the primary endpoint, and overall survival, an exploratory endpoint. Receipt of a breakthrough therapy designation for a drug candidate may not result in a faster development process or review compared to drugs considered for approval under conventional FDA procedures and does not assure ultimate approval by the FDA. In addition, the FDA may later decide that entinostat no longer meets the conditions for qualification or decide that the time period for FDA review will not be shortened.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instance, if results from the Phase 3 clinical trial do not confirm the improvements in PFS or overall survival observed in our Phase 2b clinical trial, the FDA may rescind our breakthrough therapy designation.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entinostat receives regulatory approval, it may still face future development and regulatory difficulties.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Even if we obtain regulatory approval for entinostat, it would be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closely monitor the safety profile of any product even after approval. If the FDA or foreign regulatory authorities become aware of new safety information after approval of entinostat, they may require labeling changes or establishment of a REMS or similar strategy, impose significant restrictions on its indicated uses or marketing, or impose ongoing requirements for potentially costly post-approval studies or post-market surveillance.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contract manufacturers, fail to comply with applicable regulatory requirements, a regulatory agency may:</w:t>
      </w:r>
    </w:p>
    <w:p>
      <w:pPr>
        <w:spacing w:after="0" w:line="185" w:lineRule="exact"/>
        <w:rPr>
          <w:sz w:val="20"/>
          <w:szCs w:val="20"/>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seize or detain products, or refuse to permit the import or export of products.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occurrence of any event or penalty described above may inhibit our ability to commercialize and generate revenue from the sale of entinostat.</w:t>
      </w:r>
    </w:p>
    <w:p>
      <w:pPr>
        <w:spacing w:after="0" w:line="19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Human Services’ Office of Inspector General, state attorneys general, members of Congress, other government agencies and the public.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Medicare, Medicaid and other federal healthcare programs, curtailment or restructuring of our operations and agreements that materially restrict the manner in which a company promotes or distributes drug products. These false claims statutes include, but are not limited to, the federal civil False Claims Act,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False Claims Act lawsuits against pharmaceutical and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do not lawfully promote our approved products, we may become subject to such litigation, which have a material adverse effect on our business, financial condition and results of operations.</w:t>
      </w:r>
    </w:p>
    <w:p>
      <w:pPr>
        <w:spacing w:after="0" w:line="12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Entinostat may cause undesirable side effects or have other properties that could delay or prevent its regulatory approval, limit the commercial scope of its approved use, or result in significant negative consequences following any marketing approval.</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Undesirable side effects caused by entinostat could cause the interruption, delay or halting of the trials and could result in a more restrictive label or the delay or denial of regulatory approval by the FDA or other foreign regulatory authorities. In our Phase 2b clinical trial of entinostat in advanced ER+ breast cancer, the most significant adverse events were fatigue, gastrointestinal disturbances and hematologic toxicities, all of which occurred in higher numbers than in the placebo group. Results of the clinical trials may reveal a high and unacceptable severity and prevalence of side effects or other unexpected characteristics. In such event, the trials could be suspended or terminated, or the FDA or foreign regulatory authorities could deny approval of entinostat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Additionally, if entinostat receives marketing approval, and we or others later identify undesirable side effects, a number of potentially significant negative consequences could result, including:</w:t>
      </w:r>
    </w:p>
    <w:p>
      <w:pPr>
        <w:spacing w:after="0" w:line="172"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entinostat;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entinostat label;</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entinostat;</w:t>
      </w:r>
    </w:p>
    <w:p>
      <w:pPr>
        <w:spacing w:after="0" w:line="50" w:lineRule="exact"/>
        <w:rPr>
          <w:rFonts w:ascii="Arial" w:cs="Arial" w:eastAsia="Arial" w:hAnsi="Arial"/>
          <w:sz w:val="18"/>
          <w:szCs w:val="18"/>
          <w:color w:val="auto"/>
        </w:rPr>
      </w:pPr>
    </w:p>
    <w:p>
      <w:pPr>
        <w:ind w:left="1000" w:right="100" w:hanging="317"/>
        <w:spacing w:after="0" w:line="33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foreign regulatory authorities may require the establishment or modification of a similar strategy that may, for instance, restrict distribution of entinostat and impose burdensome implementation requirements on us;</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of these events could prevent us from achieving or maintaining market acceptance of entinostat for use in targeted indications or otherwise materially harm its commercial prospects, if approved, and could harm our business, results of operations and prospects.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obtain regulatory approval in international jurisdictions would prevent us from marketing entinostat outside the United States.</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 order to market and sell entinostat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entinostat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based on scientific advice from the European Medicines Agency, the current Phase 3 clinical trial is likely to be insufficient to receive regulatory approval in Europe for entinostat to treat advanced HR+ breast cancer. Our failure to obtain approval of entinostat by foreign regulatory authorities may negatively impact the commercial prospects of entinostat and our business prospects could decline. Also, if regulatory approval for entinostat is granted, it may be later withdrawn. If we fail to comply with the regulatory requirements in international jurisdictions and receive applicable marketing approvals, our target market will be reduced and our ability to realize the full market potential for entinostat will be harmed and our business may be adversely affected.</w:t>
      </w:r>
    </w:p>
    <w:p>
      <w:pPr>
        <w:spacing w:after="0" w:line="128"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pharmacologic treatment of NSCLC, melanoma and TNBC patients currently consists of chemotherapies, therapies targeting specific gene mutations and, more recently, immune checkpoint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 xml:space="preserve">inhibitors. There are currently no approved combination immuno-oncology therapies although numerous drugs are undergoing active clinical investigation. We believe that if entinostat in combination with either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or atezolizumab were approved for the treatment of NSCLC, melanoma or TNBC, it would face competition from these standard-of-care approaches and other investigational drugs being tested in combination with any of these approaches.</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If entinostat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were approved for treatment of advanced HR+ breast cancer, it could face competition from other therapies recently approved for use in combination with hormone therapy in this population, including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developed by Pfizer, </w:t>
      </w:r>
      <w:r>
        <w:rPr>
          <w:rFonts w:ascii="Arial" w:cs="Arial" w:eastAsia="Arial" w:hAnsi="Arial"/>
          <w:sz w:val="18"/>
          <w:szCs w:val="18"/>
          <w:i w:val="1"/>
          <w:iCs w:val="1"/>
          <w:color w:val="auto"/>
        </w:rPr>
        <w:t>Afinitor</w:t>
      </w:r>
      <w:r>
        <w:rPr>
          <w:rFonts w:ascii="Arial" w:cs="Arial" w:eastAsia="Arial" w:hAnsi="Arial"/>
          <w:sz w:val="18"/>
          <w:szCs w:val="18"/>
          <w:color w:val="auto"/>
        </w:rPr>
        <w:t>, developed by Novartis, and other therapies currently in Phase 3 clinical development such as abemaciclib, being developed by Eli Lilly and Company, and ribociclib and buparlisib, both of which are being developed by Novartis.</w:t>
      </w:r>
    </w:p>
    <w:p>
      <w:pPr>
        <w:spacing w:after="0" w:line="143"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us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12" w:lineRule="exact"/>
        <w:rPr>
          <w:sz w:val="20"/>
          <w:szCs w:val="20"/>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efficacy and safety profile of entinostat relative to marketed products and product candidates in development by third parties;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it takes for entinostat to complete clinical development and receive marketing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commercialize entinostat if it receives regulatory approval;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of entinostat, including in comparison to branded or generic competitors;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whether coverage and adequate levels of reimbursement are available under private and governmental health insurance plans, including Medicare;</w:t>
      </w:r>
    </w:p>
    <w:p>
      <w:pPr>
        <w:spacing w:after="0" w:line="124" w:lineRule="exact"/>
        <w:rPr>
          <w:rFonts w:ascii="Arial" w:cs="Arial" w:eastAsia="Arial" w:hAnsi="Arial"/>
          <w:sz w:val="15"/>
          <w:szCs w:val="15"/>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manufacture commercial quantities of entinostat if it receives regulatory approval;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acceptance of entinostat in combination with </w:t>
      </w:r>
      <w:r>
        <w:rPr>
          <w:rFonts w:ascii="Arial" w:cs="Arial" w:eastAsia="Arial" w:hAnsi="Arial"/>
          <w:sz w:val="18"/>
          <w:szCs w:val="18"/>
          <w:i w:val="1"/>
          <w:iCs w:val="1"/>
          <w:color w:val="auto"/>
        </w:rPr>
        <w:t>Aromasin, Keytruda</w:t>
      </w:r>
      <w:r>
        <w:rPr>
          <w:rFonts w:ascii="Arial" w:cs="Arial" w:eastAsia="Arial" w:hAnsi="Arial"/>
          <w:sz w:val="18"/>
          <w:szCs w:val="18"/>
          <w:color w:val="auto"/>
        </w:rPr>
        <w:t xml:space="preserve"> and other drugs by physicians and other healthcare providers.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Even if we obtain regulatory approval of entinostat, the availability and price of our competitors’ products could limit the demand and the price we are able to charge for entinostat. We may not be able to implement our business plan if the acceptance of entinostat is inhibited by price competition or the reluctance of physicians to switch from existing methods of treatment to entinostat, or if physicians switch to other new drug or biologic products or choose to reserve entinostat for use in limited circumstances.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events in the field of immuno-oncology could damage public perception of entinostat and negatively affect our business.</w:t>
      </w:r>
    </w:p>
    <w:p>
      <w:pPr>
        <w:spacing w:after="0" w:line="171"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commercial success of entinostat will depend in part on public acceptance of the use of cancer immunotherapies. Adverse events in clinical trials of entinostat or in clinical trials of others developing similar products and the resulting publicity, as well as any other adverse events in the field of immuno-oncology that may occur in the future, could result in a decrease in demand for any products that we may develop. If public perception is influenced by claims that the use of cancer immunotherapies is unsafe, entinostat may not be accepted by the general public or the medical community.</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Future adverse events in immuno-oncology or the biopharmaceutical industry could also result in greater governmental regulation, stricter labeling requirements and potential regulatory delays in the testing or approvals of our products. Any increased scrutiny could delay or increase the costs of obtaining regulatory approval for our product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attract and retain additional highly skilled employees in order to succeed.</w:t>
      </w:r>
    </w:p>
    <w:p>
      <w:pPr>
        <w:spacing w:after="0" w:line="17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industry is intense and as a result, we may be unable to continue to attract and retain qualified personnel necessary for the development of our business or to recruit suitable replacement personnel.</w:t>
      </w:r>
    </w:p>
    <w:p>
      <w:pPr>
        <w:spacing w:after="0" w:line="14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11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Even if we commercialize entinostat, it or any other product candidates that we develop may become subject to unfavorable pricing regulations or third-party coverage or reimbursement practices, which could harm our business.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ability to successfully commercialize entinostat, or any other product candidates that we develop, will depend in part on the extent to which coverage and adequate reimbursement for these products and related treatments will be available from government healthcare programs, private health insurers, managed care plans and other organizations. Government authorities and other third-party payors, such as private health insurers and health maintenance organizations, determine which medications they will cover and establish reimbursement levels. Government authorities and other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coverage and reimbursement will be available for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any product that we commercialize and, if reimbursement is available, what the level of reimbursement will be. Limitation on coverage and reimbursement may impact the demand for, or the price of, and our ability to successfully commercialize entinostat or any other product candidates that we develop.</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There may be significant delays in obtaining coverage and reimbursement for newly approved drugs, and coverage may be more limited than the indications for which the drug is approved by the FDA or foreign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w:t>
      </w:r>
    </w:p>
    <w:p>
      <w:pPr>
        <w:spacing w:after="0" w:line="14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Private payors often follow the Centers for Medicare and Medicaid Services’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Our inability to promptly obtain coverage and adequate reimbursement rates from both government-funded and private payors for any approved products that we develop could have an adverse effect on our operating results, our ability to raise capital needed to commercialize products and our overall financial condition.</w:t>
      </w:r>
    </w:p>
    <w:p>
      <w:pPr>
        <w:spacing w:after="0" w:line="14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regulations that govern marketing approvals,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may obtain marketing approval for entinostat in a particular country, but be subject to price regulations that delay our commercial launch of the product, possibly for lengthy time periods, which could negatively impact the revenues we generate from the sale of entinostat in that particular country. Adverse pricing limitations may hinder our ability to recoup our investment even if entinostat obtains marketing approval.</w:t>
      </w:r>
    </w:p>
    <w:p>
      <w:pPr>
        <w:spacing w:after="0" w:line="118"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There can be no assurance that entinostat, if it is approved for sale in the United States or in other countries, will be considered medically reasonable and necessary for a specific indication, that it will be considered cost-effective by third-party payors, that coverage and an adequate level of reimbursement will be available, or that third-party payors’ reimbursement policies will not adversely affect our ability to sell entinostat profitably.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currently have any sales, marketing or distribution experience or infrastructure.</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order to market entinostat or any other approved product candidate in the future, we must build our sales, marketing, managerial and other non-technical capabilities or make arrangements with third parties to perform these services, as we do not presently have such capabilities. To develop our internal sales, distribution and marketing capabilities, we would have to invest significant amounts of financial and management resources in the future. For drugs where we decide to perform sales, marketing and distribution functions ourselves, we could face a number of challenges, including that:</w:t>
      </w:r>
    </w:p>
    <w:p>
      <w:pPr>
        <w:spacing w:after="0" w:line="153" w:lineRule="exact"/>
        <w:rPr>
          <w:sz w:val="20"/>
          <w:szCs w:val="20"/>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attract and build a significant marketing or sales force;</w:t>
      </w:r>
    </w:p>
    <w:p>
      <w:pPr>
        <w:spacing w:after="0" w:line="90" w:lineRule="exact"/>
        <w:rPr>
          <w:rFonts w:ascii="Arial" w:cs="Arial" w:eastAsia="Arial" w:hAnsi="Arial"/>
          <w:sz w:val="18"/>
          <w:szCs w:val="18"/>
          <w:color w:val="auto"/>
        </w:rPr>
      </w:pPr>
    </w:p>
    <w:p>
      <w:pPr>
        <w:ind w:left="1000" w:right="280" w:hanging="317"/>
        <w:spacing w:after="0" w:line="268"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 of establishing, training and providing regulatory oversight for a marketing or sales force may not be justifiable in light of the revenues generated by any particular product;</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direct or indirect sales and marketing efforts may not be successful; and</w:t>
      </w:r>
    </w:p>
    <w:p>
      <w:pPr>
        <w:spacing w:after="0" w:line="90" w:lineRule="exact"/>
        <w:rPr>
          <w:rFonts w:ascii="Arial" w:cs="Arial" w:eastAsia="Arial" w:hAnsi="Arial"/>
          <w:sz w:val="18"/>
          <w:szCs w:val="18"/>
          <w:color w:val="auto"/>
        </w:rPr>
      </w:pPr>
    </w:p>
    <w:p>
      <w:pPr>
        <w:ind w:left="1000" w:right="220" w:hanging="317"/>
        <w:spacing w:after="0" w:line="259"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significant legal and regulatory risks in drug marketing and sales that we have never faced, and any failure to comply with all legal and regulatory requirements for sales, marketing and distribution could result in enforcement action by the FDA or other authorities that could jeopardize our ability to market the product or could subject us to substantial liability.</w:t>
      </w:r>
    </w:p>
    <w:p>
      <w:pPr>
        <w:spacing w:after="0" w:line="14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Alternatively, we may rely on third parties to launch and market our drug candidates, if approved. We may have limited or no control over the sales, marketing and distribution activities of these third parties and our future revenue may depend on the success of these third parties. Additionally, if these third parties fail to comply with all applicable regulatory requirements, the FDA could take enforcement action that could jeopardize our ability to market the drug candidate.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and future legislation may increase the difficulty and cost for us to commercialize entinostat and affect the prices we may obtain.</w:t>
      </w:r>
    </w:p>
    <w:p>
      <w:pPr>
        <w:spacing w:after="0" w:line="19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restrict or regulate post-approval activities and affect our ability to profitably sell any product candidate for which we obtain marketing approval.</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example, President Obama signed into law the Patient Protection and Affordable Care Act, as amended by the Health Care and Education Reconciliation Act of 2010, or, collectively, the Affordable Care Act. Among other cost containment measures, the Affordable Care Act established an annual, nondeductible fee on any entity that manufactures or imports branded prescription drugs and biologic agents, a Medicare Part D coverage gap discount program, and a formula that increased the rebates a manufacturer must pay under the Medicaid Drug Rebate Program.</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Other legislative changes have been proposed and adopted since the Affordable Care Act was enacted. 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agree upon a targeted deficit reduction of at least $1.2 trillion for fiscal years 2012 through 2021, triggering the Affordable Care Act’s automatic reduction to several government programs. This included aggregate reductions to Medicare payments to providers of up to 2% per fiscal year, effective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of 2013. Further legislation has extended the 2% reduction to 2024. In January 2013, 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expect that the Affordable Care Act, as well as other current or future healthcare reform measures may result in more rigorous coverage criteria and in additional downward pressure on the price that we receive for any approved product. This could seriously harm our future revenues.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entinostat.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face an inherent risk of product liability exposure related to the testing of entinostat in human trials and will face an even greater risk if we commercially sell any products that we may develop. Product liability claims may be brought against us by subjects enrolled in our trials, patients, healthcare providers or others using, administering or selling our products. If we cannot successfully defend ourselves against claims that entinostat or other products that we may develop caused injuries, we could incur substantial liabilities. Regardless of merit or eventual outcome, liability claims may result in:</w:t>
      </w:r>
    </w:p>
    <w:p>
      <w:pPr>
        <w:spacing w:after="0" w:line="153" w:lineRule="exact"/>
        <w:rPr>
          <w:sz w:val="20"/>
          <w:szCs w:val="20"/>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trial participants;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subjects or patients;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While we currently hold trial liability insurance coverage consistent with industry standards, this may not adequately cover all liabilities that we may incur. We also may not be able to maintain insurance coverage at a reasonable cost or in an amount adequate to satisfy any liability that may arise in the future. We intend to expand our insurance coverage for products to include the sale of commercial products if we obtain marketing approval for entinostat,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anti-kickback, fraud and abuse, transparency and other healthcare laws and regulations as well as privacy and data security laws and regulations, which could expose us to criminal sanctions, civil penalties, contractual damages, reputational harm, fines, exclusion from participation in government healthcare programs, curtailments or restrictions of our operations, administrative burdens and diminished profits and future earnings.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but are not limited to, the following:</w:t>
      </w:r>
    </w:p>
    <w:p>
      <w:pPr>
        <w:spacing w:after="0" w:line="183" w:lineRule="exact"/>
        <w:rPr>
          <w:sz w:val="20"/>
          <w:szCs w:val="20"/>
          <w:color w:val="auto"/>
        </w:rPr>
      </w:pPr>
    </w:p>
    <w:p>
      <w:pPr>
        <w:ind w:left="1000" w:right="180" w:hanging="317"/>
        <w:spacing w:after="0" w:line="298"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spacing w:after="0" w:line="31" w:lineRule="exact"/>
        <w:rPr>
          <w:rFonts w:ascii="Arial" w:cs="Arial" w:eastAsia="Arial" w:hAnsi="Arial"/>
          <w:sz w:val="16"/>
          <w:szCs w:val="16"/>
          <w:color w:val="auto"/>
        </w:rPr>
      </w:pPr>
    </w:p>
    <w:p>
      <w:pPr>
        <w:ind w:left="1000" w:right="80" w:hanging="317"/>
        <w:spacing w:after="0" w:line="25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federal civil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62" w:lineRule="exact"/>
        <w:rPr>
          <w:rFonts w:ascii="Arial" w:cs="Arial" w:eastAsia="Arial" w:hAnsi="Arial"/>
          <w:sz w:val="18"/>
          <w:szCs w:val="18"/>
          <w:color w:val="auto"/>
        </w:rPr>
      </w:pPr>
    </w:p>
    <w:p>
      <w:pPr>
        <w:ind w:left="1000" w:right="120" w:hanging="317"/>
        <w:spacing w:after="0" w:line="254"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and their implementing regulations, or HIPAA, imposes civil and criminal liability for, among other things, knowingly and willfully executing a scheme to defraud any healthcare benefit program, knowingly and willfully embezzling or stealing from a health care benefit program, willfully obstructing a criminal investigation of a health care offense, knowingly and willfully making false statements relating to healthcare matters, or knowingly obtaining or disclosing individually identifiable health information maintained by a HIPAA-covered entity in a manner that is not authorized or permitted by HIPAA;</w:t>
      </w:r>
    </w:p>
    <w:p>
      <w:pPr>
        <w:spacing w:after="0" w:line="63" w:lineRule="exact"/>
        <w:rPr>
          <w:rFonts w:ascii="Arial" w:cs="Arial" w:eastAsia="Arial" w:hAnsi="Arial"/>
          <w:sz w:val="18"/>
          <w:szCs w:val="18"/>
          <w:color w:val="auto"/>
        </w:rPr>
      </w:pPr>
    </w:p>
    <w:p>
      <w:pPr>
        <w:ind w:left="1000" w:right="480" w:hanging="317"/>
        <w:spacing w:after="0" w:line="306"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also imposes obligations on certain covered entity health care providers, health plans and health care clearinghouses as well as their business associates that perform certain services involving the use or disclosure of individually identifiable health information with respect to safeguarding the privacy, security and transmission of individually identifiable health information;</w:t>
      </w:r>
    </w:p>
    <w:p>
      <w:pPr>
        <w:spacing w:after="0" w:line="25" w:lineRule="exact"/>
        <w:rPr>
          <w:rFonts w:ascii="Arial" w:cs="Arial" w:eastAsia="Arial" w:hAnsi="Arial"/>
          <w:sz w:val="16"/>
          <w:szCs w:val="16"/>
          <w:color w:val="auto"/>
        </w:rPr>
      </w:pPr>
    </w:p>
    <w:p>
      <w:pPr>
        <w:ind w:left="1000" w:right="40" w:hanging="317"/>
        <w:spacing w:after="0" w:line="25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Open Payments program, created as part of the Physician Payments Sunshine Act under Section 6002 of the Affordable Care Act and its implementing regulations, requires certain manufacturers of drugs, devices, biologics and medical supplies for which payment is available under Medicare, Medicaid or the Children’s Health Insurance Program to report annually to the U.S. Department of Health and Human Services information related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40"/>
        <w:spacing w:after="0" w:line="306" w:lineRule="auto"/>
        <w:rPr>
          <w:sz w:val="20"/>
          <w:szCs w:val="20"/>
          <w:color w:val="auto"/>
        </w:rPr>
      </w:pPr>
      <w:r>
        <w:rPr>
          <w:rFonts w:ascii="Arial" w:cs="Arial" w:eastAsia="Arial" w:hAnsi="Arial"/>
          <w:sz w:val="16"/>
          <w:szCs w:val="16"/>
          <w:color w:val="auto"/>
        </w:rPr>
        <w:t>“payments or other transfers of value” made to physicians (defined to include doctors, dentists, optometrists, podiatrists and chiropractors) and teaching hospitals and applicable manufacturers and applicable group purchasing organizations to report annually to the U.S. Department of Health and Human Services ownership and investment interests held by physicians (as defined above) and their immediate family members; and</w:t>
      </w:r>
    </w:p>
    <w:p>
      <w:pPr>
        <w:spacing w:after="0" w:line="26" w:lineRule="exact"/>
        <w:rPr>
          <w:sz w:val="20"/>
          <w:szCs w:val="20"/>
          <w:color w:val="auto"/>
        </w:rPr>
      </w:pPr>
    </w:p>
    <w:p>
      <w:pPr>
        <w:ind w:left="1000" w:hanging="317"/>
        <w:spacing w:after="0" w:line="287"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2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contractual damages, reputational harm,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32"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w:t>
      </w:r>
    </w:p>
    <w:p>
      <w:pPr>
        <w:spacing w:after="0" w:line="10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had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Entinostat composition of matter U.S. Patent RE39,754, which we licensed from Bayer, covers the chemical entity of entinostat and any crystalline or non-crystalline form of entinostat and expires in 2017.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in the United States, and any equivalent regulatory authorities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 Even if we submit the NDA before the expiration of U.S. Patent RE39,754 and are successful in obtaining an extension of the term of U.S. Patent RE39,754 based on FDA regulatory delays, such extension will only extend the term of RE39,754 for a few additional years (up to a maximum of five additional years for patent claims covering a new chemical entity).</w:t>
      </w:r>
    </w:p>
    <w:p>
      <w:pPr>
        <w:spacing w:after="0" w:line="12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The ‘166 patent expires in 2029. On March 7, 2014, our licensor Bayer applied for reissue of the ‘166 patent. The reissue application seeks to add three inventors not originally listed on the ‘166 patent. The reissue application does not seek to amend the claims issued in the ‘166 patent. On April 28, 2015, the USPTO re-issued the ‘166 patent as U.S. patent RE45,499. RE45,499 reissued with the same claims originally issued in the ‘166 patent and the list of inventors on RE45,499 now lists the additional three inventors that were not included on the ‘166 patent. The ‘166 patent has now been surrendered in favor of RE45,499. RE45,499 has the same term as the initial term of the ‘166 patent, which expires in 2029. After expiry of RE39,754 in 2017, a competitor may develop a competing polymorphic form other than based on polymorph B, which could compete with polymorph B.</w:t>
      </w:r>
    </w:p>
    <w:p>
      <w:pPr>
        <w:spacing w:after="0" w:line="33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spite of our efforts and efforts of our licensor, we may not be successful in defending the validity of the claims of the RE45,499 reissue patent or any of its foreign counterparts. If the claims of the ‘166 patent or any of its counterparts are found to be invalid by a competent court, we may not be able to effectively block entry of generic versions of our entinostat crystalline polymorph B candidate products into markets where the crystalline polymorph B patent claims are found to be invalid.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entinostat and our and our licensors’ patents or other intellectual property rights may not be effective or sufficient to prevent them from competing.</w:t>
      </w:r>
    </w:p>
    <w:p>
      <w:pPr>
        <w:spacing w:after="0" w:line="14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w:t>
      </w:r>
    </w:p>
    <w:p>
      <w:pPr>
        <w:spacing w:after="0" w:line="11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w:t>
      </w:r>
    </w:p>
    <w:p>
      <w:pPr>
        <w:spacing w:after="0" w:line="12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If we breach our license agreement with Bayer related to entinostat or if the license agreement is otherwise terminated, we could lose the ability to continue the development and commercialization of entinostat.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commercial success depends upon our ability to develop, manufacture, market and sell entinostat. In March 2007, we entered into a license, development and commercialization agreement, or the Bayer license agreement, with Bayer pursuant to which we obtained a worldwide, exclusive license to develop and commercialize entinostat and any other products containing the same active ingredient. The Bayer license agreement, as amended, permits us to use entinostat or other licensed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products under the Bayer license agreement for the treatment of any human disease, and we are obligated to use commercially reasonable efforts to develop, manufacture and commercialize licensed products for all commercially reasonable indications.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obligated to pay Bayer up to approximately $50 million in the aggregate upon obtaining certain milestones in the development and marketing approval of entinostat, assuming that we pursue at least two different indications for entinostat or any other licensed product under the Bayer license agreement. 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Bayer license agreement will remain in effect until the expiration of our royalty obligations under the agreement in all countries.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2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the Bayer license agreement is terminated, we would not be able to develop, manufacture, market or sell entinostat and would result in our having to negotiate a new or reinstated agreement, which may not be available to us on equally favorable terms, or at all.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entinostat.</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U.S. Patent and Trademark Office, or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spacing w:after="0" w:line="118" w:lineRule="exact"/>
        <w:rPr>
          <w:sz w:val="20"/>
          <w:szCs w:val="20"/>
          <w:color w:val="auto"/>
        </w:rPr>
      </w:pPr>
    </w:p>
    <w:p>
      <w:pPr>
        <w:spacing w:after="0" w:line="370"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entinostat, our competitors might be able to enter the market, which would harm our business.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 and on our stock price.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Third-party preissuance submission of prior art to the USPTO, or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entinostat, or to attempt to license rights to it from the prevailing party. Our business could be harmed if the prevailing party does not offer us or our licensors a license on commercially reasonable terms or at all. Even if 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140" w:lineRule="exact"/>
        <w:rPr>
          <w:sz w:val="20"/>
          <w:szCs w:val="20"/>
          <w:color w:val="auto"/>
        </w:rPr>
      </w:pPr>
    </w:p>
    <w:p>
      <w:pPr>
        <w:ind w:right="280" w:firstLine="456"/>
        <w:spacing w:after="0" w:line="318" w:lineRule="auto"/>
        <w:rPr>
          <w:sz w:val="20"/>
          <w:szCs w:val="20"/>
          <w:color w:val="auto"/>
        </w:rPr>
      </w:pPr>
      <w:r>
        <w:rPr>
          <w:rFonts w:ascii="Arial" w:cs="Arial" w:eastAsia="Arial" w:hAnsi="Arial"/>
          <w:sz w:val="15"/>
          <w:szCs w:val="15"/>
          <w:color w:val="auto"/>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spacing w:after="0" w:line="10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entinostat, or to attempt to license rights to it from the prevailing party. Our business could be harmed if the prevailing party does not offer us or our licensors or collaborators a license on commercially reasonable terms or at all. Even if we or our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entinostat or force us to cease some of our business operations, which could materially harm our business.</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for some of our in-licensed patents and patent applications, we do not have access to any patent assignments or employee agreements demonstrating that all inventors have assigned their rights to the inventions or related patents. As a result, we may be subject to claims of ownership by such inventors.</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7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no market for shares of our common stock existed and an active trading market for our shares may never develop or be sustained following this offering. We intend to list our common stock on the NASDAQ Global Market, however, there is no assurance that it will be listed or, if it is so listed that an active trading market will develop on such exchange. We and the underwriters will determine the initial public offering price based on a number of factors, and such price may not be ultimately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126"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collaborations, joint ventures, collaborations or capital commitments;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trials of entinostat or those of our competitors;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level of expenses related to entinostat or clinical development programs;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the stock market in general, and the NASDAQ Global Market and biopharmaceutical companies in particular, frequently experiences extreme price and volume fluctuations that have often been unrelated or disproportionate to the operating performance of such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sell additional equity or debt securities or enter into other arrangements to fund our operations, which may result in dilution to our stockholders and impose restrictions or limitations on our business.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Until we can generate a sufficient amount of revenue from our products, if ever, we expect to finance future cash needs through public or private equity or debt offerings. 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If we raise additional funds through the issuance of additional debt or equity securities, it may result in dilution to our existing stockholders and/or increased fixed payment obligations.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32"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could be negatively impacted. In the event we obtain securities or industry analyst coverage, if any of the analysts who cover us issue an adverse or misleading opinion regarding us, our business model, our intellectual property or our stock performance, or if our trials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0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Prior to this offering, our executive officers, directors, holders of 5% or more of our capital stock and their respective affiliates beneficially owned approximately 73.3% of our outstanding voting stock and, upon completion of this offering, that same group will hold approximately % of our outstanding voting stock, assuming no exercise of outstanding options.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20"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as defined in the Jumpstart Our Business Startups Act of 2012, or the JOBS Act, and will be able to avail ourselves of reduced disclosure requirements applicable to emerging growth companies, which could make our common stock less attractive to investors and adversely affect the market price of our common stock.</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applicable to public companies that are not “emerging growth companies” including:</w:t>
      </w:r>
    </w:p>
    <w:p>
      <w:pPr>
        <w:spacing w:after="0" w:line="172" w:lineRule="exact"/>
        <w:rPr>
          <w:sz w:val="20"/>
          <w:szCs w:val="20"/>
          <w:color w:val="auto"/>
        </w:rPr>
      </w:pPr>
    </w:p>
    <w:p>
      <w:pPr>
        <w:ind w:left="1000" w:right="220" w:hanging="317"/>
        <w:spacing w:after="0" w:line="33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provisions of Section 404(b) of the Sarbanes-Oxley Act of 2002, or the Sarbanes-Oxley Act, requiring that our independent registered public accounting firm provide an attestation report on the effectiveness of our internal control over financial reporting;</w:t>
      </w:r>
    </w:p>
    <w:p>
      <w:pPr>
        <w:spacing w:after="0" w:line="4" w:lineRule="exact"/>
        <w:rPr>
          <w:rFonts w:ascii="Arial" w:cs="Arial" w:eastAsia="Arial" w:hAnsi="Arial"/>
          <w:sz w:val="16"/>
          <w:szCs w:val="16"/>
          <w:color w:val="auto"/>
        </w:rPr>
      </w:pPr>
    </w:p>
    <w:p>
      <w:pPr>
        <w:ind w:left="1000" w:right="440" w:hanging="317"/>
        <w:spacing w:after="0" w:line="332" w:lineRule="auto"/>
        <w:tabs>
          <w:tab w:leader="none" w:pos="10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“say on pay” provisions (requiring a non-binding stockholder vote to approve compensation of certain executive officers) and the “say on golden parachute” provisions (requiring a non-binding stockholder vote to approve golden parachute arrangements for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120"/>
        <w:spacing w:after="0" w:line="268" w:lineRule="auto"/>
        <w:rPr>
          <w:sz w:val="20"/>
          <w:szCs w:val="20"/>
          <w:color w:val="auto"/>
        </w:rPr>
      </w:pPr>
      <w:r>
        <w:rPr>
          <w:rFonts w:ascii="Arial" w:cs="Arial" w:eastAsia="Arial" w:hAnsi="Arial"/>
          <w:sz w:val="18"/>
          <w:szCs w:val="18"/>
          <w:color w:val="auto"/>
        </w:rPr>
        <w:t>certain executive officers in connection with mergers and certain other business combinations) of the Dodd-Frank Act and some of the disclosure requirements of the Dodd-Frank Act relating to compensation of our chief executive officer;</w:t>
      </w:r>
    </w:p>
    <w:p>
      <w:pPr>
        <w:spacing w:after="0" w:line="51" w:lineRule="exact"/>
        <w:rPr>
          <w:sz w:val="20"/>
          <w:szCs w:val="20"/>
          <w:color w:val="auto"/>
        </w:rPr>
      </w:pPr>
    </w:p>
    <w:p>
      <w:pPr>
        <w:ind w:left="1000" w:right="100" w:hanging="317"/>
        <w:spacing w:after="0" w:line="33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requirement to provide detailed compensation discussion and analysis in proxy statements and reports filed under the Securities Exchange Act of 1934, as amended, or the Exchange Act, and instead provide a reduced level of disclosure concerning executive compensation; and</w:t>
      </w:r>
    </w:p>
    <w:p>
      <w:pPr>
        <w:spacing w:after="0" w:line="4" w:lineRule="exact"/>
        <w:rPr>
          <w:rFonts w:ascii="Arial" w:cs="Arial" w:eastAsia="Arial" w:hAnsi="Arial"/>
          <w:sz w:val="16"/>
          <w:szCs w:val="16"/>
          <w:color w:val="auto"/>
        </w:rPr>
      </w:pPr>
    </w:p>
    <w:p>
      <w:pPr>
        <w:ind w:left="1000" w:hanging="317"/>
        <w:spacing w:after="0" w:line="268"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rules that the Public Company Accounting Oversight Board may adopt requiring mandatory audit firm rotation or a supplement to the auditor’s report on the financial statements.</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take advantage of these exemptions until we are no longer an “emerging growth company.” We would cease to be an “emerging growth company” upon the earliest of: (i) the first fiscal year following the fifth anniversary of this offering; (ii) the first fiscal year after our annual gross revenues are $1.0 billion or more; (iii) the date on which we have, during the previous three-year period, issued more than $1.0 billion in non-convertible debt securities; or (iv) as of the end of any fiscal year in which the market value of our common stock held by non-affiliates exceeded $700 million as of the end of the second quarter of that fiscal year.</w:t>
      </w:r>
    </w:p>
    <w:p>
      <w:pPr>
        <w:spacing w:after="0" w:line="14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currently intend to take advantage of some, but not all, of the reduced regulatory and reporting requirements that will be available to us so long as we qualify as an “emerging growth company.” For example, we have irrevocably elected not to take advantage of the extension of time to comply with new or revised financial accounting standards available under Section 102(b) of the JOBS Act. Our independent registered public accounting firm will not be required to provide an attestation report on the effectiveness of our internal control over financial reporting so long as we qualify as an “emerging growth company,” which may increase the risk that material weaknesses or significant deficiencies in our internal control over financial reporting go undetected. Likewise, so long as we qualify as an “emerging growth company,” we may elect not to provide you with certain information, including certain financial information and certain information regarding compensation of our executive officers, that we would otherwise have been required to provide in filings we make with the Securities and Exchange Commission, or SEC, which may make it more difficult for investors and securities analysts to evaluate our company.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may decline.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incur increased costs as a result of operating as a public company, and our management will devote substantial time to new compliance initiatives.</w:t>
      </w:r>
    </w:p>
    <w:p>
      <w:pPr>
        <w:spacing w:after="0" w:line="206" w:lineRule="exact"/>
        <w:rPr>
          <w:sz w:val="20"/>
          <w:szCs w:val="20"/>
          <w:color w:val="auto"/>
        </w:rPr>
      </w:pPr>
    </w:p>
    <w:p>
      <w:pPr>
        <w:jc w:val="both"/>
        <w:ind w:right="140" w:firstLine="456"/>
        <w:spacing w:after="0" w:line="303"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Market.</w:t>
      </w:r>
    </w:p>
    <w:p>
      <w:pPr>
        <w:spacing w:after="0" w:line="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1"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w:t>
      </w:r>
    </w:p>
    <w:p>
      <w:pPr>
        <w:ind w:right="200" w:firstLine="527"/>
        <w:spacing w:after="0" w:line="281" w:lineRule="auto"/>
        <w:rPr>
          <w:sz w:val="20"/>
          <w:szCs w:val="20"/>
          <w:color w:val="auto"/>
        </w:rPr>
      </w:pPr>
      <w:r>
        <w:rPr>
          <w:rFonts w:ascii="Arial" w:cs="Arial" w:eastAsia="Arial" w:hAnsi="Arial"/>
          <w:sz w:val="16"/>
          <w:szCs w:val="16"/>
          <w:color w:val="auto"/>
        </w:rPr>
        <w:t>shares of common stock based on the number of shares outstanding as of June 30, 2015, assuming: (i) no exercise of the underwriters’ over-allotment option; (ii) the conversion of all outstanding shares of our convertible preferred stock into 10,618,367 shares of common stock immediately prior to the completion of this offering; and (iii) the conversion of the shares of our Series C-1 convertible preferred stock issued on August 21, 2015 into an aggregate of 5,472,390 shares of our common stock upon completion of this offering. This includes the shares that we sell in this offering, which may be resold in the public</w:t>
      </w:r>
    </w:p>
    <w:p>
      <w:pPr>
        <w:spacing w:after="0" w:line="3"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market immediately without restriction, unless purchased by our affiliates. Of the remaining shares, shares of our common stock are currently restricted as a result of securities laws or lock-up agreements but will be able to be sold after this offering as described in the section titled “Shares Eligible for Future Sale”</w:t>
      </w:r>
    </w:p>
    <w:p>
      <w:pPr>
        <w:spacing w:after="0" w:line="1" w:lineRule="exact"/>
        <w:rPr>
          <w:sz w:val="20"/>
          <w:szCs w:val="20"/>
          <w:color w:val="auto"/>
        </w:rPr>
      </w:pPr>
    </w:p>
    <w:p>
      <w:pPr>
        <w:ind w:right="160"/>
        <w:spacing w:after="0" w:line="292" w:lineRule="auto"/>
        <w:rPr>
          <w:sz w:val="20"/>
          <w:szCs w:val="20"/>
          <w:color w:val="auto"/>
        </w:rPr>
      </w:pPr>
      <w:r>
        <w:rPr>
          <w:rFonts w:ascii="Arial" w:cs="Arial" w:eastAsia="Arial" w:hAnsi="Arial"/>
          <w:sz w:val="16"/>
          <w:szCs w:val="16"/>
          <w:color w:val="auto"/>
        </w:rPr>
        <w:t>included elsewhere in 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section titled “Underwriting” included elsewhere in this prospectus.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7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07"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Commencing after the filing of our initial annual report on Form 10-K, we will be required, under Section 404 of the Sarbanes-Oxley Act, to furnish a report by management on, among other things, the effectiveness of our internal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over financial reporting. This assessment will need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the exemption permitting us not to comply with the independent registered public accounting firm attestation requirement.</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compliance with Section 404 will require that we incur substantial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remediate the existing material weakness in our internal control over financial reporting, the accuracy and timing of our financial reporting may be adversely affected.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preparing our consolidated financial statements as of and for the years ended December 31, 2013 and 2014, we and our independent registered public accounting firm identified control deficiencies in the design and operation of our internal control over financial reporting that constituted a material weakness in our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 identified resulted from the fact that we do not have sufficient financial reporting and accounting staff with appropriate training in generally accepted accounting principles in the United States, or GAAP, and SEC rules and regulations. As such, our controls over financial reporting were not designed or operating effectively, and as a result there were adjustments required in connection with closing our books and records and preparing our December 31, 2013 and 2014 consolidated financial statements.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material weakness in our internal control over financial reporting was attributable to our lack of sufficient financial reporting and accounting personnel with the technical expertise to appropriately account for complex, non-routine transactions. In response to this material weakness, during 2015 we have hired additional personnel with the appropriate financial reporting experience to expand our financial management and reporting infrastructure and further develop and document our accounting policies and financial reporting procedures. However, we cannot assure you that we will be successful in pursuing these measures or that these measures will significantly improve or remediate the material weakness described above. We also cannot assure you that we have identified all of our existing material weaknesses or that we will not in the future have additional material weaknesses. We have not yet remediated our material weakness, and the remediation measures that we have begun to implement may be insufficient to address our existing material weakness or to identify or prevent additional material weaknesses.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Neither we nor our independent registered public accounting firm has performed an evaluation of our internal control over financial reporting during any period in accordance with the provisions of the Sarbanes-Oxley Act. In light of the control deficiencies and the resulting material weakness that were identified as a result of the limited procedures performed, we believe that it is possible that, had we and our independent registered public accounting firm performed an evaluation of our internal control over financial reporting in accordance with the provisions of the Sarbanes-Oxley Act, additional material weaknesses and significant control deficiencies may have been identified. However, for as long as we remain an “emerging growth company” as defined in the JOBS Act,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18"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If we fail to remediate the material weakness or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There is no assurance that we will be able to remediate the material weakness in a timely manner, or at all, or that in the future, additional material weaknesses will not exist or otherwise be discovered. If our efforts to remediate the material weakness identified are not successful, or if other material weaknesses or other deficiencies occur, our ability to accurately and timely report our financial position could be impaired, which could result in late filings of our annual and quarterly reports under the Exchange Act, restatements of our consolidated financial statements, a decline in our stock price, suspension or delisting of our common stock from The NASDAQ Global Market, and could adversely affect our reputation, results of operations and financial condition.</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b w:val="1"/>
          <w:bCs w:val="1"/>
          <w:i w:val="1"/>
          <w:iCs w:val="1"/>
          <w:color w:val="auto"/>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that will become effective immediately prior to the completion of this offering, as well as provisions of Delaware law, could make it more difficult for a third party to acquire us or increase the cost of acquiring us, even if doing so would benefit our stockholders, or remove our current management. These provisions include:</w:t>
      </w:r>
    </w:p>
    <w:p>
      <w:pPr>
        <w:spacing w:after="0" w:line="147" w:lineRule="exact"/>
        <w:rPr>
          <w:sz w:val="20"/>
          <w:szCs w:val="20"/>
          <w:color w:val="auto"/>
        </w:rPr>
      </w:pPr>
    </w:p>
    <w:p>
      <w:pPr>
        <w:ind w:left="1000" w:right="640" w:hanging="317"/>
        <w:spacing w:after="0" w:line="268"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we may establish and shares of which we may issue without stockholder approval;</w:t>
      </w:r>
    </w:p>
    <w:p>
      <w:pPr>
        <w:spacing w:after="0" w:line="50" w:lineRule="exact"/>
        <w:rPr>
          <w:rFonts w:ascii="Arial" w:cs="Arial" w:eastAsia="Arial" w:hAnsi="Arial"/>
          <w:sz w:val="18"/>
          <w:szCs w:val="18"/>
          <w:color w:val="auto"/>
        </w:rPr>
      </w:pPr>
    </w:p>
    <w:p>
      <w:pPr>
        <w:ind w:left="1000" w:right="260" w:hanging="317"/>
        <w:spacing w:after="0" w:line="268"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 which would otherwise allow for less than a majority of stockholders to elect director candidates;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thereby requiring all stockholder actions to be taken at a meeting of our stockholders;</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90" w:lineRule="exact"/>
        <w:rPr>
          <w:rFonts w:ascii="Arial" w:cs="Arial" w:eastAsia="Arial" w:hAnsi="Arial"/>
          <w:sz w:val="18"/>
          <w:szCs w:val="18"/>
          <w:color w:val="auto"/>
        </w:rPr>
      </w:pPr>
    </w:p>
    <w:p>
      <w:pPr>
        <w:ind w:left="1000" w:right="180" w:hanging="317"/>
        <w:spacing w:after="0" w:line="268"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INDUSTRY DATA</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Some of the statements made in the sections titled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“could,” “expect,” “would,” “plan,” “anticipate,” “believe,” “estimate,” “predict,” “potential,” “intend” or “continue,” or the negative of these terms or other comparable terminology.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212" w:lineRule="exact"/>
        <w:rPr>
          <w:sz w:val="20"/>
          <w:szCs w:val="20"/>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estimates regarding our expenses, future revenues, anticipated capital requirements and our needs for additional financing;</w:t>
      </w:r>
    </w:p>
    <w:p>
      <w:pPr>
        <w:spacing w:after="0" w:line="90" w:lineRule="exact"/>
        <w:rPr>
          <w:rFonts w:ascii="Arial" w:cs="Arial" w:eastAsia="Arial" w:hAnsi="Arial"/>
          <w:sz w:val="18"/>
          <w:szCs w:val="18"/>
          <w:color w:val="auto"/>
        </w:rPr>
      </w:pPr>
    </w:p>
    <w:p>
      <w:pPr>
        <w:ind w:left="1000" w:right="180" w:hanging="317"/>
        <w:spacing w:after="0" w:line="268"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timing of the commencement, progress and receipt of data from the planned Phase 1b/2 clinical trials of entinostat in lung cancer, melanoma and triple negative breast cancer;</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timing of the commencement, progress and receipt of data from the planned Phase 3 clinical trial of entinostat in advanced HR+ breast cancer;</w:t>
      </w:r>
    </w:p>
    <w:p>
      <w:pPr>
        <w:spacing w:after="0" w:line="124" w:lineRule="exact"/>
        <w:rPr>
          <w:rFonts w:ascii="Arial" w:cs="Arial" w:eastAsia="Arial" w:hAnsi="Arial"/>
          <w:sz w:val="15"/>
          <w:szCs w:val="15"/>
          <w:color w:val="auto"/>
        </w:rPr>
      </w:pPr>
    </w:p>
    <w:p>
      <w:pPr>
        <w:ind w:left="1000" w:hanging="317"/>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timing of the commencement, progress and receipt of data from any other clinical trials that we and our collaborators may conduct;</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replicate results from a completed clinical trial in a future clinical trial;</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expectations regarding the potential safety, efficacy or clinical utility of entinostat;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obtain and maintain regulatory approval for entinostat and the timing or likelihood of regulatory filings and approvals for entinostat;</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maintain our license with Bayer and KHK;</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entinostat development;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of protection we establish and maintain for intellectual property rights covering entinostat and our technology;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adoption of entinostat by physicians and patients;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in the section titled “Risk Factors” and elsewhere in this prospectus. You should not rely upon forward-looking statements as predictions of future events.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Except as required by law, after the date of this prospectus, we are under no duty to update or revise any of the forward-looking statements, whether as a result of new information, future events or otherwise.</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20"/>
          </w:cols>
          <w:pgMar w:left="24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This prospectus also contains estimates, projections and other information concerning our industry, the market and our business. Information that is based on estimates, forecasts, projections or similar methodologies is inherently subject to uncertainties and actual events or circumstances may differ materially from events and circumstances reflected in this information. We obtained the industry, market and competitive position data in this prospectus from our own internal estimates and research as well as from industry and general publications and research surveys and studies conducted by third parties.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60"/>
          </w:cols>
          <w:pgMar w:left="24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We estimate that our net proceeds from the sale of shares of our common stock in this offering will be approximately $ million, based on an assumed initial public offering price of $ per share, the midpoint of the estimated price range set forth on the cover of this prospectus, after deducting underwriting</w:t>
      </w:r>
    </w:p>
    <w:p>
      <w:pPr>
        <w:spacing w:after="0"/>
        <w:rPr>
          <w:sz w:val="20"/>
          <w:szCs w:val="20"/>
          <w:color w:val="auto"/>
        </w:rPr>
      </w:pPr>
      <w:r>
        <w:rPr>
          <w:rFonts w:ascii="Arial" w:cs="Arial" w:eastAsia="Arial" w:hAnsi="Arial"/>
          <w:sz w:val="15"/>
          <w:szCs w:val="15"/>
          <w:color w:val="auto"/>
        </w:rPr>
        <w:t>discounts and commissions and estimated offering expenses payable by us. If the underwriters exercise their over-allotment option in full, we estimate that our net</w:t>
      </w:r>
    </w:p>
    <w:p>
      <w:pPr>
        <w:spacing w:after="0" w:line="44"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proceeds will be approximately $ million based on an assumed initial public offering price of $ per share, the midpoint of the estimated price range set forth on the cover of this prospectus, after deducting underwriting discounts and commissions and estimated offering expenses payable by us.</w:t>
      </w:r>
    </w:p>
    <w:p>
      <w:pPr>
        <w:spacing w:after="0" w:line="93"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to facilitate our future access to the public capital markets. We currently expect to use the net proceeds from this offering, together with our existing cash, cash equivalents and short-term investments, for the following purposes:</w:t>
      </w:r>
    </w:p>
    <w:p>
      <w:pPr>
        <w:spacing w:after="0" w:line="181" w:lineRule="exact"/>
        <w:rPr>
          <w:sz w:val="20"/>
          <w:szCs w:val="20"/>
          <w:color w:val="auto"/>
        </w:rPr>
      </w:pPr>
    </w:p>
    <w:p>
      <w:pPr>
        <w:ind w:left="1000" w:right="12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approximately $ million to support the clinical trials of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and atezolizumab through the expected completion date of the two Phase 2 clinical trials;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6"/>
          <w:szCs w:val="16"/>
          <w:color w:val="auto"/>
        </w:rPr>
        <w:t>million to support additional clinical trials of entinostat in combination with immune checkpoint inhibitors;</w:t>
      </w:r>
    </w:p>
    <w:p>
      <w:pPr>
        <w:spacing w:after="0" w:line="90" w:lineRule="exact"/>
        <w:rPr>
          <w:rFonts w:ascii="Arial" w:cs="Arial" w:eastAsia="Arial" w:hAnsi="Arial"/>
          <w:sz w:val="18"/>
          <w:szCs w:val="18"/>
          <w:color w:val="auto"/>
        </w:rPr>
      </w:pPr>
    </w:p>
    <w:p>
      <w:pPr>
        <w:ind w:left="1000" w:right="42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 million to support the Phase 3 clinical trial of entinostat in advanced HR+ breast cancer through the primary endpoint of overall survival data;</w:t>
      </w:r>
    </w:p>
    <w:p>
      <w:pPr>
        <w:spacing w:after="0" w:line="50" w:lineRule="exact"/>
        <w:rPr>
          <w:rFonts w:ascii="Arial" w:cs="Arial" w:eastAsia="Arial" w:hAnsi="Arial"/>
          <w:sz w:val="18"/>
          <w:szCs w:val="18"/>
          <w:color w:val="auto"/>
        </w:rPr>
      </w:pPr>
    </w:p>
    <w:p>
      <w:pPr>
        <w:ind w:left="1000" w:right="520" w:hanging="317"/>
        <w:spacing w:after="0" w:line="268"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approximately $ million to conduct activities to support the filing of a New Drug Application for entinostat, including manufacturing of registration batches of active pharmaceutical ingredient and final drug product; and</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remainder for working capital and general corporate purposes.</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expected use of the net proceeds from this offering represents our intentions based upon our current plans and business conditions, which could change in the future as our plans and business conditions evolve. The amounts and timing of our actual expenditures depend on numerous factors, including the ongoing status of and results from our clinical trials and other studies and any unforeseen cash needs. As a result, our management will have broad discretion in applying the net proceeds from this offering. We may use a portion of the net proceeds from this offering allocated to general corporate purposes for the acquisition or licensing, as the case may be, of product candidates, technologies, compounds, other assets or complementary businesses; however, we have no current understandings, agreements or commitments to do so. Pending these uses, we intend to invest the net proceeds from this offering in interest-bearing, investment-grade securities.</w:t>
      </w:r>
    </w:p>
    <w:p>
      <w:pPr>
        <w:spacing w:after="0" w:line="11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Although it is difficult to predict future liquidity requirements, we believe that the net proceeds from this offering, together with our existing cash, cash equivalents and short-term investments, will fund our projected operating expenses and capital expenditure requirements for at least the next 24 months.</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estimated price range set forth on the cover of this prospectus, would increase (decrease) the net proceeds to us from this offering by approximately $ million, assuming the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number of shares offered by us, as set forth on the cover page of this prospectus, remains the same, and after deducting underwriting discounts and commissions and estimated offering expenses payable by us. We may also increase or decrease the number of shares we are offering. We may also increase or decrease the number of shares we are offering. Each increase (decrease) of 1.0 million shares in the number of shares offered by us would increase (decrease) the net proceeds</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us from this offering by approximately $ million, assuming the assumed initial public offering price 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all available funds and any future earnings to support our operations and finance the growth and development of our business and do not intend to declare or pay any cash dividends in the foreseeable future. In addition, under the terms of our loan and security agreement with Solar Capital Ltd., we may not declare or pay any cash dividends or distributions without the consent of Solar Capital Ltd. As a result, you will likely need to sell your shares of common stock to realize a return on your investment, and you may not be able to sell your shares at or above the price you paid for them.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our capitalization as of June 30, 2015, on:</w:t>
      </w:r>
    </w:p>
    <w:p>
      <w:pPr>
        <w:spacing w:after="0" w:line="212" w:lineRule="exact"/>
        <w:rPr>
          <w:sz w:val="20"/>
          <w:szCs w:val="20"/>
          <w:color w:val="auto"/>
        </w:rPr>
      </w:pPr>
    </w:p>
    <w:p>
      <w:pPr>
        <w:ind w:left="1000" w:hanging="317"/>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90" w:lineRule="exact"/>
        <w:rPr>
          <w:rFonts w:ascii="Arial" w:cs="Arial" w:eastAsia="Arial" w:hAnsi="Arial"/>
          <w:sz w:val="18"/>
          <w:szCs w:val="18"/>
          <w:color w:val="auto"/>
        </w:rPr>
      </w:pPr>
    </w:p>
    <w:p>
      <w:pPr>
        <w:ind w:left="1000" w:right="20" w:hanging="317"/>
        <w:spacing w:after="0" w:line="256"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pro forma basis giving effect to (i) the conversion of all outstanding shares of our convertible preferred stock outstanding as of June 30, 2015 into an aggregate of 10,618,367 shares of our common stock upon completion of this offering and (ii) the conversion of the shares of our Series C-1 convertible preferred stock issued on August 21, 2015 into an aggregate of 5,472,390 shares of our common stock upon completion of this offering; and</w:t>
      </w:r>
    </w:p>
    <w:p>
      <w:pPr>
        <w:sectPr>
          <w:pgSz w:w="11900" w:h="16838" w:orient="portrait"/>
          <w:cols w:equalWidth="0" w:num="1">
            <w:col w:w="11420"/>
          </w:cols>
          <w:pgMar w:left="240" w:top="459" w:right="239" w:bottom="1440" w:gutter="0" w:footer="0" w:header="0"/>
        </w:sectPr>
      </w:pPr>
    </w:p>
    <w:p>
      <w:pPr>
        <w:spacing w:after="0" w:line="62"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 pro forma as adjusted basis giving additional effect to the sale of shares of common stock in this offering at an assumed initial public offering price of $ per share, the midpoint of the estimated price range set forth on the cover of this prospectus, after deducting underwriting discounts and commissions and estimated offering expenses payable by us, as if the sale of the shares in this offering had occurred on June 30, 2015.</w:t>
      </w:r>
    </w:p>
    <w:p>
      <w:pPr>
        <w:spacing w:after="0" w:line="143" w:lineRule="exact"/>
        <w:rPr>
          <w:sz w:val="20"/>
          <w:szCs w:val="20"/>
          <w:color w:val="auto"/>
        </w:rPr>
      </w:pPr>
    </w:p>
    <w:p>
      <w:pPr>
        <w:sectPr>
          <w:pgSz w:w="11900" w:h="16838" w:orient="portrait"/>
          <w:cols w:equalWidth="0" w:num="2">
            <w:col w:w="740" w:space="260"/>
            <w:col w:w="10420"/>
          </w:cols>
          <w:pgMar w:left="240" w:top="459" w:right="239" w:bottom="1440" w:gutter="0" w:footer="0" w:header="0"/>
          <w:type w:val="continuous"/>
        </w:sectPr>
      </w:pPr>
    </w:p>
    <w:p>
      <w:pPr>
        <w:ind w:right="160" w:firstLine="456"/>
        <w:spacing w:after="0" w:line="298" w:lineRule="auto"/>
        <w:rPr>
          <w:sz w:val="20"/>
          <w:szCs w:val="20"/>
          <w:color w:val="auto"/>
        </w:rPr>
      </w:pPr>
      <w:r>
        <w:rPr>
          <w:rFonts w:ascii="Arial" w:cs="Arial" w:eastAsia="Arial" w:hAnsi="Arial"/>
          <w:sz w:val="16"/>
          <w:szCs w:val="16"/>
          <w:color w:val="auto"/>
        </w:rPr>
        <w:t>The information in this table is illustrative only and our capitalization following the completion of this offering will be adjusted based on the actual initial public offering price and other terms of this offering determined at pricing. You should read this table in conjunction with the information contained in the sections titled “Use of Proceeds,” “Selected Consolidated Financial Data” and “Management’s Discussion and Analysis of Financial Condition and Results of Operations,” as well as the consolidated financial statements and related notes thereto included elsewhere in this prospectus.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June 30, 2015</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5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8"/>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140" w:type="dxa"/>
            <w:vAlign w:val="bottom"/>
          </w:tcPr>
          <w:p>
            <w:pPr>
              <w:spacing w:after="0"/>
              <w:rPr>
                <w:sz w:val="14"/>
                <w:szCs w:val="14"/>
                <w:color w:val="auto"/>
              </w:rPr>
            </w:pPr>
          </w:p>
        </w:tc>
        <w:tc>
          <w:tcPr>
            <w:tcW w:w="11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4"/>
              </w:rPr>
              <w:t>Pro Forma</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3"/>
              </w:rPr>
              <w:t>as Adjusted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w w:val="94"/>
              </w:rPr>
              <w:t>(unaudited)</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106,671</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3"/>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8,911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8,911</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Convertible preferred stock, par value $0.001: 17,175,023 shares authorized, 10,443,260 shares issued and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outstanding, actual; no shares authorized, issued or outstanding, pro forma and pro forma as adjusted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205,588</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25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5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Series A convertible preferred stock, par value $0.001: 4,390,243 shares authorized, 875,545 shares issued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1"/>
              </w:rPr>
              <w:t>and outstanding, actual; no shares authorized, issued or outstanding, pro forma and pro forma as adjusted</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00" w:type="dxa"/>
            <w:vAlign w:val="bottom"/>
            <w:gridSpan w:val="2"/>
          </w:tcPr>
          <w:p>
            <w:pPr>
              <w:ind w:left="420"/>
              <w:spacing w:after="0"/>
              <w:rPr>
                <w:sz w:val="20"/>
                <w:szCs w:val="20"/>
                <w:color w:val="auto"/>
              </w:rPr>
            </w:pPr>
            <w:r>
              <w:rPr>
                <w:rFonts w:ascii="Arial" w:cs="Arial" w:eastAsia="Arial" w:hAnsi="Arial"/>
                <w:sz w:val="18"/>
                <w:szCs w:val="18"/>
                <w:color w:val="auto"/>
                <w:w w:val="94"/>
              </w:rPr>
              <w:t>Common stock, par value $0.0001: 18,000,000 shares authorized, 78,113 shares issued and outstanding,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ind w:left="640"/>
              <w:spacing w:after="0"/>
              <w:rPr>
                <w:sz w:val="20"/>
                <w:szCs w:val="20"/>
                <w:color w:val="auto"/>
              </w:rPr>
            </w:pPr>
            <w:r>
              <w:rPr>
                <w:rFonts w:ascii="Arial" w:cs="Arial" w:eastAsia="Arial" w:hAnsi="Arial"/>
                <w:sz w:val="18"/>
                <w:szCs w:val="18"/>
                <w:color w:val="auto"/>
                <w:w w:val="90"/>
              </w:rPr>
              <w:t>actual; 100,000,000 shares authorized, 16,168,870 shares issued and outstanding, pro forma; 100,000,000</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ind w:left="640"/>
              <w:spacing w:after="0"/>
              <w:rPr>
                <w:sz w:val="20"/>
                <w:szCs w:val="20"/>
                <w:color w:val="auto"/>
              </w:rPr>
            </w:pPr>
            <w:r>
              <w:rPr>
                <w:rFonts w:ascii="Arial" w:cs="Arial" w:eastAsia="Arial" w:hAnsi="Arial"/>
                <w:sz w:val="18"/>
                <w:szCs w:val="18"/>
                <w:color w:val="auto"/>
              </w:rPr>
              <w:t>shares authorized,</w:t>
            </w:r>
          </w:p>
        </w:tc>
        <w:tc>
          <w:tcPr>
            <w:tcW w:w="5920" w:type="dxa"/>
            <w:vAlign w:val="bottom"/>
          </w:tcPr>
          <w:p>
            <w:pPr>
              <w:jc w:val="right"/>
              <w:ind w:right="2112"/>
              <w:spacing w:after="0"/>
              <w:rPr>
                <w:sz w:val="20"/>
                <w:szCs w:val="20"/>
                <w:color w:val="auto"/>
              </w:rPr>
            </w:pPr>
            <w:r>
              <w:rPr>
                <w:rFonts w:ascii="Arial" w:cs="Arial" w:eastAsia="Arial" w:hAnsi="Arial"/>
                <w:sz w:val="18"/>
                <w:szCs w:val="18"/>
                <w:color w:val="auto"/>
                <w:w w:val="86"/>
              </w:rPr>
              <w:t>shares issued and outstanding, pro forma as adjusted</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2"/>
              </w:rPr>
              <w:t>Preferred stock, par value $0.001: no shares authorized, issued and outstanding, actual; 10,000,000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authorized, no shares issued and outstanding, pro forma and pro forma as adjusted</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275,241</w:t>
            </w: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5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(196,775)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w w:val="88"/>
              </w:rPr>
              <w:t>(196,775)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stockholders’ (deficit) equity</w:t>
            </w:r>
          </w:p>
        </w:tc>
        <w:tc>
          <w:tcPr>
            <w:tcW w:w="5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(189,551)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Arial" w:cs="Arial" w:eastAsia="Arial" w:hAnsi="Arial"/>
                <w:sz w:val="18"/>
                <w:szCs w:val="18"/>
                <w:color w:val="auto"/>
              </w:rPr>
              <w:t>Total capitalization</w:t>
            </w:r>
          </w:p>
        </w:tc>
        <w:tc>
          <w:tcPr>
            <w:tcW w:w="5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500" w:type="dxa"/>
            <w:vAlign w:val="bottom"/>
            <w:gridSpan w:val="2"/>
            <w:vMerge w:val="continue"/>
          </w:tcPr>
          <w:p>
            <w:pPr>
              <w:spacing w:after="0"/>
              <w:rPr>
                <w:sz w:val="19"/>
                <w:szCs w:val="19"/>
                <w:color w:val="auto"/>
              </w:rPr>
            </w:pPr>
          </w:p>
        </w:tc>
        <w:tc>
          <w:tcPr>
            <w:tcW w:w="5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24,948</w:t>
            </w:r>
          </w:p>
        </w:tc>
        <w:tc>
          <w:tcPr>
            <w:tcW w:w="180" w:type="dxa"/>
            <w:vAlign w:val="bottom"/>
          </w:tcPr>
          <w:p>
            <w:pPr>
              <w:spacing w:after="0"/>
              <w:rPr>
                <w:sz w:val="19"/>
                <w:szCs w:val="19"/>
                <w:color w:val="auto"/>
              </w:rPr>
            </w:pP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87,371</w:t>
            </w:r>
          </w:p>
        </w:tc>
        <w:tc>
          <w:tcPr>
            <w:tcW w:w="46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920" w:type="dxa"/>
            <w:vAlign w:val="bottom"/>
            <w:vMerge w:val="restart"/>
          </w:tcPr>
          <w:p>
            <w:pPr>
              <w:jc w:val="right"/>
              <w:ind w:right="2532"/>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number of shares of our common stock outstanding immediately following this offering set forth above is shares of our common stock outstanding as of June 30, 2015, which gives effect to the pro forma transactions described above and excludes the following:</w:t>
      </w:r>
    </w:p>
    <w:p>
      <w:pPr>
        <w:spacing w:after="0" w:line="126" w:lineRule="exact"/>
        <w:rPr>
          <w:sz w:val="20"/>
          <w:szCs w:val="20"/>
          <w:color w:val="auto"/>
        </w:rPr>
      </w:pPr>
    </w:p>
    <w:p>
      <w:pPr>
        <w:ind w:left="1000" w:right="600" w:hanging="317"/>
        <w:spacing w:after="0" w:line="268"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2,234,519 shares of our common stock issuable upon the exercise of stock options outstanding as of June 30, 2015 under the 2007 Plan at a weighted-average exercise price of $4.96 per share;</w:t>
      </w:r>
    </w:p>
    <w:p>
      <w:pPr>
        <w:spacing w:after="0" w:line="50" w:lineRule="exact"/>
        <w:rPr>
          <w:rFonts w:ascii="Arial" w:cs="Arial" w:eastAsia="Arial" w:hAnsi="Arial"/>
          <w:sz w:val="18"/>
          <w:szCs w:val="18"/>
          <w:color w:val="auto"/>
        </w:rPr>
      </w:pPr>
    </w:p>
    <w:p>
      <w:pPr>
        <w:ind w:left="1580" w:hanging="897"/>
        <w:spacing w:after="0"/>
        <w:tabs>
          <w:tab w:leader="none" w:pos="15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the Bayer Warrant at an exercise price of $1.23 per share, based upon</w:t>
      </w:r>
    </w:p>
    <w:p>
      <w:pPr>
        <w:spacing w:after="0" w:line="38" w:lineRule="exact"/>
        <w:rPr>
          <w:sz w:val="20"/>
          <w:szCs w:val="20"/>
          <w:color w:val="auto"/>
        </w:rPr>
      </w:pPr>
    </w:p>
    <w:p>
      <w:pPr>
        <w:ind w:left="1000" w:right="20"/>
        <w:spacing w:after="0" w:line="261" w:lineRule="auto"/>
        <w:rPr>
          <w:sz w:val="20"/>
          <w:szCs w:val="20"/>
          <w:color w:val="auto"/>
        </w:rPr>
      </w:pPr>
      <w:r>
        <w:rPr>
          <w:rFonts w:ascii="Arial" w:cs="Arial" w:eastAsia="Arial" w:hAnsi="Arial"/>
          <w:sz w:val="18"/>
          <w:szCs w:val="18"/>
          <w:color w:val="auto"/>
        </w:rPr>
        <w:t>shares of our common stock outstanding as of June 30, 2015 on a fully diluted basis immediately following this offering, which warrant is expected to remain outstanding upon completion of this offering;</w:t>
      </w:r>
    </w:p>
    <w:p>
      <w:pPr>
        <w:spacing w:after="0" w:line="57" w:lineRule="exact"/>
        <w:rPr>
          <w:sz w:val="20"/>
          <w:szCs w:val="20"/>
          <w:color w:val="auto"/>
        </w:rPr>
      </w:pPr>
    </w:p>
    <w:p>
      <w:pPr>
        <w:ind w:left="1000" w:right="40" w:hanging="317"/>
        <w:spacing w:after="0" w:line="259" w:lineRule="auto"/>
        <w:tabs>
          <w:tab w:leader="none" w:pos="15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common stock (which includes 543,502 shares reserved for issuance under the 2007 Plan as of June 30, 2015) reserved for issuance under the 2015 Plan, which will become effective upon completion of this offering, as well as any future increases in the number of shares of our common stock reserved for issuance under the 2015 Plan; and</w:t>
      </w:r>
    </w:p>
    <w:p>
      <w:pPr>
        <w:spacing w:after="0" w:line="59" w:lineRule="exact"/>
        <w:rPr>
          <w:rFonts w:ascii="Arial" w:cs="Arial" w:eastAsia="Arial" w:hAnsi="Arial"/>
          <w:sz w:val="18"/>
          <w:szCs w:val="18"/>
          <w:color w:val="auto"/>
        </w:rPr>
      </w:pPr>
    </w:p>
    <w:p>
      <w:pPr>
        <w:ind w:left="1000" w:right="20" w:hanging="317"/>
        <w:spacing w:after="0" w:line="268" w:lineRule="auto"/>
        <w:tabs>
          <w:tab w:leader="none" w:pos="157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shares of our common stock reserved for issuance under the ESPP, which will become effective upon completion of this offering, as well as any future increases in the number of shares of our common stock reserved for issuance under the ESPP.</w:t>
      </w:r>
    </w:p>
    <w:p>
      <w:pPr>
        <w:spacing w:after="0" w:line="132"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estimated price range set forth on the cover page of this prospectus, would increase (decrease) each of cash, cash equivalents and short-term investments, additional paid-in capital, total stockholders’</w:t>
      </w:r>
    </w:p>
    <w:p>
      <w:pPr>
        <w:ind w:right="20"/>
        <w:spacing w:after="0" w:line="300" w:lineRule="auto"/>
        <w:rPr>
          <w:sz w:val="20"/>
          <w:szCs w:val="20"/>
          <w:color w:val="auto"/>
        </w:rPr>
      </w:pPr>
      <w:r>
        <w:rPr>
          <w:rFonts w:ascii="Arial" w:cs="Arial" w:eastAsia="Arial" w:hAnsi="Arial"/>
          <w:sz w:val="15"/>
          <w:szCs w:val="15"/>
          <w:color w:val="auto"/>
        </w:rPr>
        <w:t>equity and total capitalization by approximately $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 million shares in the number of shares offered by us would increase (decrease) each of cash,</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cash equivalents and short-term investments, additional paid-in capital, total stockholders’ equity and total capitalization by approximately $ million, assuming that the assumed initial public offering price of $ per share, the midpoint of the estimated price range set forth on the cover page of this prospectus,</w:t>
      </w:r>
    </w:p>
    <w:p>
      <w:pPr>
        <w:spacing w:after="0" w:line="1" w:lineRule="exact"/>
        <w:rPr>
          <w:sz w:val="20"/>
          <w:szCs w:val="20"/>
          <w:color w:val="auto"/>
        </w:rPr>
      </w:pPr>
    </w:p>
    <w:p>
      <w:pPr>
        <w:ind w:right="440"/>
        <w:spacing w:after="0" w:line="255" w:lineRule="auto"/>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 Net tangible book value per share of our common stock is determined at any date by subtracting our total liabilities and convertible preferred stock from the amount of our total tangible assets (total assets less intangible assets) and dividing the difference by the number of shares of our common stock deemed to be outstanding at that date.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historical net tangible book deficit as of June 30, 2015, was $(189.6) million, or $(2,426.63) per share, based on 78,113 shares of common stock outstanding as of June 30, 2015. The pro forma net tangible book value as of June 30, 2015, is approximately $78.5 million, or approximately $4.85 per share. The pro forma net tangible book value per share gives effect to (i) the conversion of all outstanding shares of our convertible preferred stock outstanding as of June 30, 2015 into an aggregate of 10,618,367 shares of our common stock upon completion of this offering and (ii) the conversion of the shares of our Series C-1 convertible preferred stock issued on August 21, 2015 into an aggregate of 5,472,390 shares of our common stock upon completion of this offering.</w:t>
      </w:r>
    </w:p>
    <w:p>
      <w:pPr>
        <w:spacing w:after="0" w:line="116"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After giving effect to our receipt of approximately $ million of estimated net proceeds, after deducting underwriting discounts and commissions and estimated offering expenses payable by us, from our sale of common stock in this offering at an assumed initial public offering price of $ per share, the</w:t>
      </w:r>
    </w:p>
    <w:p>
      <w:pPr>
        <w:spacing w:after="0"/>
        <w:rPr>
          <w:sz w:val="20"/>
          <w:szCs w:val="20"/>
          <w:color w:val="auto"/>
        </w:rPr>
      </w:pPr>
      <w:r>
        <w:rPr>
          <w:rFonts w:ascii="Arial" w:cs="Arial" w:eastAsia="Arial" w:hAnsi="Arial"/>
          <w:sz w:val="16"/>
          <w:szCs w:val="16"/>
          <w:color w:val="auto"/>
        </w:rPr>
        <w:t>midpoint of the estimated price range set forth on the cover page of this prospectus, our pro forma as adjusted net tangible book value (deficit) as of June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960" w:type="dxa"/>
            <w:vAlign w:val="bottom"/>
            <w:gridSpan w:val="2"/>
          </w:tcPr>
          <w:p>
            <w:pPr>
              <w:spacing w:after="0"/>
              <w:rPr>
                <w:sz w:val="20"/>
                <w:szCs w:val="20"/>
                <w:color w:val="auto"/>
              </w:rPr>
            </w:pPr>
            <w:r>
              <w:rPr>
                <w:rFonts w:ascii="Arial" w:cs="Arial" w:eastAsia="Arial" w:hAnsi="Arial"/>
                <w:sz w:val="18"/>
                <w:szCs w:val="18"/>
                <w:color w:val="auto"/>
                <w:w w:val="96"/>
              </w:rPr>
              <w:t>2015, would have been $</w:t>
            </w:r>
          </w:p>
        </w:tc>
        <w:tc>
          <w:tcPr>
            <w:tcW w:w="140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6880" w:type="dxa"/>
            <w:vAlign w:val="bottom"/>
            <w:gridSpan w:val="6"/>
          </w:tcPr>
          <w:p>
            <w:pPr>
              <w:jc w:val="right"/>
              <w:spacing w:after="0"/>
              <w:rPr>
                <w:sz w:val="20"/>
                <w:szCs w:val="20"/>
                <w:color w:val="auto"/>
              </w:rPr>
            </w:pPr>
            <w:r>
              <w:rPr>
                <w:rFonts w:ascii="Arial" w:cs="Arial" w:eastAsia="Arial" w:hAnsi="Arial"/>
                <w:sz w:val="18"/>
                <w:szCs w:val="18"/>
                <w:color w:val="auto"/>
                <w:w w:val="88"/>
              </w:rPr>
              <w:t>per share. This amount represents an immediate increase in net tangible book value (deficit) of $</w:t>
            </w:r>
          </w:p>
        </w:tc>
        <w:tc>
          <w:tcPr>
            <w:tcW w:w="1180" w:type="dxa"/>
            <w:vAlign w:val="bottom"/>
            <w:gridSpan w:val="3"/>
          </w:tcPr>
          <w:p>
            <w:pPr>
              <w:ind w:left="360"/>
              <w:spacing w:after="0"/>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16"/>
        </w:trPr>
        <w:tc>
          <w:tcPr>
            <w:tcW w:w="8100" w:type="dxa"/>
            <w:vAlign w:val="bottom"/>
            <w:gridSpan w:val="6"/>
          </w:tcPr>
          <w:p>
            <w:pPr>
              <w:spacing w:after="0"/>
              <w:rPr>
                <w:sz w:val="20"/>
                <w:szCs w:val="20"/>
                <w:color w:val="auto"/>
              </w:rPr>
            </w:pPr>
            <w:r>
              <w:rPr>
                <w:rFonts w:ascii="Arial" w:cs="Arial" w:eastAsia="Arial" w:hAnsi="Arial"/>
                <w:sz w:val="18"/>
                <w:szCs w:val="18"/>
                <w:color w:val="auto"/>
                <w:w w:val="92"/>
              </w:rPr>
              <w:t>of our common stock to existing stockholders and an immediate dilution in net tangible book value (deficit) of $</w:t>
            </w:r>
          </w:p>
        </w:tc>
        <w:tc>
          <w:tcPr>
            <w:tcW w:w="3320" w:type="dxa"/>
            <w:vAlign w:val="bottom"/>
            <w:gridSpan w:val="6"/>
          </w:tcPr>
          <w:p>
            <w:pPr>
              <w:ind w:left="200"/>
              <w:spacing w:after="0"/>
              <w:rPr>
                <w:sz w:val="20"/>
                <w:szCs w:val="20"/>
                <w:color w:val="auto"/>
              </w:rPr>
            </w:pPr>
            <w:r>
              <w:rPr>
                <w:rFonts w:ascii="Arial" w:cs="Arial" w:eastAsia="Arial" w:hAnsi="Arial"/>
                <w:sz w:val="18"/>
                <w:szCs w:val="18"/>
                <w:color w:val="auto"/>
              </w:rPr>
              <w:t>per share of our common stock to new</w:t>
            </w:r>
          </w:p>
        </w:tc>
        <w:tc>
          <w:tcPr>
            <w:tcW w:w="0" w:type="dxa"/>
            <w:vAlign w:val="bottom"/>
          </w:tcPr>
          <w:p>
            <w:pPr>
              <w:spacing w:after="0"/>
              <w:rPr>
                <w:sz w:val="1"/>
                <w:szCs w:val="1"/>
                <w:color w:val="auto"/>
              </w:rPr>
            </w:pPr>
          </w:p>
        </w:tc>
      </w:tr>
      <w:tr>
        <w:trPr>
          <w:trHeight w:val="222"/>
        </w:trPr>
        <w:tc>
          <w:tcPr>
            <w:tcW w:w="6260" w:type="dxa"/>
            <w:vAlign w:val="bottom"/>
            <w:gridSpan w:val="5"/>
          </w:tcPr>
          <w:p>
            <w:pPr>
              <w:spacing w:after="0"/>
              <w:rPr>
                <w:sz w:val="20"/>
                <w:szCs w:val="20"/>
                <w:color w:val="auto"/>
              </w:rPr>
            </w:pPr>
            <w:r>
              <w:rPr>
                <w:rFonts w:ascii="Arial" w:cs="Arial" w:eastAsia="Arial" w:hAnsi="Arial"/>
                <w:sz w:val="18"/>
                <w:szCs w:val="18"/>
                <w:color w:val="auto"/>
              </w:rPr>
              <w:t>investors purchasing shares of common stock in this offering.</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40" w:type="dxa"/>
            <w:vAlign w:val="bottom"/>
            <w:gridSpan w:val="4"/>
          </w:tcPr>
          <w:p>
            <w:pPr>
              <w:ind w:left="440"/>
              <w:spacing w:after="0"/>
              <w:rPr>
                <w:sz w:val="20"/>
                <w:szCs w:val="20"/>
                <w:color w:val="auto"/>
              </w:rPr>
            </w:pPr>
            <w:r>
              <w:rPr>
                <w:rFonts w:ascii="Arial" w:cs="Arial" w:eastAsia="Arial" w:hAnsi="Arial"/>
                <w:sz w:val="18"/>
                <w:szCs w:val="18"/>
                <w:color w:val="auto"/>
                <w:w w:val="91"/>
              </w:rPr>
              <w:t>The following table illustrates this dilution on a per share basis to new investors:</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4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Assumed initial public offering price per share</w:t>
            </w:r>
          </w:p>
        </w:tc>
        <w:tc>
          <w:tcPr>
            <w:tcW w:w="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5"/>
          </w:tcPr>
          <w:p>
            <w:pPr>
              <w:spacing w:after="0"/>
              <w:rPr>
                <w:sz w:val="20"/>
                <w:szCs w:val="20"/>
                <w:color w:val="auto"/>
              </w:rPr>
            </w:pPr>
            <w:r>
              <w:rPr>
                <w:rFonts w:ascii="Arial" w:cs="Arial" w:eastAsia="Arial" w:hAnsi="Arial"/>
                <w:sz w:val="18"/>
                <w:szCs w:val="18"/>
                <w:color w:val="auto"/>
              </w:rPr>
              <w:t>Historical net tangible book deficit per share as of June 30, 2015</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60" w:type="dxa"/>
            <w:vAlign w:val="bottom"/>
            <w:gridSpan w:val="3"/>
          </w:tcPr>
          <w:p>
            <w:pPr>
              <w:jc w:val="right"/>
              <w:ind w:right="31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(2,426.63)</w:t>
            </w:r>
          </w:p>
        </w:tc>
        <w:tc>
          <w:tcPr>
            <w:tcW w:w="6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2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7"/>
              </w:rPr>
              <w:t>Pro forma increase in net tangible book value per share attributable to pro forma transactions and other adjustments described</w:t>
            </w:r>
          </w:p>
        </w:tc>
        <w:tc>
          <w:tcPr>
            <w:tcW w:w="6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above</w:t>
            </w:r>
          </w:p>
        </w:tc>
        <w:tc>
          <w:tcPr>
            <w:tcW w:w="1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2,431.48</w:t>
            </w:r>
          </w:p>
        </w:tc>
        <w:tc>
          <w:tcPr>
            <w:tcW w:w="4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260" w:type="dxa"/>
            <w:vAlign w:val="bottom"/>
            <w:gridSpan w:val="5"/>
          </w:tcPr>
          <w:p>
            <w:pPr>
              <w:spacing w:after="0"/>
              <w:rPr>
                <w:sz w:val="20"/>
                <w:szCs w:val="20"/>
                <w:color w:val="auto"/>
              </w:rPr>
            </w:pPr>
            <w:r>
              <w:rPr>
                <w:rFonts w:ascii="Arial" w:cs="Arial" w:eastAsia="Arial" w:hAnsi="Arial"/>
                <w:sz w:val="18"/>
                <w:szCs w:val="18"/>
                <w:color w:val="auto"/>
              </w:rPr>
              <w:t>Pro forma net tangible book value per share before this offering</w:t>
            </w: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Pro forma increase in net tangible book value (deficit) per share attributable to new investors</w:t>
            </w: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5"/>
          </w:tcPr>
          <w:p>
            <w:pPr>
              <w:spacing w:after="0"/>
              <w:rPr>
                <w:sz w:val="20"/>
                <w:szCs w:val="20"/>
                <w:color w:val="auto"/>
              </w:rPr>
            </w:pPr>
            <w:r>
              <w:rPr>
                <w:rFonts w:ascii="Arial" w:cs="Arial" w:eastAsia="Arial" w:hAnsi="Arial"/>
                <w:sz w:val="18"/>
                <w:szCs w:val="18"/>
                <w:color w:val="auto"/>
                <w:w w:val="95"/>
              </w:rPr>
              <w:t>Pro forma as adjusted net tangible book value (deficit) per share after this offering</w:t>
            </w:r>
          </w:p>
        </w:tc>
        <w:tc>
          <w:tcPr>
            <w:tcW w:w="18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common stock in this offering</w:t>
            </w:r>
          </w:p>
        </w:tc>
        <w:tc>
          <w:tcPr>
            <w:tcW w:w="1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6240" w:type="dxa"/>
            <w:vAlign w:val="bottom"/>
            <w:gridSpan w:val="4"/>
          </w:tcPr>
          <w:p>
            <w:pPr>
              <w:ind w:left="440"/>
              <w:spacing w:after="0"/>
              <w:rPr>
                <w:sz w:val="20"/>
                <w:szCs w:val="20"/>
                <w:color w:val="auto"/>
              </w:rPr>
            </w:pPr>
            <w:r>
              <w:rPr>
                <w:rFonts w:ascii="Arial" w:cs="Arial" w:eastAsia="Arial" w:hAnsi="Arial"/>
                <w:sz w:val="18"/>
                <w:szCs w:val="18"/>
                <w:color w:val="auto"/>
                <w:w w:val="92"/>
              </w:rPr>
              <w:t>Each $1.00 increase (decrease) in the assumed initial public offering price of $</w:t>
            </w:r>
          </w:p>
        </w:tc>
        <w:tc>
          <w:tcPr>
            <w:tcW w:w="5160" w:type="dxa"/>
            <w:vAlign w:val="bottom"/>
            <w:gridSpan w:val="7"/>
          </w:tcPr>
          <w:p>
            <w:pPr>
              <w:ind w:left="120"/>
              <w:spacing w:after="0"/>
              <w:rPr>
                <w:sz w:val="20"/>
                <w:szCs w:val="20"/>
                <w:color w:val="auto"/>
              </w:rPr>
            </w:pPr>
            <w:r>
              <w:rPr>
                <w:rFonts w:ascii="Arial" w:cs="Arial" w:eastAsia="Arial" w:hAnsi="Arial"/>
                <w:sz w:val="18"/>
                <w:szCs w:val="18"/>
                <w:color w:val="auto"/>
                <w:w w:val="93"/>
              </w:rPr>
              <w:t>per share, the midpoint of the estimated price range set forth on the</w:t>
            </w:r>
          </w:p>
        </w:tc>
        <w:tc>
          <w:tcPr>
            <w:tcW w:w="0" w:type="dxa"/>
            <w:vAlign w:val="bottom"/>
          </w:tcPr>
          <w:p>
            <w:pPr>
              <w:spacing w:after="0"/>
              <w:rPr>
                <w:sz w:val="1"/>
                <w:szCs w:val="1"/>
                <w:color w:val="auto"/>
              </w:rPr>
            </w:pPr>
          </w:p>
        </w:tc>
      </w:tr>
      <w:tr>
        <w:trPr>
          <w:trHeight w:val="216"/>
        </w:trPr>
        <w:tc>
          <w:tcPr>
            <w:tcW w:w="8840" w:type="dxa"/>
            <w:vAlign w:val="bottom"/>
            <w:gridSpan w:val="7"/>
          </w:tcPr>
          <w:p>
            <w:pPr>
              <w:spacing w:after="0"/>
              <w:rPr>
                <w:sz w:val="20"/>
                <w:szCs w:val="20"/>
                <w:color w:val="auto"/>
              </w:rPr>
            </w:pPr>
            <w:r>
              <w:rPr>
                <w:rFonts w:ascii="Arial" w:cs="Arial" w:eastAsia="Arial" w:hAnsi="Arial"/>
                <w:sz w:val="18"/>
                <w:szCs w:val="18"/>
                <w:color w:val="auto"/>
                <w:w w:val="91"/>
              </w:rPr>
              <w:t>cover page of this prospectus, would increase (decrease) our pro forma as adjusted net tangible book value (deficit) by $</w:t>
            </w:r>
          </w:p>
        </w:tc>
        <w:tc>
          <w:tcPr>
            <w:tcW w:w="1400" w:type="dxa"/>
            <w:vAlign w:val="bottom"/>
            <w:gridSpan w:val="2"/>
          </w:tcPr>
          <w:p>
            <w:pPr>
              <w:jc w:val="right"/>
              <w:ind w:right="252"/>
              <w:spacing w:after="0"/>
              <w:rPr>
                <w:sz w:val="20"/>
                <w:szCs w:val="20"/>
                <w:color w:val="auto"/>
              </w:rPr>
            </w:pPr>
            <w:r>
              <w:rPr>
                <w:rFonts w:ascii="Arial" w:cs="Arial" w:eastAsia="Arial" w:hAnsi="Arial"/>
                <w:sz w:val="18"/>
                <w:szCs w:val="18"/>
                <w:color w:val="auto"/>
                <w:w w:val="93"/>
              </w:rPr>
              <w:t>million or by $</w:t>
            </w:r>
          </w:p>
        </w:tc>
        <w:tc>
          <w:tcPr>
            <w:tcW w:w="1180" w:type="dxa"/>
            <w:vAlign w:val="bottom"/>
            <w:gridSpan w:val="3"/>
          </w:tcPr>
          <w:p>
            <w:pPr>
              <w:ind w:left="60"/>
              <w:spacing w:after="0"/>
              <w:rPr>
                <w:sz w:val="20"/>
                <w:szCs w:val="20"/>
                <w:color w:val="auto"/>
              </w:rPr>
            </w:pPr>
            <w:r>
              <w:rPr>
                <w:rFonts w:ascii="Arial" w:cs="Arial" w:eastAsia="Arial" w:hAnsi="Arial"/>
                <w:sz w:val="18"/>
                <w:szCs w:val="18"/>
                <w:color w:val="auto"/>
                <w:w w:val="99"/>
              </w:rPr>
              <w:t>per share and</w:t>
            </w:r>
          </w:p>
        </w:tc>
        <w:tc>
          <w:tcPr>
            <w:tcW w:w="0" w:type="dxa"/>
            <w:vAlign w:val="bottom"/>
          </w:tcPr>
          <w:p>
            <w:pPr>
              <w:spacing w:after="0"/>
              <w:rPr>
                <w:sz w:val="1"/>
                <w:szCs w:val="1"/>
                <w:color w:val="auto"/>
              </w:rPr>
            </w:pPr>
          </w:p>
        </w:tc>
      </w:tr>
      <w:tr>
        <w:trPr>
          <w:trHeight w:val="216"/>
        </w:trPr>
        <w:tc>
          <w:tcPr>
            <w:tcW w:w="3640" w:type="dxa"/>
            <w:vAlign w:val="bottom"/>
            <w:gridSpan w:val="4"/>
          </w:tcPr>
          <w:p>
            <w:pPr>
              <w:spacing w:after="0"/>
              <w:rPr>
                <w:sz w:val="20"/>
                <w:szCs w:val="20"/>
                <w:color w:val="auto"/>
              </w:rPr>
            </w:pPr>
            <w:r>
              <w:rPr>
                <w:rFonts w:ascii="Arial" w:cs="Arial" w:eastAsia="Arial" w:hAnsi="Arial"/>
                <w:sz w:val="18"/>
                <w:szCs w:val="18"/>
                <w:color w:val="auto"/>
                <w:w w:val="95"/>
              </w:rPr>
              <w:t>the dilution to new investors in this offering by $</w:t>
            </w:r>
          </w:p>
        </w:tc>
        <w:tc>
          <w:tcPr>
            <w:tcW w:w="7780" w:type="dxa"/>
            <w:vAlign w:val="bottom"/>
            <w:gridSpan w:val="8"/>
          </w:tcPr>
          <w:p>
            <w:pPr>
              <w:ind w:left="200"/>
              <w:spacing w:after="0"/>
              <w:rPr>
                <w:sz w:val="20"/>
                <w:szCs w:val="20"/>
                <w:color w:val="auto"/>
              </w:rPr>
            </w:pPr>
            <w:r>
              <w:rPr>
                <w:rFonts w:ascii="Arial" w:cs="Arial" w:eastAsia="Arial" w:hAnsi="Arial"/>
                <w:sz w:val="18"/>
                <w:szCs w:val="18"/>
                <w:color w:val="auto"/>
                <w:w w:val="89"/>
              </w:rPr>
              <w:t>per share, assuming the number of shares offered by us, as set forth on the cover page of this prospectus,</w:t>
            </w:r>
          </w:p>
        </w:tc>
        <w:tc>
          <w:tcPr>
            <w:tcW w:w="0" w:type="dxa"/>
            <w:vAlign w:val="bottom"/>
          </w:tcPr>
          <w:p>
            <w:pPr>
              <w:spacing w:after="0"/>
              <w:rPr>
                <w:sz w:val="1"/>
                <w:szCs w:val="1"/>
                <w:color w:val="auto"/>
              </w:rPr>
            </w:pPr>
          </w:p>
        </w:tc>
      </w:tr>
      <w:tr>
        <w:trPr>
          <w:trHeight w:val="222"/>
        </w:trPr>
        <w:tc>
          <w:tcPr>
            <w:tcW w:w="10240" w:type="dxa"/>
            <w:vAlign w:val="bottom"/>
            <w:gridSpan w:val="9"/>
          </w:tcPr>
          <w:p>
            <w:pPr>
              <w:spacing w:after="0"/>
              <w:rPr>
                <w:sz w:val="20"/>
                <w:szCs w:val="20"/>
                <w:color w:val="auto"/>
              </w:rPr>
            </w:pPr>
            <w:r>
              <w:rPr>
                <w:rFonts w:ascii="Arial" w:cs="Arial" w:eastAsia="Arial" w:hAnsi="Arial"/>
                <w:sz w:val="18"/>
                <w:szCs w:val="18"/>
                <w:color w:val="auto"/>
              </w:rPr>
              <w:t>remains the same, and after deducting underwriting discounts and commissions and estimated offering expenses payable by us.</w:t>
            </w: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tcPr>
          <w:p>
            <w:pPr>
              <w:jc w:val="right"/>
              <w:ind w:right="372"/>
              <w:spacing w:after="0"/>
              <w:rPr>
                <w:sz w:val="20"/>
                <w:szCs w:val="20"/>
                <w:color w:val="auto"/>
              </w:rPr>
            </w:pPr>
            <w:r>
              <w:rPr>
                <w:rFonts w:ascii="Arial" w:cs="Arial" w:eastAsia="Arial" w:hAnsi="Arial"/>
                <w:sz w:val="18"/>
                <w:szCs w:val="18"/>
                <w:color w:val="auto"/>
              </w:rPr>
              <w:t>54</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also increase or decrease the number of shares we are offering. Each increase of 1.0 million shares in the number of shares offered by us would</w:t>
      </w:r>
    </w:p>
    <w:p>
      <w:pPr>
        <w:spacing w:after="0" w:line="38" w:lineRule="exact"/>
        <w:rPr>
          <w:sz w:val="20"/>
          <w:szCs w:val="20"/>
          <w:color w:val="auto"/>
        </w:rPr>
      </w:pPr>
    </w:p>
    <w:p>
      <w:pPr>
        <w:spacing w:after="0"/>
        <w:tabs>
          <w:tab w:leader="none" w:pos="7960" w:val="left"/>
          <w:tab w:leader="none" w:pos="9400" w:val="left"/>
        </w:tabs>
        <w:rPr>
          <w:sz w:val="20"/>
          <w:szCs w:val="20"/>
          <w:color w:val="auto"/>
        </w:rPr>
      </w:pPr>
      <w:r>
        <w:rPr>
          <w:rFonts w:ascii="Arial" w:cs="Arial" w:eastAsia="Arial" w:hAnsi="Arial"/>
          <w:sz w:val="18"/>
          <w:szCs w:val="18"/>
          <w:color w:val="auto"/>
        </w:rPr>
        <w:t>increase our pro forma as adjusted net tangible book value (deficit) as of June 30, 2015, by approximately $</w:t>
      </w:r>
      <w:r>
        <w:rPr>
          <w:sz w:val="20"/>
          <w:szCs w:val="20"/>
          <w:color w:val="auto"/>
        </w:rPr>
        <w:tab/>
      </w:r>
      <w:r>
        <w:rPr>
          <w:rFonts w:ascii="Arial" w:cs="Arial" w:eastAsia="Arial" w:hAnsi="Arial"/>
          <w:sz w:val="18"/>
          <w:szCs w:val="18"/>
          <w:color w:val="auto"/>
        </w:rPr>
        <w:t>million or by $</w:t>
      </w:r>
      <w:r>
        <w:rPr>
          <w:sz w:val="20"/>
          <w:szCs w:val="20"/>
          <w:color w:val="auto"/>
        </w:rPr>
        <w:tab/>
      </w:r>
      <w:r>
        <w:rPr>
          <w:rFonts w:ascii="Arial" w:cs="Arial" w:eastAsia="Arial" w:hAnsi="Arial"/>
          <w:sz w:val="15"/>
          <w:szCs w:val="15"/>
          <w:color w:val="auto"/>
        </w:rPr>
        <w:t>per share and decrease the</w:t>
      </w:r>
    </w:p>
    <w:p>
      <w:pPr>
        <w:spacing w:after="0" w:line="9"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dilution to new investors purchasing common stock in this offering by $ per share, assuming the number of shares offered by us, as set forth on the cover page of this prospectus, remains the same and after deducting underwriting discounts and commissions and estimated offering expenses payable by us.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over-allotment option in full, the pro forma as adjusted net tangible book value (deficit) per share after giving effect to this</w:t>
      </w:r>
    </w:p>
    <w:p>
      <w:pPr>
        <w:spacing w:after="0" w:line="38"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offering would be $ per share, which amount represents an immediate increase in pro forma net tangible book value (deficit) of $ per share of our common stock to existing stockholders and an immediate dilution in net tangible book value (deficit) of $ per share of our common stock to new investors purchasing shares of common stock in this offering.</w:t>
      </w:r>
    </w:p>
    <w:p>
      <w:pPr>
        <w:spacing w:after="0" w:line="144" w:lineRule="exact"/>
        <w:rPr>
          <w:sz w:val="20"/>
          <w:szCs w:val="20"/>
          <w:color w:val="auto"/>
        </w:rPr>
      </w:pPr>
    </w:p>
    <w:p>
      <w:pPr>
        <w:jc w:val="both"/>
        <w:ind w:right="160" w:firstLine="456"/>
        <w:spacing w:after="0" w:line="303" w:lineRule="auto"/>
        <w:rPr>
          <w:sz w:val="20"/>
          <w:szCs w:val="20"/>
          <w:color w:val="auto"/>
        </w:rPr>
      </w:pPr>
      <w:r>
        <w:rPr>
          <w:rFonts w:ascii="Arial" w:cs="Arial" w:eastAsia="Arial" w:hAnsi="Arial"/>
          <w:sz w:val="15"/>
          <w:szCs w:val="15"/>
          <w:color w:val="auto"/>
        </w:rPr>
        <w:t>The following table summarizes, as of June 30, 2015, after giving effect to the pro forma adjustments noted above, the differences between the number of shares purchased from us, the total consideration paid to us, and the average price per share paid to us by existing stockholders and by new investors purchasing shares in this offering, before deducting underwriting discounts and commissions and estimated offering expenses payable by us, at an assumed initial public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gridSpan w:val="2"/>
          </w:tcPr>
          <w:p>
            <w:pPr>
              <w:spacing w:after="0"/>
              <w:rPr>
                <w:sz w:val="20"/>
                <w:szCs w:val="20"/>
                <w:color w:val="auto"/>
              </w:rPr>
            </w:pPr>
            <w:r>
              <w:rPr>
                <w:rFonts w:ascii="Arial" w:cs="Arial" w:eastAsia="Arial" w:hAnsi="Arial"/>
                <w:sz w:val="18"/>
                <w:szCs w:val="18"/>
                <w:color w:val="auto"/>
              </w:rPr>
              <w:t>offering price of $</w:t>
            </w:r>
          </w:p>
        </w:tc>
        <w:tc>
          <w:tcPr>
            <w:tcW w:w="7760" w:type="dxa"/>
            <w:vAlign w:val="bottom"/>
            <w:gridSpan w:val="7"/>
          </w:tcPr>
          <w:p>
            <w:pPr>
              <w:ind w:left="160"/>
              <w:spacing w:after="0"/>
              <w:rPr>
                <w:sz w:val="20"/>
                <w:szCs w:val="20"/>
                <w:color w:val="auto"/>
              </w:rPr>
            </w:pPr>
            <w:r>
              <w:rPr>
                <w:rFonts w:ascii="Arial" w:cs="Arial" w:eastAsia="Arial" w:hAnsi="Arial"/>
                <w:sz w:val="18"/>
                <w:szCs w:val="18"/>
                <w:color w:val="auto"/>
                <w:w w:val="96"/>
              </w:rPr>
              <w:t>per share, the midpoint of the estimated price range set forth on the cover page of this prospectus.</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4"/>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ind w:left="480"/>
              <w:spacing w:after="0"/>
              <w:rPr>
                <w:sz w:val="20"/>
                <w:szCs w:val="20"/>
                <w:color w:val="auto"/>
              </w:rPr>
            </w:pPr>
            <w:r>
              <w:rPr>
                <w:rFonts w:ascii="Arial" w:cs="Arial" w:eastAsia="Arial" w:hAnsi="Arial"/>
                <w:sz w:val="14"/>
                <w:szCs w:val="14"/>
                <w:b w:val="1"/>
                <w:bCs w:val="1"/>
                <w:color w:val="auto"/>
                <w:w w:val="89"/>
              </w:rPr>
              <w:t>Total Cash</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8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Shares Purchased</w:t>
            </w:r>
          </w:p>
        </w:tc>
        <w:tc>
          <w:tcPr>
            <w:tcW w:w="2200" w:type="dxa"/>
            <w:vAlign w:val="bottom"/>
            <w:gridSpan w:val="5"/>
          </w:tcPr>
          <w:p>
            <w:pPr>
              <w:jc w:val="right"/>
              <w:ind w:right="912"/>
              <w:spacing w:after="0"/>
              <w:rPr>
                <w:sz w:val="20"/>
                <w:szCs w:val="20"/>
                <w:color w:val="auto"/>
              </w:rPr>
            </w:pPr>
            <w:r>
              <w:rPr>
                <w:rFonts w:ascii="Arial" w:cs="Arial" w:eastAsia="Arial" w:hAnsi="Arial"/>
                <w:sz w:val="14"/>
                <w:szCs w:val="14"/>
                <w:b w:val="1"/>
                <w:bCs w:val="1"/>
                <w:color w:val="auto"/>
              </w:rPr>
              <w:t>Consideration</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4"/>
              </w:rPr>
              <w:t>Average Price</w:t>
            </w:r>
          </w:p>
        </w:tc>
        <w:tc>
          <w:tcPr>
            <w:tcW w:w="0" w:type="dxa"/>
            <w:vAlign w:val="bottom"/>
          </w:tcPr>
          <w:p>
            <w:pPr>
              <w:spacing w:after="0"/>
              <w:rPr>
                <w:sz w:val="1"/>
                <w:szCs w:val="1"/>
                <w:color w:val="auto"/>
              </w:rPr>
            </w:pPr>
          </w:p>
        </w:tc>
      </w:tr>
      <w:tr>
        <w:trPr>
          <w:trHeight w:val="142"/>
        </w:trPr>
        <w:tc>
          <w:tcPr>
            <w:tcW w:w="6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(in thousands, except per share amounts)</w:t>
            </w:r>
          </w:p>
        </w:tc>
        <w:tc>
          <w:tcPr>
            <w:tcW w:w="10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Number</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2"/>
                <w:szCs w:val="12"/>
                <w:color w:val="auto"/>
              </w:rPr>
            </w:pPr>
          </w:p>
        </w:tc>
        <w:tc>
          <w:tcPr>
            <w:tcW w:w="1140" w:type="dxa"/>
            <w:vAlign w:val="bottom"/>
            <w:tcBorders>
              <w:top w:val="single" w:sz="8" w:color="auto"/>
            </w:tcBorders>
            <w:gridSpan w:val="2"/>
          </w:tcPr>
          <w:p>
            <w:pPr>
              <w:jc w:val="center"/>
              <w:ind w:right="480"/>
              <w:spacing w:after="0" w:line="142" w:lineRule="exact"/>
              <w:rPr>
                <w:sz w:val="20"/>
                <w:szCs w:val="20"/>
                <w:color w:val="auto"/>
              </w:rPr>
            </w:pPr>
            <w:r>
              <w:rPr>
                <w:rFonts w:ascii="Arial" w:cs="Arial" w:eastAsia="Arial" w:hAnsi="Arial"/>
                <w:sz w:val="14"/>
                <w:szCs w:val="14"/>
                <w:b w:val="1"/>
                <w:bCs w:val="1"/>
                <w:color w:val="auto"/>
                <w:w w:val="86"/>
              </w:rPr>
              <w:t>Amount</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Percent</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8"/>
              </w:rPr>
              <w:t>Existing stockholders</w:t>
            </w:r>
          </w:p>
        </w:tc>
        <w:tc>
          <w:tcPr>
            <w:tcW w:w="4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16,169</w:t>
            </w:r>
          </w:p>
        </w:tc>
        <w:tc>
          <w:tcPr>
            <w:tcW w:w="5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$188,007</w:t>
            </w:r>
          </w:p>
        </w:tc>
        <w:tc>
          <w:tcPr>
            <w:tcW w:w="4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New investors</w:t>
            </w:r>
          </w:p>
        </w:tc>
        <w:tc>
          <w:tcPr>
            <w:tcW w:w="4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3"/>
          </w:tcPr>
          <w:p>
            <w:pPr>
              <w:jc w:val="right"/>
              <w:ind w:right="37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w w:val="94"/>
              </w:rPr>
              <w:t>$ 100%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7260" w:type="dxa"/>
            <w:vAlign w:val="bottom"/>
            <w:gridSpan w:val="4"/>
          </w:tcPr>
          <w:p>
            <w:pPr>
              <w:ind w:left="440"/>
              <w:spacing w:after="0"/>
              <w:rPr>
                <w:sz w:val="20"/>
                <w:szCs w:val="20"/>
                <w:color w:val="auto"/>
              </w:rPr>
            </w:pPr>
            <w:r>
              <w:rPr>
                <w:rFonts w:ascii="Arial" w:cs="Arial" w:eastAsia="Arial" w:hAnsi="Arial"/>
                <w:sz w:val="18"/>
                <w:szCs w:val="18"/>
                <w:color w:val="auto"/>
                <w:w w:val="92"/>
              </w:rPr>
              <w:t>The number of shares of our common stock outstanding immediately following this offering is</w:t>
            </w:r>
          </w:p>
        </w:tc>
        <w:tc>
          <w:tcPr>
            <w:tcW w:w="4140" w:type="dxa"/>
            <w:vAlign w:val="bottom"/>
            <w:gridSpan w:val="10"/>
          </w:tcPr>
          <w:p>
            <w:pPr>
              <w:ind w:left="400"/>
              <w:spacing w:after="0"/>
              <w:rPr>
                <w:sz w:val="20"/>
                <w:szCs w:val="20"/>
                <w:color w:val="auto"/>
              </w:rPr>
            </w:pPr>
            <w:r>
              <w:rPr>
                <w:rFonts w:ascii="Arial" w:cs="Arial" w:eastAsia="Arial" w:hAnsi="Arial"/>
                <w:sz w:val="18"/>
                <w:szCs w:val="18"/>
                <w:color w:val="auto"/>
              </w:rPr>
              <w:t>shares of our common stock outstanding as of</w:t>
            </w:r>
          </w:p>
        </w:tc>
        <w:tc>
          <w:tcPr>
            <w:tcW w:w="0" w:type="dxa"/>
            <w:vAlign w:val="bottom"/>
          </w:tcPr>
          <w:p>
            <w:pPr>
              <w:spacing w:after="0"/>
              <w:rPr>
                <w:sz w:val="1"/>
                <w:szCs w:val="1"/>
                <w:color w:val="auto"/>
              </w:rPr>
            </w:pPr>
          </w:p>
        </w:tc>
      </w:tr>
      <w:tr>
        <w:trPr>
          <w:trHeight w:val="222"/>
        </w:trPr>
        <w:tc>
          <w:tcPr>
            <w:tcW w:w="8320" w:type="dxa"/>
            <w:vAlign w:val="bottom"/>
            <w:gridSpan w:val="7"/>
          </w:tcPr>
          <w:p>
            <w:pPr>
              <w:spacing w:after="0"/>
              <w:rPr>
                <w:sz w:val="20"/>
                <w:szCs w:val="20"/>
                <w:color w:val="auto"/>
              </w:rPr>
            </w:pPr>
            <w:r>
              <w:rPr>
                <w:rFonts w:ascii="Arial" w:cs="Arial" w:eastAsia="Arial" w:hAnsi="Arial"/>
                <w:sz w:val="18"/>
                <w:szCs w:val="18"/>
                <w:color w:val="auto"/>
                <w:w w:val="96"/>
              </w:rPr>
              <w:t>June 30, 2015, which gives effect to the pro forma transactions described above and excludes the following:</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000" w:right="620" w:hanging="317"/>
        <w:spacing w:after="0" w:line="268"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2,234,519 shares of our common stock issuable upon the exercise of stock options outstanding as of June 30, 2015 under the 2007 Plan at a weighted-average exercise price of $4.96 per share;</w:t>
      </w:r>
    </w:p>
    <w:p>
      <w:pPr>
        <w:spacing w:after="0" w:line="51" w:lineRule="exact"/>
        <w:rPr>
          <w:sz w:val="20"/>
          <w:szCs w:val="20"/>
          <w:color w:val="auto"/>
        </w:rPr>
      </w:pPr>
    </w:p>
    <w:p>
      <w:pPr>
        <w:ind w:left="1000" w:right="500" w:hanging="323"/>
        <w:spacing w:after="0" w:line="259" w:lineRule="auto"/>
        <w:tabs>
          <w:tab w:leader="none" w:pos="980" w:val="left"/>
        </w:tabs>
        <w:rPr>
          <w:sz w:val="20"/>
          <w:szCs w:val="20"/>
          <w:color w:val="auto"/>
        </w:rPr>
      </w:pPr>
      <w:r>
        <w:rPr>
          <w:rFonts w:ascii="Arial" w:cs="Arial" w:eastAsia="Arial" w:hAnsi="Arial"/>
          <w:sz w:val="18"/>
          <w:szCs w:val="18"/>
          <w:color w:val="auto"/>
        </w:rPr>
        <w:t>•</w:t>
        <w:tab/>
        <w:t>shares of our common stock based upon shares of our common stock outstanding as of June 30, 2015 on a fully diluted basis immediately following this offering, issuable upon the exercise of the Bayer Warrant at an exercise price of $1.23 per share, which warrant is expected to remain outstanding upon completion of this offering;</w:t>
      </w:r>
    </w:p>
    <w:p>
      <w:pPr>
        <w:spacing w:after="0" w:line="59" w:lineRule="exact"/>
        <w:rPr>
          <w:sz w:val="20"/>
          <w:szCs w:val="20"/>
          <w:color w:val="auto"/>
        </w:rPr>
      </w:pPr>
    </w:p>
    <w:p>
      <w:pPr>
        <w:ind w:left="1000" w:right="60" w:hanging="317"/>
        <w:spacing w:after="0" w:line="259" w:lineRule="auto"/>
        <w:tabs>
          <w:tab w:leader="none" w:pos="15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our common stock (which includes 543,502 shares reserved for issuance under the 2007 Plan as of June 30, 2015) reserved for issuance under the 2015 Plan, which will become effective upon completion of this offering, as well as any future increases in the number of shares of our common stock reserved for issuance under the 2015 Plan; and</w:t>
      </w:r>
    </w:p>
    <w:p>
      <w:pPr>
        <w:spacing w:after="0" w:line="59" w:lineRule="exact"/>
        <w:rPr>
          <w:rFonts w:ascii="Arial" w:cs="Arial" w:eastAsia="Arial" w:hAnsi="Arial"/>
          <w:sz w:val="18"/>
          <w:szCs w:val="18"/>
          <w:color w:val="auto"/>
        </w:rPr>
      </w:pPr>
    </w:p>
    <w:p>
      <w:pPr>
        <w:ind w:left="1000" w:right="80" w:hanging="317"/>
        <w:spacing w:after="0" w:line="268" w:lineRule="auto"/>
        <w:tabs>
          <w:tab w:leader="none" w:pos="15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of our common stock reserved for issuance under the ESPP, which will become effective upon completion of this offering, as well as any future increases in the number of shares of our common stock reserved for issuance under the ESPP.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all our outstanding stock options had been exercised as of June 30, 2015, assuming the treasury stock method, our pro forma net tangible book value as</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of June 30, 2015 (calculated on the basis of the assumptions set forth above) would have been approximately $ million, or $ per share of our common stock, and the pro forma as adjusted net tangible book value would have been $ per share, representing dilution in our pro forma as adjusted net tangible book value to new investors of $ per share.</w:t>
      </w:r>
    </w:p>
    <w:p>
      <w:pPr>
        <w:spacing w:after="0" w:line="144"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we raise additional capital by issuing equity securities or convertible debt, your ownership will be further diluted.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Effective upon completion of this offering, shares of our common stock will be reserved for future issuance under our 2015 Plan and shares of our common stock will be reserved for future issuance under our ESPP, and the number of reserved shares under each such plan will also be subject to automatic annual increases in accordance with the terms of the plans. New awards that we may grant under our 2015 Plan or shares issued under our ESPP will further dilute investors purchasing common stock in this offering.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7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You should read the following selected consolidated financial data together with the information contained in the section titled “Management’s Discussion and Analysis of Financial Condition and Results of Operations” and our consolidated financial statements and the related notes, included elsewhere in this prospectus. We have derived the consolidated statements of operations data for the years ended December 31, 2013 and 2014 and the consolidated balance sheet data as of December 31, 2013 and 2014 from our audited consolidated financial statements, included elsewhere in this prospectus. The following consolidated statements of operations data for the six months ended June 30, 2014 and 2015 and the consolidated balance sheet data as of June 30, 2015, are derived from our unaudited interim condensed consolidated financial statements, included elsewhere in this prospectus. The unaudited interim condensed consolidated financial statements have been prepared on a basis consistent with our audited consolidated financial statements included elsewhere in this prospectus and include, in our opinion, all adjustments, consisting only of normal recurring adjustments, necessary for the fair statement of the financial information in those statements. Our historical results are not necessarily indicative of results to be expected for the full year or any period in the future.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7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License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3,208</w:t>
            </w: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10,175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7,011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3,296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8,571</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21,332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10,307</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(8,571)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(21,332)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(10,307)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income, net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(771)</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(1,943)</w:t>
            </w: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1,794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20"/>
              <w:spacing w:after="0"/>
              <w:rPr>
                <w:sz w:val="20"/>
                <w:szCs w:val="20"/>
                <w:color w:val="auto"/>
              </w:rPr>
            </w:pPr>
            <w:r>
              <w:rPr>
                <w:rFonts w:ascii="Arial" w:cs="Arial" w:eastAsia="Arial" w:hAnsi="Arial"/>
                <w:sz w:val="18"/>
                <w:szCs w:val="18"/>
                <w:color w:val="auto"/>
              </w:rPr>
              <w:t>Change in fair value of tranche liability</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income</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(5,600)</w:t>
            </w:r>
          </w:p>
        </w:tc>
        <w:tc>
          <w:tcPr>
            <w:tcW w:w="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(14,171)</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(19,828)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(8,508)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stockholders—basic and diluted</w:t>
            </w:r>
            <w:r>
              <w:rPr>
                <w:rFonts w:ascii="Arial" w:cs="Arial" w:eastAsia="Arial" w:hAnsi="Arial"/>
                <w:sz w:val="11"/>
                <w:szCs w:val="11"/>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0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(60,454)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(26,357)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w w:val="86"/>
              </w:rPr>
              <w:t>(11,746)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r>
              <w:rPr>
                <w:rFonts w:ascii="Arial" w:cs="Arial" w:eastAsia="Arial" w:hAnsi="Arial"/>
                <w:sz w:val="11"/>
                <w:szCs w:val="11"/>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(1,139.14)</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(362.38)</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(162.45)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2"/>
              </w:rPr>
              <w:t>Weighted-average common shares outstanding used to compute net loss per share attributable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to common stockholders—basic and diluted</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53,070</w:t>
            </w:r>
          </w:p>
        </w:tc>
        <w:tc>
          <w:tcPr>
            <w:tcW w:w="2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72,733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72"/>
              <w:spacing w:after="0"/>
              <w:rPr>
                <w:sz w:val="20"/>
                <w:szCs w:val="20"/>
                <w:color w:val="auto"/>
              </w:rPr>
            </w:pPr>
            <w:r>
              <w:rPr>
                <w:rFonts w:ascii="Arial" w:cs="Arial" w:eastAsia="Arial" w:hAnsi="Arial"/>
                <w:sz w:val="18"/>
                <w:szCs w:val="18"/>
                <w:color w:val="auto"/>
                <w:w w:val="94"/>
              </w:rPr>
              <w:t>72,306</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w w:val="93"/>
              </w:rPr>
              <w:t>Pro forma weighted-average common shares outstanding used to compute net loss per share</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0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attributable to common stockholders, basic and diluted</w:t>
            </w:r>
            <w:r>
              <w:rPr>
                <w:rFonts w:ascii="Arial" w:cs="Arial" w:eastAsia="Arial" w:hAnsi="Arial"/>
                <w:sz w:val="11"/>
                <w:szCs w:val="11"/>
                <w:color w:val="auto"/>
              </w:rPr>
              <w:t>(1)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w w:val="97"/>
              </w:rPr>
              <w:t>8,007,439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9,263,351</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56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0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20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and our unaudited interim condensed consolidated financial statements included elsewhere in this prospectus for an explanation of the method used to calculate the historical and pro forma net loss per share, basic and diluted, and the weighted-average number of shares used in the computation of the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As of June 30,</w:t>
            </w:r>
          </w:p>
        </w:tc>
      </w:tr>
      <w:tr>
        <w:trPr>
          <w:trHeight w:val="142"/>
        </w:trPr>
        <w:tc>
          <w:tcPr>
            <w:tcW w:w="460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31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r>
      <w:tr>
        <w:trPr>
          <w:trHeight w:val="142"/>
        </w:trPr>
        <w:tc>
          <w:tcPr>
            <w:tcW w:w="46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4520" w:type="dxa"/>
            <w:vAlign w:val="bottom"/>
            <w:gridSpan w:val="3"/>
          </w:tcPr>
          <w:p>
            <w:pPr>
              <w:jc w:val="right"/>
              <w:ind w:right="660"/>
              <w:spacing w:after="0"/>
              <w:rPr>
                <w:sz w:val="20"/>
                <w:szCs w:val="20"/>
                <w:color w:val="auto"/>
              </w:rPr>
            </w:pPr>
            <w:r>
              <w:rPr>
                <w:rFonts w:ascii="Arial" w:cs="Arial" w:eastAsia="Arial" w:hAnsi="Arial"/>
                <w:sz w:val="18"/>
                <w:szCs w:val="18"/>
                <w:color w:val="auto"/>
              </w:rPr>
              <w:t>$  14,126</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12,091</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45,419</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17,061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46,547</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14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1,449</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2,951</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3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14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5,960</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 liability</w:t>
            </w:r>
          </w:p>
        </w:tc>
        <w:tc>
          <w:tcPr>
            <w:tcW w:w="45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2,482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520" w:type="dxa"/>
            <w:vAlign w:val="bottom"/>
            <w:gridSpan w:val="3"/>
          </w:tcPr>
          <w:p>
            <w:pPr>
              <w:jc w:val="right"/>
              <w:ind w:right="660"/>
              <w:spacing w:after="0"/>
              <w:rPr>
                <w:sz w:val="20"/>
                <w:szCs w:val="20"/>
                <w:color w:val="auto"/>
              </w:rPr>
            </w:pPr>
            <w:r>
              <w:rPr>
                <w:rFonts w:ascii="Arial" w:cs="Arial" w:eastAsia="Arial" w:hAnsi="Arial"/>
                <w:sz w:val="18"/>
                <w:szCs w:val="18"/>
                <w:color w:val="auto"/>
              </w:rPr>
              <w:t>140,324</w:t>
            </w:r>
          </w:p>
        </w:tc>
        <w:tc>
          <w:tcPr>
            <w:tcW w:w="720" w:type="dxa"/>
            <w:vAlign w:val="bottom"/>
          </w:tcPr>
          <w:p>
            <w:pPr>
              <w:jc w:val="right"/>
              <w:spacing w:after="0"/>
              <w:rPr>
                <w:sz w:val="20"/>
                <w:szCs w:val="20"/>
                <w:color w:val="auto"/>
              </w:rPr>
            </w:pPr>
            <w:r>
              <w:rPr>
                <w:rFonts w:ascii="Arial" w:cs="Arial" w:eastAsia="Arial" w:hAnsi="Arial"/>
                <w:sz w:val="18"/>
                <w:szCs w:val="18"/>
                <w:color w:val="auto"/>
              </w:rPr>
              <w:t>146,853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205,588</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5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(135,707)</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(159,801)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(196,775)</w:t>
            </w:r>
          </w:p>
        </w:tc>
      </w:tr>
      <w:tr>
        <w:trPr>
          <w:trHeight w:val="222"/>
        </w:trPr>
        <w:tc>
          <w:tcPr>
            <w:tcW w:w="46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4520" w:type="dxa"/>
            <w:vAlign w:val="bottom"/>
            <w:gridSpan w:val="3"/>
          </w:tcPr>
          <w:p>
            <w:pPr>
              <w:jc w:val="right"/>
              <w:ind w:right="600"/>
              <w:spacing w:after="0"/>
              <w:rPr>
                <w:sz w:val="20"/>
                <w:szCs w:val="20"/>
                <w:color w:val="auto"/>
              </w:rPr>
            </w:pPr>
            <w:r>
              <w:rPr>
                <w:rFonts w:ascii="Arial" w:cs="Arial" w:eastAsia="Arial" w:hAnsi="Arial"/>
                <w:sz w:val="18"/>
                <w:szCs w:val="18"/>
                <w:color w:val="auto"/>
              </w:rPr>
              <w:t>(128,475)</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(152,569)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(189,551)</w:t>
            </w:r>
          </w:p>
        </w:tc>
      </w:tr>
      <w:tr>
        <w:trPr>
          <w:trHeight w:val="356"/>
        </w:trPr>
        <w:tc>
          <w:tcPr>
            <w:tcW w:w="4600" w:type="dxa"/>
            <w:vAlign w:val="bottom"/>
          </w:tcPr>
          <w:p>
            <w:pPr>
              <w:spacing w:after="0"/>
              <w:rPr>
                <w:sz w:val="24"/>
                <w:szCs w:val="24"/>
                <w:color w:val="auto"/>
              </w:rPr>
            </w:pPr>
          </w:p>
        </w:tc>
        <w:tc>
          <w:tcPr>
            <w:tcW w:w="3140" w:type="dxa"/>
            <w:vAlign w:val="bottom"/>
          </w:tcPr>
          <w:p>
            <w:pPr>
              <w:jc w:val="right"/>
              <w:ind w:right="1852"/>
              <w:spacing w:after="0"/>
              <w:rPr>
                <w:sz w:val="20"/>
                <w:szCs w:val="20"/>
                <w:color w:val="auto"/>
              </w:rPr>
            </w:pPr>
            <w:r>
              <w:rPr>
                <w:rFonts w:ascii="Arial" w:cs="Arial" w:eastAsia="Arial" w:hAnsi="Arial"/>
                <w:sz w:val="18"/>
                <w:szCs w:val="18"/>
                <w:color w:val="auto"/>
              </w:rPr>
              <w:t>58</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titled, “Selected Consolidated Financial Data,” and our consolidated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6"/>
          <w:szCs w:val="16"/>
          <w:color w:val="auto"/>
        </w:rPr>
        <w:t>We are a clinical stage biopharmaceutical company developing entinostat as a combination therapy in multiple cancer indications with our initial focus on tumors that have shown sensitivity to immunotherapy, including lung cancer, melanoma and triple negative breast cancer, or TNBC. Entinostat is our oral, small molecule drug candidate that has direct effects on both cancer cells and immune regulatory cells, potentially enhancing the body’s immune response to tumors.</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The favorable safety profile of entinostat has been demonstrated in clinical trials in more than 900 cancer patients. We are currently evaluating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in a Phase 1b/2 clinical trial for non-small cell lung cancer, or NSCLC, and melanoma, and we plan to initiate a Phase 1b/2 clinical trial for entinostat in combination with atezolizumab in TNBC in the beginning of 2016. We believe that, based on its mechanism of action, entinostat may have broad applications in additional tumor types, including head and neck, bladder and renal cell, which are immuno-responsive, or sensitive to immunotherapy.</w:t>
      </w:r>
    </w:p>
    <w:p>
      <w:pPr>
        <w:spacing w:after="0" w:line="14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product revenues from product sales to date, and we continue to incur significant research and development and other expenses related to our ongoing operations. As a result, we are not and have never been profitable and have incurred losses in each period since our inception in 2005. For the years ended December 31, 2013 and 2014 and the six months ended June 30, 2015, we reported a net loss of $14.2 million, $19.8 million and $11.1 million, respectively. As of June 30, 2015, we had an accumulated deficit of $196.8 million, which included non-cash charges for stock-based compensation, preferred stock accretion and extinguishment charges. As of August 24, 2015, we had cash, cash equivalents and short-term investments of $103.7 million.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 date, we have not generated any product revenues. Our ability to generate revenue and become profitable depends upon our ability to obtain marketing approval of and successfully commercialize our product candidate, entinostat.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revenues in 2015 have been derived from our license agreement with Kyowa Hakko Kirin Co., Ltd., or KHK, under which we granted KHK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exclusive license to develop and commercialize entinostat in Japan and Korea, or the KHK license agreement. In 2015, we received a $25.0 million upfront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 from KHK, inclusive of an equity investment, and to the extent certain development and commercial milestones are achieved, we will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million in milestone payments from KHK over the term of the KHK license agreement. Under the terms of the KHK license agreement, we are responsible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manufacture and supply of the product during the development activities and we are obligated to provide KHK with access to know-how and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information that we may develop over the life of the entinostat patent. We allocated $17.3 million of the upfront payment to the upfront license fee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that there are two units of accounting in connection with our obligations at inception under the KHK license agreement: (i) license unit of accounting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(ii) rights to additional intellectual property. The two deliverables identified above comprise the license unit of accounting. We concluded that the standalone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selling price for the rights to additional intellectual property unit of account is immaterial. As such, the entire $17.3 million allocated to the upfront license fee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allocated to the license unit of accounting. The arrangement consideration allocated to the license unit of accounting will be recognized as revenue ratably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our expected services period (currently expected to be through 2029) commencing on the date of the first delivery of the clinical trial materials,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occurred during the second quarter of 2015. The balance of the upfront payment of $7.7 million was allocated to KHK’s purchase of shares of our Series B-1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Since our inception, we have primarily focused on our clinical development programs. Research and development expenses consist primarily of costs incurred for the development of entinostat, which include:</w:t>
      </w:r>
    </w:p>
    <w:p>
      <w:pPr>
        <w:spacing w:after="0" w:line="172" w:lineRule="exact"/>
        <w:rPr>
          <w:sz w:val="20"/>
          <w:szCs w:val="20"/>
          <w:color w:val="auto"/>
        </w:rPr>
      </w:pPr>
    </w:p>
    <w:p>
      <w:pPr>
        <w:ind w:left="1000" w:right="180" w:hanging="317"/>
        <w:spacing w:after="0" w:line="26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expenses incurred under agreements related to our clinical trials, including the costs for investigative sites and contract research organizations, or CROs, that conduct our clinical trials;</w:t>
      </w:r>
    </w:p>
    <w:p>
      <w:pPr>
        <w:spacing w:after="0" w:line="50" w:lineRule="exact"/>
        <w:rPr>
          <w:rFonts w:ascii="Arial" w:cs="Arial" w:eastAsia="Arial" w:hAnsi="Arial"/>
          <w:sz w:val="18"/>
          <w:szCs w:val="18"/>
          <w:color w:val="auto"/>
        </w:rPr>
      </w:pPr>
    </w:p>
    <w:p>
      <w:pPr>
        <w:ind w:left="1000" w:right="300" w:hanging="317"/>
        <w:spacing w:after="0" w:line="268"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employee-related expenses related to our research and development activities, including salaries, benefits, travel and stock-based compensation expenses;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manufacturing process-development, clinical supplies and technology-transfer expenses;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license fees and milestone payments under our license agreements;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consulting fees paid to third parties;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allocated facilities and overhead expenses;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costs associated with regulatory operations and regulatory compliance requirements.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Internal and external research and development costs are expensed as they are incurred. Costs for certain development activities, such as clinical trials, are recognized based on an evaluation of the progress to completion of specific tasks using data such as patient enrollment, clinical site activations or other information provided to us by our vendors.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we expand the clinical development of entinostat, the amount of research and development expenses allocated to external spending will continue to grow, while we expect our internal spending to grow at a slower and more controlled pace. We have incurred a total of $66.2 million in research and development expenses from our inception through June 30, 2015.</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Conducting a significant amount of research and development is central to our business model. Drug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seek to complete the development of entinostat. The successful development of entinostat is highly uncertain. At this time, we cannot reasonably estimate the nature, timing or costs of the efforts that will be necessary to complete the remainder of the development of entinostat for the period, if any, in which material net cash inflows from these potential drug candidates may commence. Clinical development timelines, the probability of success and development costs can differ materially from expectations.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General and administrative expenses consist primarily of salaries and related benefits, including stock-based compensation, related to our executive, finance, business development and support functions. Other general and administrative expenses include facility-related costs not otherwise allocated to research and development expenses, travel expenses for our general and administrative personnel and professional fees for auditing, tax, and legal services. We anticipate that our general and administrative expenses will increase in future periods, reflecting both increased costs in connection with the potential future commercialization of entinostat, an expanding infrastructure and increased professional fees associated with being a public reporting company.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Selling and marketing expenses consist primarily of salaries and benefits for employees in the marketing, commercial and sales functions. Other significant expenses include professional and consulting fees related to these functions. Though we have incurred immaterial sales and marketing expenses to date as we continue primarily with the clinical development of our drug candidate programs, we expect to begin to incur increased selling and marketing expenses in anticipation of the commercialization of entinostat. These increased expenses will include payroll-related costs as we add employees in the commercial departments, costs related to the initiation and operation of our sales and distribution network and marketing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7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Interest income consists of interest income earned on our cash, cash equivalents and short-term investment balances. Interest expense consists of interest expense on amounts borrowed under our term loan facility, capital leases and convertible notes.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Common and Convertible Preferred Stock Warrant Liabilities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common and convertible preferred stock warrant liabilities are associated with warrants to purchase stock issued to lenders under our convertible notes and preferred stock financings and common stock warrants issued with license agreements. The change in fair value consists of the calculated change in value based upon the fair value of the underlying security at the end of each reporting period as calculated using the Black-Scholes option pricing model. Gains and losses arising from changes in fair value are recognized in other income (expense) in the consolidated statements of operations and comprehensive loss.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2014, we entered into a loan and security agreement consisting of a term loan facility that included a contingent liability that we determined to be a free-standing derivative. At each balance sheet date prior to its conversion or until the contingent liability is settled, we calculate the fair value of this right using a probability-weighted expected-return model, or PWERM. Gains and losses arising from changes in fair value are recognized in other income (expense)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Tranche Financing Liability</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2013, we entered into a Series B-1 preferred stock purchase agreement, dated March 8, 2013, as amended, or the Series B-1 financing, to sell shares to investors in tranches during the period from March 2013 through November 2013. The right to participate in the future tranches of the Series B-1 financing was determined to be a freestanding instrument. At the end of each reporting period, we determined the fair value of those rights using the Black-Scholes option pricing model. Gains and losses arising from changes in fair value are recognized in other income (expense)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or other standard setting bodies and adopted by us as of the specified effective date. Unless otherwise discussed in note 1 to our audited consolidated financial statements and our unaudited interim condensed consolidated financial statements included elsewhere in this prospectus, we believe that the impact of recently issued standards that are not yet effective will not have a material impact on our financial position or results of operations upon adoption.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Use of Estimates</w:t>
      </w:r>
    </w:p>
    <w:p>
      <w:pPr>
        <w:spacing w:after="0" w:line="171"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Our management’s discussion and analysis of financial condition and results of operations is based on our consolidated financial statements, which have been prepared in accordance with accounting principles generally accepted in the United States, or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w:t>
      </w:r>
    </w:p>
    <w:p>
      <w:pPr>
        <w:spacing w:after="0" w:line="118"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While our significant accounting policies are more fully described in Note 1 to our consolidated financial statements and our condensed consolidated financial statements included elsewhere in this prospectus, we believe that the following accounting policies are critical to the process of making significant judgments and estimates in the preparation of our consolidated financial statements and understanding and evaluating our reported financial results.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generated revenue through license fees for the development and commercialization our product candidate, entinostat. We make judgments that affect the periods over which we recognize revenue. We recognize revenue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we identify the deliverables included within the agreement and evaluate which deliverables represent separate units of accounting based on the achievement of certain criteria including whether the deliverable has stand-alone value to the collaborator. Upfront payments received in connection with licenses of our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We periodically review our estimated periods of performance based on the progress under each arrangement and account for the impact of any changes in estimated periods of performance on a prospective basis.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in our consolidated financial statements based on facts and circumstances known to us at that time. Examples of estimated accrued research and development expenses include fees paid to CROs and investigative sites in connection with clinical studies and to vendors related to product manufacturing and development of clinical supplies.</w:t>
      </w:r>
    </w:p>
    <w:p>
      <w:pPr>
        <w:spacing w:after="0" w:line="11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760" w:firstLine="456"/>
        <w:spacing w:after="0" w:line="370" w:lineRule="auto"/>
        <w:rPr>
          <w:sz w:val="20"/>
          <w:szCs w:val="20"/>
          <w:color w:val="auto"/>
        </w:rPr>
      </w:pPr>
      <w:r>
        <w:rPr>
          <w:rFonts w:ascii="Arial" w:cs="Arial" w:eastAsia="Arial" w:hAnsi="Arial"/>
          <w:sz w:val="15"/>
          <w:szCs w:val="15"/>
          <w:color w:val="auto"/>
        </w:rPr>
        <w:t xml:space="preserve">We issue stock-based awards to employees and non-employees, generally in the form of stock options. We account for our stock-based awards in accordance with FASB Accounting Standards Codification, or 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or ASC 718. ASC 718 requires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all stock-based payments to employees, including grants of employee stock options and modifications to existing stock options, to be recognized in the consolidated statements of operations and comprehensive loss based on their fair values. We account for stock-based awards to non-employees in accordance with FASB ASC 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the fair value of the award to be re-measured at fair value as the award vests. We recognize the compensation cost of stock-based awards on a straight-line basis over the vesting period of the award for employees and non-employees, which is generally four years. Compensation expense related to our stock-based awards is subject to a number of estimates, including the estimated volatility and underlying fair value of our common stock as well as the estimated life of the awards. For a detailed description of how we estimate fair value for purposes of option grants and the methodology used in measuring stock-based compensation expense, see “Stock-Based Compensation and Common Stock Valuations” below. Following the completion of this offering, stock option values will be determined based on the market price of our common stock on the NASDAQ Global Market.</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We have recorded common and convertible preferred stock warrants issued to investors and note holders and common stock warrants issued in connection with license agreements as derivative financial liabilities. These warrants were initially recorded at fair value with gains and losses arising from changes in fair value recognized in the consolidated statements of operations and comprehensive loss at each period end while such instruments are outstanding. The liabilities were valued using a Black-Scholes option-pricing model. The significant assumptions used in estimating the fair value of our warrant liabilities include the exercise price, volatility of the stock underlying the warrant, risk-free interest rate, estimated fair value of the stock underlying the warrant, and the estimated life of the warrant. With the exception of the Bayer common stock warrant, the common and convertible preferred stock warrants issued to investors and note holders were canceled in connection with the first tranche of the Series B-1 financing in March 2013, and the liabilities were de-recognized on that date.</w:t>
      </w:r>
    </w:p>
    <w:p>
      <w:pPr>
        <w:spacing w:after="0" w:line="105"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determined that our obligation to issue, and our investors’ obligation to purchase, additional shares of Series B-1 convertible preferred stock represented a freestanding instrument. The freestanding tranche liability was initially recorded at fair value, with gains and losses arising from changes in fair value recognized in other income (expense) in the consolidated statements of operations and comprehensive loss at each period end while such instruments were outstanding. The liabilities were valued using a Black-Scholes option pricing model. The significant assumptions used in estimating the fair value of our tranche liabilities included the exercise price, volatility of the stock underlying the liability, risk-free interest rate, estimated fair value of the stock, and the estimated life of the right. Upon the closing of the final tranche of the Series B-1 financing in November 2013, we de-recognized the tranche obligation, which resulted in a net increase in the proceeds allocated to the shares of Series B-1 convertible preferred stock of $7.0 million. The fair value of the remaining tranche obligations was re-measured just prior to the closing and as a result of the changes in the fair value of the tranche obligations, we recorded an aggregate of $3.1 million to other income (expense) in the consolidated statements of operations and comprehensive loss during the year ended December 31, 2013.</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In 2014, we recorded a derivative liability related to the 2014 term loans for the contingent success fee owed upon the occurrence of an initial public offering, or IPO, or other change of control events. The estimated fair value was determined using a PWERM approach. The fair value of the derivative will be re-measured at each balance sheet date until the liability is settled and any changes in the fair value of the derivative liability will be recorded in other income (expense) in the consolidated statements of operations and comprehensive loss.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Common Stock Valuations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We estimate the fair value of our stock-based awards to employees and non-employees using the Black-Scholes option pricing model, which requires the input of highly subjective assumptions, including (a) the expected volatility of our stock, (b) the expected term of the award, (c) the risk-free interest rate</w:t>
      </w:r>
    </w:p>
    <w:p>
      <w:pPr>
        <w:ind w:right="80" w:firstLine="8"/>
        <w:spacing w:after="0" w:line="287" w:lineRule="auto"/>
        <w:tabs>
          <w:tab w:leader="none" w:pos="249"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dividends and (e) the fair value of our common stock on the date of grant. Due to the lack of a public market for the trading of our common stock and a lack of company-specific historical and implied volatility data, we have based our estimates of expected volatility on the historical volatility of a group of publicly traded companies in the life sciences and biotechnology industries generally in a similar stage of development as ourselves. For these analyses, we have selected companies that we consider broadly comparable to our company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will continue to apply this methodology until a sufficient amount of historical information regarding the volatility of our own stock price becomes available. For options granted to employees in 2013, 2014 and 2015, we determined the expected term based on an average of expected terms used by a peer group of similar public companies. The risk-free interest rates for periods within the expected life of the option are based on the U.S. Treasury yield curve in effect during the period the options were granted.</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are also required to estimate forfeitures at the time of grant and revise estimates in subsequent periods if actual forfeitures differ from estimates. We use historical data to estimate pre-vesting option forfeitures and record stock-based compensation expense only for those awards that are expected to vest. To the extent that actual forfeitures differ from our estimates, the difference is recorded as a cumulative adjustment in the period the estimates were revised. Stock-based compensation expense recognized in the consolidated financial statements is based on awards that are ultimately expected to vest.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computed the fair value of employee and non-employee stock options at date of grant using the following weighted-average assumptions: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26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Years Ended</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7240" w:type="dxa"/>
            <w:vAlign w:val="bottom"/>
          </w:tcPr>
          <w:p>
            <w:pPr>
              <w:spacing w:after="0"/>
              <w:rPr>
                <w:sz w:val="14"/>
                <w:szCs w:val="14"/>
                <w:color w:val="auto"/>
              </w:rPr>
            </w:pPr>
          </w:p>
        </w:tc>
        <w:tc>
          <w:tcPr>
            <w:tcW w:w="12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87"/>
              </w:rPr>
              <w:t>December 31,</w:t>
            </w:r>
          </w:p>
        </w:tc>
        <w:tc>
          <w:tcPr>
            <w:tcW w:w="4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2014</w:t>
            </w:r>
          </w:p>
        </w:tc>
        <w:tc>
          <w:tcPr>
            <w:tcW w:w="6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Volatility rate</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70.36%</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72.26%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69.88%</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1.91%</w:t>
            </w:r>
          </w:p>
        </w:tc>
        <w:tc>
          <w:tcPr>
            <w:tcW w:w="116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1.90%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w:t>
            </w:r>
          </w:p>
        </w:tc>
      </w:tr>
      <w:tr>
        <w:trPr>
          <w:trHeight w:val="222"/>
        </w:trPr>
        <w:tc>
          <w:tcPr>
            <w:tcW w:w="72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0.00%</w:t>
            </w:r>
          </w:p>
        </w:tc>
        <w:tc>
          <w:tcPr>
            <w:tcW w:w="1160" w:type="dxa"/>
            <w:vAlign w:val="bottom"/>
            <w:gridSpan w:val="2"/>
          </w:tcPr>
          <w:p>
            <w:pPr>
              <w:jc w:val="right"/>
              <w:ind w:right="392"/>
              <w:spacing w:after="0"/>
              <w:rPr>
                <w:sz w:val="20"/>
                <w:szCs w:val="20"/>
                <w:color w:val="auto"/>
              </w:rPr>
            </w:pPr>
            <w:r>
              <w:rPr>
                <w:rFonts w:ascii="Arial" w:cs="Arial" w:eastAsia="Arial" w:hAnsi="Arial"/>
                <w:sz w:val="18"/>
                <w:szCs w:val="18"/>
                <w:color w:val="auto"/>
              </w:rPr>
              <w:t>0.00%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for employees and non-employees was allocated as outlined below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Years Ended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82"/>
              </w:rPr>
              <w:t>June 30,</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w w:val="89"/>
              </w:rPr>
              <w:t>2013</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w w:val="76"/>
              </w:rPr>
              <w:t>2014</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6"/>
              </w:rPr>
              <w:t>268</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1,089</w:t>
            </w: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w w:val="86"/>
              </w:rPr>
              <w:t>695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1,415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963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860" w:type="dxa"/>
            <w:vAlign w:val="bottom"/>
            <w:vMerge w:val="restart"/>
          </w:tcPr>
          <w:p>
            <w:pPr>
              <w:jc w:val="right"/>
              <w:ind w:right="1732"/>
              <w:spacing w:after="0"/>
              <w:rPr>
                <w:sz w:val="20"/>
                <w:szCs w:val="20"/>
                <w:color w:val="auto"/>
              </w:rPr>
            </w:pPr>
            <w:r>
              <w:rPr>
                <w:rFonts w:ascii="Arial" w:cs="Arial" w:eastAsia="Arial" w:hAnsi="Arial"/>
                <w:sz w:val="18"/>
                <w:szCs w:val="18"/>
                <w:color w:val="auto"/>
              </w:rPr>
              <w:t>65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As of June 30, 2015, total unrecognized compensation expense was $5.3 million, net of related forfeiture estimates; and the weighted-average remaining requisite service period was 3.49 years. We expect the impact of our stock-based compensation expense for stock options granted to employees and non-employees to grow in future periods due to the potential increases in the value of our common stock and in headcount.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are a private company with no public market for our common stock. Therefore, our board of directors determines the fair value of our common stock considering, in part, the work of an independent third-party valuation specialist. The valuations were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also known as the Practice Aid. In conducting these valuations, our board of directors considered all objective and subjective factors that it believed to be relevant, including its and management’s best estimates of our business condition, prospects and operating performance at each grant date. The valuations, assumptions and methodologies included, among other things:</w:t>
      </w:r>
    </w:p>
    <w:p>
      <w:pPr>
        <w:spacing w:after="0" w:line="185" w:lineRule="exact"/>
        <w:rPr>
          <w:sz w:val="20"/>
          <w:szCs w:val="20"/>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recent contemporaneous third-party valuations prepared in accordance with methodologies outlined in the Practice Aid;</w:t>
      </w:r>
    </w:p>
    <w:p>
      <w:pPr>
        <w:spacing w:after="0" w:line="90" w:lineRule="exact"/>
        <w:rPr>
          <w:rFonts w:ascii="Arial" w:cs="Arial" w:eastAsia="Arial" w:hAnsi="Arial"/>
          <w:sz w:val="18"/>
          <w:szCs w:val="18"/>
          <w:color w:val="auto"/>
        </w:rPr>
      </w:pPr>
    </w:p>
    <w:p>
      <w:pPr>
        <w:ind w:left="1000" w:right="260" w:hanging="317"/>
        <w:spacing w:after="0" w:line="332"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prices of our convertible preferred stock sold to investors in arm’s length transactions and the rights, preferences and privileges of our convertible preferred stock as compared to those of our common stock, including the liquidation preferences of our convertible preferred stock;</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results of operations, financial position and the status of research and development efforts;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lack of liquidity of our common stock as a private company;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stage of development and business strategy and the material risks related to our business and industry;</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composition of, and changes to, our management team and board of directors;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achievement of enterprise milestones, including entering into collaboration and license agreements;</w:t>
      </w:r>
    </w:p>
    <w:p>
      <w:pPr>
        <w:spacing w:after="0" w:line="90" w:lineRule="exact"/>
        <w:rPr>
          <w:rFonts w:ascii="Arial" w:cs="Arial" w:eastAsia="Arial" w:hAnsi="Arial"/>
          <w:sz w:val="18"/>
          <w:szCs w:val="18"/>
          <w:color w:val="auto"/>
        </w:rPr>
      </w:pPr>
    </w:p>
    <w:p>
      <w:pPr>
        <w:ind w:left="1000" w:right="260" w:hanging="317"/>
        <w:spacing w:after="0" w:line="268"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valuation of comparable publicly traded companies in the life science and biotechnology sectors, as well as recently completed mergers and acquisitions of peer companies;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likelihood of achieving a liquidity event for our stockholders, such as an IPO or a sale of our company, given prevailing market conditions; and</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external market conditions affecting the life science and biotechnology sectors.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There are significant judgments and estimates inherent in the determination of the fair value of our common stock. These judgments and estimates include assumptions regarding our future operating performance, the time to completing an IPO or other liquidity event and the determinations of the appropriate valuation methods. If we had made different assumptions, our stock-based compensation expense, net loss and net loss per common share could have been significantly different. The valuations are highly complex and subjective.</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40"/>
          </w:cols>
          <w:pgMar w:left="240" w:top="459" w:right="3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Valuation Methodologies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valuing our common stock, we used the market approach, which is based on the assumption that the value of an asset is equal to the value of a substitute asset with the same characteristics. The following market approaches were utilized in our valuations:</w:t>
      </w:r>
    </w:p>
    <w:p>
      <w:pPr>
        <w:spacing w:after="0" w:line="166" w:lineRule="exact"/>
        <w:rPr>
          <w:sz w:val="20"/>
          <w:szCs w:val="20"/>
          <w:color w:val="auto"/>
        </w:rPr>
      </w:pPr>
    </w:p>
    <w:p>
      <w:pPr>
        <w:ind w:left="1000" w:right="120" w:hanging="317"/>
        <w:spacing w:after="0" w:line="275"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Guideline Public Company Method</w:t>
      </w:r>
      <w:r>
        <w:rPr>
          <w:rFonts w:ascii="Arial" w:cs="Arial" w:eastAsia="Arial" w:hAnsi="Arial"/>
          <w:sz w:val="18"/>
          <w:szCs w:val="18"/>
          <w:color w:val="auto"/>
        </w:rPr>
        <w:t>. The guideline public company market approach estimates the value of a business by comparing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 comparable publicly traded companies.</w:t>
      </w:r>
    </w:p>
    <w:p>
      <w:pPr>
        <w:spacing w:after="0" w:line="38" w:lineRule="exact"/>
        <w:rPr>
          <w:rFonts w:ascii="Arial" w:cs="Arial" w:eastAsia="Arial" w:hAnsi="Arial"/>
          <w:sz w:val="18"/>
          <w:szCs w:val="18"/>
          <w:color w:val="auto"/>
        </w:rPr>
      </w:pPr>
    </w:p>
    <w:p>
      <w:pPr>
        <w:ind w:left="1000" w:right="620" w:hanging="317"/>
        <w:spacing w:after="0" w:line="275"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Precedent Transaction Method</w:t>
      </w:r>
      <w:r>
        <w:rPr>
          <w:rFonts w:ascii="Arial" w:cs="Arial" w:eastAsia="Arial" w:hAnsi="Arial"/>
          <w:sz w:val="18"/>
          <w:szCs w:val="18"/>
          <w:color w:val="auto"/>
        </w:rPr>
        <w:t>. The precedent transaction market approach estimates the value of a business based on the utilization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own relevant stock transactions.</w:t>
      </w:r>
    </w:p>
    <w:p>
      <w:pPr>
        <w:spacing w:after="0" w:line="12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accordance with the Practice Aid, we considered the various methods for allocating the enterprise value across our classes and series of capital stock to determine the fair value of our common stock at each valuation date. We selected the PWERM approach to allocate the equity value among the various share classes given our stage of development, the availability of relevant data and our expectation that we are able to forecast distinct future liquidity scenarios as of each valuation date. Under the PWERM approach, share value is derived from the probability-weighted present value of expected future investment returns, considering each of the possible outcomes available to us, as well as the economic and control rights of each share class. For each valuation, the fair value of our common stock was estimated using a probability-weighted analysis of the present value of the returns afforded to our common stockholders under several future exit or liquidity event scenarios, including (1) an IPO, (2) a trade sale of our company at a high premium to the cumulative amounts invested by our convertible preferred stock investors, or trade sale high, (3) a trade sale of our company at a lesser premium to the cumulative amounts invested by convertible preferred stock investors, or trade sale low and (4) a trade sale of our company at a value below the cumulative amounts invested by convertible preferred stock investors, or trade sale below liquidation preference.</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After the projected equity value in each scenario was allocated to the various share classes, we calculated the present value of each share class using an appropriate risk-adjusted discount rate based on consideration of the venture capital rates of return detailed in the Practice Aid and an analysis of other quantitative and qualitative factors considered pertinent to estimating the discount rate. Next, we applied a discount for lack of marketability to our common shares because we were valuing a minority interest in our company as a closely held, non-public company with no liquid market for its shares. The discount for lack of marketability was based on quantitative models (protective put option calculation), as well as empirical studies of restricted stock issued by publicly traded companies and private placements by pre-IPO companies. We also considered the rights and privileges of our convertible preferred stock relative to our common stock, including anti-dilution protection, cumulative dividend rights, protective provisions in our certificate of incorporation and rights to participate in future rounds of financing. Finally, we assigned a probability weighting to each scenario based on our estimate of the likelihood of occurrence, as of each valuation date. In each case the future projected enterprise values were based on a review of both guideline IPO and M&amp;A transactions involving life science and biotechnology companies that we considered broadly comparable to our company.</w:t>
      </w:r>
    </w:p>
    <w:p>
      <w:pPr>
        <w:spacing w:after="0" w:line="12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on the date of grant, as reported on the NASDAQ Global Market.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options granted from January 1, 2014 through August 24, 2015: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80" w:type="dxa"/>
            <w:vAlign w:val="bottom"/>
            <w:gridSpan w:val="2"/>
          </w:tcPr>
          <w:p>
            <w:pPr>
              <w:jc w:val="center"/>
              <w:ind w:right="364"/>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8"/>
              </w:rPr>
              <w:t>Common</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Intrinsic</w:t>
            </w:r>
          </w:p>
        </w:tc>
      </w:tr>
      <w:tr>
        <w:trPr>
          <w:trHeight w:val="149"/>
        </w:trPr>
        <w:tc>
          <w:tcPr>
            <w:tcW w:w="654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1"/>
              </w:rPr>
              <w:t>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Exercise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49"/>
        </w:trPr>
        <w:tc>
          <w:tcPr>
            <w:tcW w:w="654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Price Per</w:t>
            </w:r>
          </w:p>
        </w:tc>
        <w:tc>
          <w:tcPr>
            <w:tcW w:w="3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Fair Value</w:t>
            </w:r>
          </w:p>
        </w:tc>
        <w:tc>
          <w:tcPr>
            <w:tcW w:w="6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Per Common</w:t>
            </w:r>
          </w:p>
        </w:tc>
      </w:tr>
      <w:tr>
        <w:trPr>
          <w:trHeight w:val="149"/>
        </w:trPr>
        <w:tc>
          <w:tcPr>
            <w:tcW w:w="6540" w:type="dxa"/>
            <w:vAlign w:val="bottom"/>
          </w:tcPr>
          <w:p>
            <w:pPr>
              <w:spacing w:after="0"/>
              <w:rPr>
                <w:sz w:val="12"/>
                <w:szCs w:val="12"/>
                <w:color w:val="auto"/>
              </w:rPr>
            </w:pPr>
          </w:p>
        </w:tc>
        <w:tc>
          <w:tcPr>
            <w:tcW w:w="1080" w:type="dxa"/>
            <w:vAlign w:val="bottom"/>
            <w:gridSpan w:val="2"/>
          </w:tcPr>
          <w:p>
            <w:pPr>
              <w:jc w:val="center"/>
              <w:ind w:right="364"/>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3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Per Common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Share at</w:t>
            </w:r>
          </w:p>
        </w:tc>
      </w:tr>
      <w:tr>
        <w:trPr>
          <w:trHeight w:val="161"/>
        </w:trPr>
        <w:tc>
          <w:tcPr>
            <w:tcW w:w="6540" w:type="dxa"/>
            <w:vAlign w:val="bottom"/>
          </w:tcPr>
          <w:p>
            <w:pPr>
              <w:spacing w:after="0"/>
              <w:rPr>
                <w:sz w:val="14"/>
                <w:szCs w:val="14"/>
                <w:color w:val="auto"/>
              </w:rPr>
            </w:pPr>
          </w:p>
        </w:tc>
        <w:tc>
          <w:tcPr>
            <w:tcW w:w="108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w w:val="89"/>
              </w:rPr>
              <w:t>Granted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Share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14"/>
              <w:spacing w:after="0"/>
              <w:rPr>
                <w:sz w:val="20"/>
                <w:szCs w:val="20"/>
                <w:color w:val="auto"/>
              </w:rPr>
            </w:pPr>
            <w:r>
              <w:rPr>
                <w:rFonts w:ascii="Arial" w:cs="Arial" w:eastAsia="Arial" w:hAnsi="Arial"/>
                <w:sz w:val="14"/>
                <w:szCs w:val="14"/>
                <w:b w:val="1"/>
                <w:bCs w:val="1"/>
                <w:color w:val="auto"/>
                <w:w w:val="97"/>
              </w:rPr>
              <w:t>Share</w:t>
            </w:r>
          </w:p>
        </w:tc>
        <w:tc>
          <w:tcPr>
            <w:tcW w:w="62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Grant Date</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January 23,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107,854</w:t>
            </w:r>
          </w:p>
        </w:tc>
        <w:tc>
          <w:tcPr>
            <w:tcW w:w="42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1"/>
                <w:szCs w:val="11"/>
                <w:color w:val="auto"/>
                <w:w w:val="88"/>
              </w:rPr>
              <w:t>(1)</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February 4, 2014</w:t>
            </w:r>
          </w:p>
        </w:tc>
        <w:tc>
          <w:tcPr>
            <w:tcW w:w="1080" w:type="dxa"/>
            <w:vAlign w:val="bottom"/>
            <w:gridSpan w:val="2"/>
          </w:tcPr>
          <w:p>
            <w:pPr>
              <w:jc w:val="right"/>
              <w:ind w:right="224"/>
              <w:spacing w:after="0"/>
              <w:rPr>
                <w:sz w:val="20"/>
                <w:szCs w:val="20"/>
                <w:color w:val="auto"/>
              </w:rPr>
            </w:pPr>
            <w:r>
              <w:rPr>
                <w:rFonts w:ascii="Arial" w:cs="Arial" w:eastAsia="Arial" w:hAnsi="Arial"/>
                <w:sz w:val="18"/>
                <w:szCs w:val="18"/>
                <w:color w:val="auto"/>
                <w:w w:val="99"/>
              </w:rPr>
              <w:t>108,263</w:t>
            </w:r>
            <w:r>
              <w:rPr>
                <w:rFonts w:ascii="Arial" w:cs="Arial" w:eastAsia="Arial" w:hAnsi="Arial"/>
                <w:sz w:val="11"/>
                <w:szCs w:val="11"/>
                <w:color w:val="auto"/>
                <w:w w:val="99"/>
              </w:rPr>
              <w:t>(1)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16.85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16.85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February 25, 2014</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14,242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0.00123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September 4, 2014</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rPr>
              <w:t>488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September 15, 2014</w:t>
            </w:r>
          </w:p>
        </w:tc>
        <w:tc>
          <w:tcPr>
            <w:tcW w:w="1080" w:type="dxa"/>
            <w:vAlign w:val="bottom"/>
            <w:gridSpan w:val="2"/>
            <w:shd w:val="clear" w:color="auto" w:fill="CCEEFF"/>
          </w:tcPr>
          <w:p>
            <w:pPr>
              <w:jc w:val="right"/>
              <w:ind w:right="224"/>
              <w:spacing w:after="0"/>
              <w:rPr>
                <w:sz w:val="20"/>
                <w:szCs w:val="20"/>
                <w:color w:val="auto"/>
              </w:rPr>
            </w:pPr>
            <w:r>
              <w:rPr>
                <w:rFonts w:ascii="Arial" w:cs="Arial" w:eastAsia="Arial" w:hAnsi="Arial"/>
                <w:sz w:val="18"/>
                <w:szCs w:val="18"/>
                <w:color w:val="auto"/>
                <w:w w:val="99"/>
              </w:rPr>
              <w:t>331,857</w:t>
            </w:r>
            <w:r>
              <w:rPr>
                <w:rFonts w:ascii="Arial" w:cs="Arial" w:eastAsia="Arial" w:hAnsi="Arial"/>
                <w:sz w:val="11"/>
                <w:szCs w:val="11"/>
                <w:color w:val="auto"/>
                <w:w w:val="99"/>
              </w:rPr>
              <w:t>(2)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December 18, 2014</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w w:val="98"/>
              </w:rPr>
              <w:t>128,847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5.08</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5.08</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June 1, 2015</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98"/>
              </w:rPr>
              <w:t>558,576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June 1, 2015</w:t>
            </w:r>
          </w:p>
        </w:tc>
        <w:tc>
          <w:tcPr>
            <w:tcW w:w="1080" w:type="dxa"/>
            <w:vAlign w:val="bottom"/>
            <w:gridSpan w:val="2"/>
          </w:tcPr>
          <w:p>
            <w:pPr>
              <w:jc w:val="right"/>
              <w:ind w:right="224"/>
              <w:spacing w:after="0"/>
              <w:rPr>
                <w:sz w:val="20"/>
                <w:szCs w:val="20"/>
                <w:color w:val="auto"/>
              </w:rPr>
            </w:pPr>
            <w:r>
              <w:rPr>
                <w:rFonts w:ascii="Arial" w:cs="Arial" w:eastAsia="Arial" w:hAnsi="Arial"/>
                <w:sz w:val="18"/>
                <w:szCs w:val="18"/>
                <w:color w:val="auto"/>
              </w:rPr>
              <w:t>14,242</w:t>
            </w:r>
            <w:r>
              <w:rPr>
                <w:rFonts w:ascii="Arial" w:cs="Arial" w:eastAsia="Arial" w:hAnsi="Arial"/>
                <w:sz w:val="11"/>
                <w:szCs w:val="11"/>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0.00123</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5.76</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June 30, 2015</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98"/>
              </w:rPr>
              <w:t>685,280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August 18, 2015</w:t>
            </w:r>
          </w:p>
        </w:tc>
        <w:tc>
          <w:tcPr>
            <w:tcW w:w="1080" w:type="dxa"/>
            <w:vAlign w:val="bottom"/>
            <w:gridSpan w:val="2"/>
          </w:tcPr>
          <w:p>
            <w:pPr>
              <w:jc w:val="right"/>
              <w:ind w:right="364"/>
              <w:spacing w:after="0"/>
              <w:rPr>
                <w:sz w:val="20"/>
                <w:szCs w:val="20"/>
                <w:color w:val="auto"/>
              </w:rPr>
            </w:pPr>
            <w:r>
              <w:rPr>
                <w:rFonts w:ascii="Arial" w:cs="Arial" w:eastAsia="Arial" w:hAnsi="Arial"/>
                <w:sz w:val="18"/>
                <w:szCs w:val="18"/>
                <w:color w:val="auto"/>
                <w:w w:val="98"/>
              </w:rPr>
              <w:t>308,100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5.76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August 20, 2015</w:t>
            </w:r>
          </w:p>
        </w:tc>
        <w:tc>
          <w:tcPr>
            <w:tcW w:w="108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220" w:hanging="452"/>
        <w:spacing w:after="0" w:line="253"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September 15, 2014, 331,857 options with exercise prices ranging from $12.30 to $38.13, including all of the options issued on January 23, 2014 and February 4, 2014, were canceled in connection with an option exchange program with existing option holders for an aggregate 331,857 options priced at $5.05.</w:t>
      </w: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These options were granted in connection with an option exchange program with existing option holders.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option was granted as a replacement option for the option granted on February 25, 2014, which expired on December 31, 2014.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20" w:type="dxa"/>
            <w:vAlign w:val="bottom"/>
            <w:gridSpan w:val="2"/>
          </w:tcPr>
          <w:p>
            <w:pPr>
              <w:ind w:left="440"/>
              <w:spacing w:after="0"/>
              <w:rPr>
                <w:sz w:val="20"/>
                <w:szCs w:val="20"/>
                <w:color w:val="auto"/>
              </w:rPr>
            </w:pPr>
            <w:r>
              <w:rPr>
                <w:rFonts w:ascii="Arial" w:cs="Arial" w:eastAsia="Arial" w:hAnsi="Arial"/>
                <w:sz w:val="18"/>
                <w:szCs w:val="18"/>
                <w:color w:val="auto"/>
                <w:w w:val="89"/>
              </w:rPr>
              <w:t>The intrinsic value of all outstanding options as of June 30, 2015 was $</w:t>
            </w:r>
          </w:p>
        </w:tc>
        <w:tc>
          <w:tcPr>
            <w:tcW w:w="5060" w:type="dxa"/>
            <w:vAlign w:val="bottom"/>
            <w:gridSpan w:val="12"/>
          </w:tcPr>
          <w:p>
            <w:pPr>
              <w:jc w:val="right"/>
              <w:ind w:right="20"/>
              <w:spacing w:after="0"/>
              <w:rPr>
                <w:sz w:val="20"/>
                <w:szCs w:val="20"/>
                <w:color w:val="auto"/>
              </w:rPr>
            </w:pPr>
            <w:r>
              <w:rPr>
                <w:rFonts w:ascii="Arial" w:cs="Arial" w:eastAsia="Arial" w:hAnsi="Arial"/>
                <w:sz w:val="18"/>
                <w:szCs w:val="18"/>
                <w:color w:val="auto"/>
                <w:w w:val="95"/>
              </w:rPr>
              <w:t>million based on the estimated fair value of our common stock of $</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16"/>
        </w:trPr>
        <w:tc>
          <w:tcPr>
            <w:tcW w:w="8520" w:type="dxa"/>
            <w:vAlign w:val="bottom"/>
            <w:gridSpan w:val="7"/>
          </w:tcPr>
          <w:p>
            <w:pPr>
              <w:spacing w:after="0"/>
              <w:rPr>
                <w:sz w:val="20"/>
                <w:szCs w:val="20"/>
                <w:color w:val="auto"/>
              </w:rPr>
            </w:pPr>
            <w:r>
              <w:rPr>
                <w:rFonts w:ascii="Arial" w:cs="Arial" w:eastAsia="Arial" w:hAnsi="Arial"/>
                <w:sz w:val="18"/>
                <w:szCs w:val="18"/>
                <w:color w:val="auto"/>
                <w:w w:val="89"/>
              </w:rPr>
              <w:t>share, the midpoint of the estimated price range set forth on the cover page of this prospectus, of which approximately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8"/>
          </w:tcPr>
          <w:p>
            <w:pPr>
              <w:jc w:val="right"/>
              <w:ind w:right="20"/>
              <w:spacing w:after="0"/>
              <w:rPr>
                <w:sz w:val="20"/>
                <w:szCs w:val="20"/>
                <w:color w:val="auto"/>
              </w:rPr>
            </w:pPr>
            <w:r>
              <w:rPr>
                <w:rFonts w:ascii="Arial" w:cs="Arial" w:eastAsia="Arial" w:hAnsi="Arial"/>
                <w:sz w:val="18"/>
                <w:szCs w:val="18"/>
                <w:color w:val="auto"/>
                <w:w w:val="94"/>
              </w:rPr>
              <w:t>million related to vested options and</w:t>
            </w:r>
          </w:p>
        </w:tc>
        <w:tc>
          <w:tcPr>
            <w:tcW w:w="0" w:type="dxa"/>
            <w:vAlign w:val="bottom"/>
          </w:tcPr>
          <w:p>
            <w:pPr>
              <w:spacing w:after="0"/>
              <w:rPr>
                <w:sz w:val="1"/>
                <w:szCs w:val="1"/>
                <w:color w:val="auto"/>
              </w:rPr>
            </w:pPr>
          </w:p>
        </w:tc>
      </w:tr>
      <w:tr>
        <w:trPr>
          <w:trHeight w:val="222"/>
        </w:trPr>
        <w:tc>
          <w:tcPr>
            <w:tcW w:w="1520" w:type="dxa"/>
            <w:vAlign w:val="bottom"/>
            <w:gridSpan w:val="2"/>
          </w:tcPr>
          <w:p>
            <w:pPr>
              <w:spacing w:after="0"/>
              <w:rPr>
                <w:sz w:val="20"/>
                <w:szCs w:val="20"/>
                <w:color w:val="auto"/>
              </w:rPr>
            </w:pPr>
            <w:r>
              <w:rPr>
                <w:rFonts w:ascii="Arial" w:cs="Arial" w:eastAsia="Arial" w:hAnsi="Arial"/>
                <w:sz w:val="18"/>
                <w:szCs w:val="18"/>
                <w:color w:val="auto"/>
              </w:rPr>
              <w:t>approximately $</w:t>
            </w:r>
          </w:p>
        </w:tc>
        <w:tc>
          <w:tcPr>
            <w:tcW w:w="4020" w:type="dxa"/>
            <w:vAlign w:val="bottom"/>
          </w:tcPr>
          <w:p>
            <w:pPr>
              <w:ind w:left="20"/>
              <w:spacing w:after="0"/>
              <w:rPr>
                <w:sz w:val="20"/>
                <w:szCs w:val="20"/>
                <w:color w:val="auto"/>
              </w:rPr>
            </w:pPr>
            <w:r>
              <w:rPr>
                <w:rFonts w:ascii="Arial" w:cs="Arial" w:eastAsia="Arial" w:hAnsi="Arial"/>
                <w:sz w:val="18"/>
                <w:szCs w:val="18"/>
                <w:color w:val="auto"/>
              </w:rPr>
              <w:t>million related to unvested options.</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54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Comparison of the Six Months Ended June 30, 2014 and 2015:</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1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2"/>
        </w:trPr>
        <w:tc>
          <w:tcPr>
            <w:tcW w:w="1520" w:type="dxa"/>
            <w:vAlign w:val="bottom"/>
            <w:gridSpan w:val="2"/>
            <w:vMerge w:val="continue"/>
          </w:tcPr>
          <w:p>
            <w:pPr>
              <w:spacing w:after="0"/>
              <w:rPr>
                <w:sz w:val="12"/>
                <w:szCs w:val="12"/>
                <w:color w:val="auto"/>
              </w:rPr>
            </w:pPr>
          </w:p>
        </w:tc>
        <w:tc>
          <w:tcPr>
            <w:tcW w:w="4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02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ind w:left="420"/>
              <w:spacing w:after="0"/>
              <w:rPr>
                <w:sz w:val="20"/>
                <w:szCs w:val="20"/>
                <w:color w:val="auto"/>
              </w:rPr>
            </w:pPr>
            <w:r>
              <w:rPr>
                <w:rFonts w:ascii="Arial" w:cs="Arial" w:eastAsia="Arial" w:hAnsi="Arial"/>
                <w:sz w:val="18"/>
                <w:szCs w:val="18"/>
                <w:color w:val="auto"/>
              </w:rPr>
              <w:t>License fees</w:t>
            </w:r>
          </w:p>
        </w:tc>
        <w:tc>
          <w:tcPr>
            <w:tcW w:w="4020" w:type="dxa"/>
            <w:vAlign w:val="bottom"/>
          </w:tcPr>
          <w:p>
            <w:pPr>
              <w:spacing w:after="0"/>
              <w:rPr>
                <w:sz w:val="18"/>
                <w:szCs w:val="18"/>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0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w w:val="89"/>
              </w:rPr>
              <w:t>Operating expenses:</w:t>
            </w:r>
          </w:p>
        </w:tc>
        <w:tc>
          <w:tcPr>
            <w:tcW w:w="40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(3,017)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2,703</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10,307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w w:val="89"/>
              </w:rPr>
              <w:t>Loss from operations</w:t>
            </w:r>
          </w:p>
        </w:tc>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20" w:type="dxa"/>
            <w:vAlign w:val="bottom"/>
            <w:gridSpan w:val="2"/>
            <w:vMerge w:val="continue"/>
          </w:tcPr>
          <w:p>
            <w:pPr>
              <w:spacing w:after="0"/>
              <w:rPr>
                <w:sz w:val="19"/>
                <w:szCs w:val="19"/>
                <w:color w:val="auto"/>
              </w:rPr>
            </w:pPr>
          </w:p>
        </w:tc>
        <w:tc>
          <w:tcPr>
            <w:tcW w:w="40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(10,307)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(9,976)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(331)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Interest income (expense),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(666)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fair value of common stockwarrant liability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(2,272)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420"/>
              <w:spacing w:after="0"/>
              <w:rPr>
                <w:sz w:val="20"/>
                <w:szCs w:val="20"/>
                <w:color w:val="auto"/>
              </w:rPr>
            </w:pPr>
            <w:r>
              <w:rPr>
                <w:rFonts w:ascii="Arial" w:cs="Arial" w:eastAsia="Arial" w:hAnsi="Arial"/>
                <w:sz w:val="18"/>
                <w:szCs w:val="18"/>
                <w:color w:val="auto"/>
              </w:rPr>
              <w:t>Other income (expense), net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(2,948)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4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20" w:type="dxa"/>
            <w:vAlign w:val="bottom"/>
            <w:gridSpan w:val="2"/>
            <w:vMerge w:val="continue"/>
          </w:tcPr>
          <w:p>
            <w:pPr>
              <w:spacing w:after="0"/>
              <w:rPr>
                <w:sz w:val="19"/>
                <w:szCs w:val="19"/>
                <w:color w:val="auto"/>
              </w:rPr>
            </w:pPr>
          </w:p>
        </w:tc>
        <w:tc>
          <w:tcPr>
            <w:tcW w:w="4020" w:type="dxa"/>
            <w:vAlign w:val="bottom"/>
          </w:tcPr>
          <w:p>
            <w:pPr>
              <w:spacing w:after="0"/>
              <w:rPr>
                <w:sz w:val="19"/>
                <w:szCs w:val="19"/>
                <w:color w:val="auto"/>
              </w:rPr>
            </w:pP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(8,508)</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(11,125)</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$ 2,617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980" w:type="dxa"/>
            <w:vAlign w:val="bottom"/>
            <w:vMerge w:val="restart"/>
          </w:tcPr>
          <w:p>
            <w:pPr>
              <w:jc w:val="right"/>
              <w:ind w:right="1632"/>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License Fees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For the six months ended June 30, 2015, we recognized license fees of $17,000 derived from the KHK license agreement. The arrangement consideration of $17.3 million was allocated to the license unit of accounting and will be recognized as revenue ratably over our expected service period (currently expected to be through 2029), commencing on the date of the first delivery of the clinical trial materials. In June 2015, we began delivering clinical supplies to KHK and commenced recognizing revenue.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the six months ended June 30, 2015, our total research and development expenses decreased $3.0 million, or 43%, to $4.0 million from $7.0 million for the comparable period in the prior year. Research and development for the six months ended June 30, 2014, included the achievement of a $2.0 million development milestone under the license agreement with Bayer Pharma AG (formerly known as Bayer Schering Pharma AG), or Bayer, and the expenses related to the suspension of the planned 305 clinical trial in the third quarter of 2014. In addition, for the six months ended June 30, 2015, employee compensation costs decreased $0.2 million, partially offset by $0.4 million of increased spending related to the Phase 3 clinical trial of entinostat and the initiation of spend related to the new ENCORE 601 study during the first and second quarter of 2015. The decrease in employee compensation costs was primarily due to a change in headcount.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Six Months Ended</w:t>
            </w:r>
          </w:p>
        </w:tc>
        <w:tc>
          <w:tcPr>
            <w:tcW w:w="26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increase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85"/>
              </w:rPr>
              <w:t>June 30,</w:t>
            </w:r>
          </w:p>
        </w:tc>
        <w:tc>
          <w:tcPr>
            <w:tcW w:w="260" w:type="dxa"/>
            <w:vAlign w:val="bottom"/>
          </w:tcPr>
          <w:p>
            <w:pPr>
              <w:spacing w:after="0"/>
              <w:rPr>
                <w:sz w:val="14"/>
                <w:szCs w:val="1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(decrease)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2014</w:t>
            </w:r>
          </w:p>
        </w:tc>
        <w:tc>
          <w:tcPr>
            <w:tcW w:w="104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External research and development expenses</w:t>
            </w:r>
          </w:p>
        </w:tc>
        <w:tc>
          <w:tcPr>
            <w:tcW w:w="2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$ 5,339</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$ 2,353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$(2,986)</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2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1,672</w:t>
            </w:r>
          </w:p>
        </w:tc>
        <w:tc>
          <w:tcPr>
            <w:tcW w:w="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$ 7,011</w:t>
            </w:r>
          </w:p>
        </w:tc>
        <w:tc>
          <w:tcPr>
            <w:tcW w:w="1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$ 3,994</w:t>
            </w:r>
          </w:p>
        </w:tc>
        <w:tc>
          <w:tcPr>
            <w:tcW w:w="13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For the six months ended June 30, 2015, our total general and administrative expenses increased $2.7 million, or 82%, to $6.0 million from $3.3 million for the comparable period in the prior year. The increase in general and administrative expenses was primarily due to $1.6 million of employee compensation costs and $1.1 million of legal and consulting costs. The increase in compensation costs was due to costs related to an increase in headcount as well as employee termination costs of $1.3 million, including $0.7 million of stock compensation expense. The increase in legal and consulting costs was primarily related to business development activities and intellectual property and trademark filings.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For the six months ended June 30, 2015, interest income (expense), net, increased $0.7 million from $0 in the comparable period in the prior year. The increase was due to interest expense on the $5.0 million convertible notes that were issued during the third quarter of 2014 as well as interest expense on the $9.0 million in term loans that were funded in September and December of 2014. There was no interest-bearing debt outstanding during the six months ended June 30, 2014. Interest income was insignificant for both periods.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Stock Warrant Liability</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decrease of $2.3 million in the change in fair value of common stock warrant liability for the six months ended June 30, 2015 compared to the comparable period in the prior year was due to a decrease in the fair value of the Bayer common stock warrant liability. At each period end, the fair value of the outstanding common stock warrant liability is re-measured, and the change in the fair value is recorded in other income (expense) in the consolidated statements of operations and comprehensive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2013 and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Years Ended</w:t>
            </w:r>
          </w:p>
        </w:tc>
        <w:tc>
          <w:tcPr>
            <w:tcW w:w="8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increase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20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2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3,208</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$ 10,175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6,967</w:t>
            </w:r>
          </w:p>
        </w:tc>
        <w:tc>
          <w:tcPr>
            <w:tcW w:w="4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8,571</w:t>
            </w:r>
          </w:p>
        </w:tc>
        <w:tc>
          <w:tcPr>
            <w:tcW w:w="4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21,332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12,761</w:t>
            </w:r>
          </w:p>
        </w:tc>
        <w:tc>
          <w:tcPr>
            <w:tcW w:w="4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(771)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(289)</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(1,943)</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1,789</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(3,732)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tranche liability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(3,144)</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(3,144)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(5,600)</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7,104</w:t>
            </w: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(14,171)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(19,828)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5,657</w:t>
            </w:r>
          </w:p>
        </w:tc>
        <w:tc>
          <w:tcPr>
            <w:tcW w:w="42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the year ended December 31, 2014, our total research and development expenses increased $7.0 million, or 217%, to $10.2 million from $3.2 million for the prior year. The increase in research and development expenses was primarily due to $1.5 million in start-up activities related to the E2112 Phase 3 clinical trial of entinostat, the achievement of a $2.0 million development milestone under the license agreement with Bayer and increased employee compensation costs of $1.9 million related to increased headcount, salary increases on existing headcount, recruiting costs and stock-based compensation expense. The stock-based compensation included $0.1 million related to the modification of stock options that occurred in September 2014 as a result of the acceleration of vesting in connection with an option exchange program. The increase in research and development expense was also related to the decision in the third quarter of 2014 to suspend the planned ENCORE 305 clinical trial, including $0.9 million in closedown costs and $0.6 million in write-down of inventory.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Research and development expenses consisted of the following:</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Years Ended</w:t>
            </w:r>
          </w:p>
        </w:tc>
        <w:tc>
          <w:tcPr>
            <w:tcW w:w="10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87"/>
              </w:rPr>
              <w:t>Increase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spacing w:after="0"/>
              <w:rPr>
                <w:sz w:val="14"/>
                <w:szCs w:val="14"/>
                <w:color w:val="auto"/>
              </w:rPr>
            </w:pPr>
          </w:p>
        </w:tc>
        <w:tc>
          <w:tcPr>
            <w:tcW w:w="21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86"/>
              </w:rPr>
              <w:t>(Decrease)</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3260" w:type="dxa"/>
            <w:vAlign w:val="bottom"/>
          </w:tcPr>
          <w:p>
            <w:pPr>
              <w:spacing w:after="0"/>
              <w:rPr>
                <w:sz w:val="12"/>
                <w:szCs w:val="12"/>
                <w:color w:val="auto"/>
              </w:rPr>
            </w:pPr>
          </w:p>
        </w:tc>
        <w:tc>
          <w:tcPr>
            <w:tcW w:w="54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0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External research and development expenses</w:t>
            </w:r>
          </w:p>
        </w:tc>
        <w:tc>
          <w:tcPr>
            <w:tcW w:w="32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vMerge w:val="continue"/>
            <w:shd w:val="clear" w:color="auto" w:fill="CCEEFF"/>
          </w:tcPr>
          <w:p>
            <w:pPr>
              <w:spacing w:after="0"/>
              <w:rPr>
                <w:sz w:val="18"/>
                <w:szCs w:val="18"/>
                <w:color w:val="auto"/>
              </w:rPr>
            </w:pPr>
          </w:p>
        </w:tc>
        <w:tc>
          <w:tcPr>
            <w:tcW w:w="326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$ 1,489</w:t>
            </w:r>
          </w:p>
        </w:tc>
        <w:tc>
          <w:tcPr>
            <w:tcW w:w="5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52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$5,752</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Internal research and development expenses</w:t>
            </w:r>
          </w:p>
        </w:tc>
        <w:tc>
          <w:tcPr>
            <w:tcW w:w="3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2,934</w:t>
            </w:r>
          </w:p>
        </w:tc>
        <w:tc>
          <w:tcPr>
            <w:tcW w:w="500" w:type="dxa"/>
            <w:vAlign w:val="bottom"/>
          </w:tcPr>
          <w:p>
            <w:pPr>
              <w:jc w:val="right"/>
              <w:spacing w:after="0"/>
              <w:rPr>
                <w:sz w:val="20"/>
                <w:szCs w:val="20"/>
                <w:color w:val="auto"/>
              </w:rPr>
            </w:pPr>
            <w:r>
              <w:rPr>
                <w:rFonts w:ascii="Arial" w:cs="Arial" w:eastAsia="Arial" w:hAnsi="Arial"/>
                <w:sz w:val="18"/>
                <w:szCs w:val="18"/>
                <w:color w:val="auto"/>
              </w:rPr>
              <w:t>1,215</w:t>
            </w:r>
          </w:p>
        </w:tc>
        <w:tc>
          <w:tcPr>
            <w:tcW w:w="5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$ 3,208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3"/>
              </w:rPr>
              <w:t>10,175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6,967</w:t>
            </w: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260" w:type="dxa"/>
            <w:vAlign w:val="bottom"/>
            <w:vMerge w:val="restart"/>
          </w:tcPr>
          <w:p>
            <w:pPr>
              <w:jc w:val="right"/>
              <w:ind w:right="1772"/>
              <w:spacing w:after="0"/>
              <w:rPr>
                <w:sz w:val="20"/>
                <w:szCs w:val="20"/>
                <w:color w:val="auto"/>
              </w:rPr>
            </w:pPr>
            <w:r>
              <w:rPr>
                <w:rFonts w:ascii="Arial" w:cs="Arial" w:eastAsia="Arial" w:hAnsi="Arial"/>
                <w:sz w:val="18"/>
                <w:szCs w:val="18"/>
                <w:color w:val="auto"/>
              </w:rPr>
              <w:t>70</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For the year ended December 31, 2014, our total general and administrative expenses increased $5.8 million, or 108%, to $11.2 million from $5.4 million for the prior year. The increase in general and administrative expenses was primarily driven by the write-off of previously capitalized costs of $4.3 million incurred in connection with preparing for an IPO in 2014, an increase of $0.8 million in employee compensation costs and an increase of $0.6 million of professional fees related to business development and consultant costs. During the third quarter of 2014, we determined that it was likely that our IPO would be postponed for a period in excess of 90 days. As a result, we immediately expensed previously deferred IPO costs, consisting of legal, accounting and printing costs of $4.2 million, as well as $0.1 million of IPO costs incurred in the third and fourth quarters related to selling, general and administrative expenses. The employee compensation costs related to increased headcount and salary increases for existing headcount, as well as recruiting costs and stock-based compensation expense. The stock-based compensation included $0.4 million related to the modification of stock options that occurred in September 2014 as a result of the acceleration of vesting in connection with an option exchange program.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Income (Expense), Net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the year ended December 31, 2014, interest income (expense), net, decreased $0.5 million to $0.3 million from $0.8 million for the prior year primarily as a result of the conversion of our convertible notes into convertible preferred stock in March 2013. Interest expense for the year ended December 31, 2014, included interest on the $5.0 million convertible notes that were issued during third quarter of 2014 as well as interest on the outstanding term loans funded during the second half of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Common and Convertible Preferred Stock Warrant Liability</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each period end, the fair value of the outstanding common and preferred stock warrant liabilities is re-measured and the change in fair value is recorded in other income (expense), net, in the consolidated statements of operations and comprehensive loss. The decrease of $3.7 million in the change in fair value of common stock warrant liability for the year ended December 31, 2014, compared to the year ended December 31, 2013, was primarily due to a decrease in the fair value of the Bayer common stock warrant liability. In addition, in March 2013, in conjunction with the issuance of our Series B-1 convertible preferred stock, the warrants to purchase common stock and convertible preferred stock issued to investors and note holders were canceled and de-recognized on the date of cancellation. The decrease of $0.1 million in the change in the fair value of the convertible preferred stock warrant liability for the year ended December 31, 2014, compared to the year ended December 31, 2013, was primarily due to the cancellation of the warrants.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Tranche Liability</w:t>
      </w:r>
    </w:p>
    <w:p>
      <w:pPr>
        <w:spacing w:after="0" w:line="17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the year ended December 31, 2013, we recognized a change in fair value of the tranche liability of $3.1 million as a result of the fair value re-measurement on a mark-to-market basis during the period. As the tranche liability was associated with the Series B-1 financing, which occurred in 2013, there were no charges recorded during 2014 related to the tranche liability.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7"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Since our inception and through August 24, 2015, we have raised an aggregate of $185.8 million to fund our operations from the sale of convertible preferred stock and convertible debt securities. As of June 30, 2015 and August 24, 2015, our cash, cash equivalents and short-term investments were $45.4 million and $103.7 million, respectively.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incurred losses and cumulative negative cash flows from operations since our inception; and as of June 30, 2015, we had an accumulated deficit of $196.8 million. We anticipate that we will continue to incur significant losses for at least the next several years. We expect that our research and development and general and administrative expenses will continue to increase. As a result, we will need additional capital to fund our operations, which we may raise through a combination of the sale of equity, debt financings, or other sources, including potential collaborations.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As discussed below in the section entitled “Indebtedness,” in June 2014, we entered into a loan and security agreement for a $15.0 million senior secured term loan facility, of which $9.0 million has been funded as of June 30, 2015.</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In June 2015, we issued 2,140,712 shares of Series C-1 convertible preferred stock, or Series C-1, for $18.5 million in cash, net of offering costs of $0.2 million, and the conversion of $5.0 million of convertible notes, or the 2014 Notes, and $0.2 million of related accrued interest. We recorded accretion of $18.2 million to record the convertible preferred stock at its redemption value.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2015, we issued an additional 5,472,390 shares of Series C-1 for $61.3 million in gross proceeds.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Solar Capital Ltd.</w:t>
      </w:r>
    </w:p>
    <w:p>
      <w:pPr>
        <w:spacing w:after="0" w:line="17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June 2014, we entered into a loan and security agreement with Solar Capital Ltd., or Solar, as collateral agent and lender, consisting of a $15.0 million senior secured term loan facility. The loan is secured by substantially all of our existing and after-acquired assets except our intellectual property, but including right of payment with respect to any such intellectual property and all proceeds from the disposition of any such intellectual property. Our intellectual property is subject to a negative pledge. In September and December 2014, we amended the term loan facility. The term loan facility has a maturity date in June 2018.</w:t>
      </w:r>
    </w:p>
    <w:p>
      <w:pPr>
        <w:spacing w:after="0" w:line="11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September 2014, the initial term loan, or the Term A Loan, was funded in the aggregate principal amount of $5.0 million. In December 2014, an additional term loan, or the Term C Loan, in the aggregate principal amount of $4.0 million was funded with the post-closing condition that we enter into a strategic transaction in Japan or Korea and receive $7.5 million in net equity proceeds and $17.5 million in license-related proceeds. We received the $7.5 million in net equity proceeds in full in January 2015, pursuant to the Series B-1 preferred stock purchase agreement with KHK, or the KHK stock purchase agreement, and $17.5 million in license-related proceeds in full in February 2015, pursuant to the KHK license agreement. At our request and upon the consummation of an IPO resulting in the receipt of at least $37.0 million in net proceeds, an additional term loan, or the Term D Loan, of up to $7.0 million will be funded, provided that the total term loan commitment under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loan and security agreement shall not exceed $15.0 million. Solar will not be required to fund the Term D Loan in an amount that causes all term loans funded by Solar to exceed $15.0 million. Solar has no obligations to fund the Term D Loan after September 30, 2015.</w:t>
      </w:r>
    </w:p>
    <w:p>
      <w:pPr>
        <w:spacing w:after="0" w:line="132"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Interest will accrue at a floating rate per annum equal to LIBOR plus 8.8%, payable monthly in arrears. In connection with the term loan facility, we paid a closing fee of $170,000 and other transactional and legal costs of $140,000. Upon the completion of this offering, we will be required to pay a $150,000 success fee that will be due on the earlier of the maturity date of the term loan facility or upon the occurrence of certain change of control or liquidity events. In addition, we are required to pay a final fee equal to 4% of the amount of term loans funded that will be due on the earlier of the maturity date of the term loan facility or upon the occurrence of certain change of control or liquidity events. We are required to make interest-only payments on the funded term loans until July 1, 2015. Beginning on July 1, 2015, we are required to make consecutive monthly payments of principal plus accrued interest in equal monthly installments until the maturity date. We have the option to prepay the term loans provided we pay a prepayment fee equal to 2% of the outstanding principal if paid prior to the one-year anniversary of the funding and 1% of the outstanding principal if paid after the one-year anniversary of the funding.</w:t>
      </w:r>
    </w:p>
    <w:p>
      <w:pPr>
        <w:spacing w:after="0" w:line="118"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have incurred $0.3 million of debt issuance costs related to the term loan facility, which is being amortized as interest expense over the term of the loans are expected to be outstanding. As of June 30, 2015, there was $9.0 million outstanding under this term loan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Convertible Notes</w:t>
      </w:r>
    </w:p>
    <w:p>
      <w:pPr>
        <w:spacing w:after="0" w:line="17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September 2014, we entered into a bridge loan financing with various investors, in which we issued for an aggregate principal amount of $5.0 million (the 2014 Notes). We received $4.9 million in the first closing, which occurred in September 2014, and received $0.1 million in the second closing, which occurred in October 2014. The 2014 Notes accrued interest at 6% per annum and had a maturity date of September 30, 2015 and were convertible upon the occurrence of certain events during the period that the 2014 Notes were outstanding. In June 2015, as a result of the first close of our Series C-1 financing, the 2014 Notes and the related interest of $0.2 million were converted into 465,563 shares of Series C-1 at an original issuance price of $11.19 per share, which was the price paid by other investors in the financing.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Operations and Future Funding Requirements</w:t>
      </w:r>
    </w:p>
    <w:p>
      <w:pPr>
        <w:spacing w:after="0" w:line="17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Our primary uses of capital are, and we expect will continue to be, compensation and related expenses, third-party clinical research and development services, clinical costs, legal and other regulatory expenses and general overhead costs. We believe that the net proceeds from this offering, together with our existing cash and cash equivalents, will fund our projected operating expenses and capital expenditure requirements for at least the next 24 months.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based our estimates on assumptions that may prove to be incorrect, and we could use our capital resources sooner than we currently expect. Additionally, the process of testing drug candidates in clinical trials is costly, and the timing of progress in these trials is uncertain. We cannot estimate the actual amounts necessary to successfully complete the development and commercialization of our drug candidate or whether, or when, we may achieve profitability. Our future capital requirements will depend on many factors, including:</w:t>
      </w:r>
    </w:p>
    <w:p>
      <w:pPr>
        <w:spacing w:after="0" w:line="184" w:lineRule="exact"/>
        <w:rPr>
          <w:sz w:val="20"/>
          <w:szCs w:val="20"/>
          <w:color w:val="auto"/>
        </w:rPr>
      </w:pPr>
    </w:p>
    <w:p>
      <w:pPr>
        <w:ind w:left="5620" w:right="4860" w:hanging="4937"/>
        <w:spacing w:after="0" w:line="525" w:lineRule="auto"/>
        <w:tabs>
          <w:tab w:leader="none" w:pos="1001"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initiation, progress, timing, costs and results of clinical trials for entinostat; 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6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outcome, timing and cost of seeking and obtaining regulatory approvals from the FDA and comparable foreign regulatory authorities, including the potential for such authorities to require that we perform more trials than we currently expect;</w:t>
      </w:r>
    </w:p>
    <w:p>
      <w:pPr>
        <w:spacing w:after="0" w:line="50" w:lineRule="exact"/>
        <w:rPr>
          <w:rFonts w:ascii="Arial" w:cs="Arial" w:eastAsia="Arial" w:hAnsi="Arial"/>
          <w:sz w:val="18"/>
          <w:szCs w:val="18"/>
          <w:color w:val="auto"/>
        </w:rPr>
      </w:pPr>
    </w:p>
    <w:p>
      <w:pPr>
        <w:ind w:left="1000" w:right="40" w:hanging="317"/>
        <w:spacing w:after="0" w:line="259"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59"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acceptance of entinostat;</w:t>
      </w:r>
    </w:p>
    <w:p>
      <w:pPr>
        <w:spacing w:after="0" w:line="90" w:lineRule="exact"/>
        <w:rPr>
          <w:rFonts w:ascii="Arial" w:cs="Arial" w:eastAsia="Arial" w:hAnsi="Arial"/>
          <w:sz w:val="18"/>
          <w:szCs w:val="18"/>
          <w:color w:val="auto"/>
        </w:rPr>
      </w:pPr>
    </w:p>
    <w:p>
      <w:pPr>
        <w:ind w:left="1000" w:right="4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timing of selecting, auditing and developing manufacturing capabilities, and potentially validating manufacturing sites for commercial-scale manufacturing;</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cost and timing for obtaining pricing and reimbursement, which may require additional trials to address pharmacoeconomic benefit;</w:t>
      </w:r>
    </w:p>
    <w:p>
      <w:pPr>
        <w:spacing w:after="0" w:line="113" w:lineRule="exact"/>
        <w:rPr>
          <w:rFonts w:ascii="Arial" w:cs="Arial" w:eastAsia="Arial" w:hAnsi="Arial"/>
          <w:sz w:val="16"/>
          <w:szCs w:val="16"/>
          <w:color w:val="auto"/>
        </w:rPr>
      </w:pPr>
    </w:p>
    <w:p>
      <w:pPr>
        <w:ind w:left="1000" w:right="260" w:hanging="317"/>
        <w:spacing w:after="0" w:line="268"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entinostat if entinostat receives regulatory approval and we determine to commercialize it ourselves;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our need to implement additional internal systems and infrastructure, including financial and reporting systems, as we become a public company.</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and additional funding from license and collaboration arrangements. Except for any obligations of our collaborators to reimburse us for research and development expenses or to make milestone payments under our agreements with them, we will not have any committed external source of liquidity.</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cash flows: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17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w w:val="85"/>
              </w:rPr>
              <w:t>June 30,</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2013</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by operating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(7,295)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(14,393)</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$(8,316)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(4,027)</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1,888</w:t>
            </w: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(36,698)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20,889</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12,410</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(1,096)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26,389</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2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vMerge w:val="continue"/>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9,567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1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920" w:type="dxa"/>
            <w:vAlign w:val="bottom"/>
            <w:vMerge w:val="restart"/>
          </w:tcPr>
          <w:p>
            <w:pPr>
              <w:jc w:val="right"/>
              <w:ind w:right="1692"/>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1"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Net cash used in operating activities for the six months ended June 30, 2014 was $8.3 million compared to $7.0 million of net cash provided by operating activities for the six months ended June 30, 2015. The increase in cash provided by operating activities for the six months ended June 30, 2015 of $15.4 million was primarily due to increases in deferred revenue of $17.3 million and in accounts payable of $0.6 million and a decrease in our net loss of $0.4 million (adjusted for non-cash items) partially offset by increases in short-term deposits of $0.1 million and prepaid and other assets of $0.3 million and a decrease in accrued expenses and other liabilities of $2.5 million. The increase in deferred revenue of $17.3 million was due to the proceeds we received during the first quarter of 2015 from the KHK license agreement related to the upfront license fee. Our net loss for the six months ended June 30, 2014, adjusted for non-cash items such as stock-based compensation, change in fair value of derivative, change in fair value of warrants and amortization and accretion, was $9.3 million, compared to $8.9 million for the six months ended June 30, 2015.</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Net cash used in operating activities for the year ended December 31, 2013, was $7.3 million compared to $14.4 million used for the year ended December 31, 2014. The increase in cash used in operating activities for the year ended December 31, 2014 of $ 7.1 million was primarily due to an increase in our net loss of $7.6 million (adjusted for non-cash items) and decreases in short-term deposits of $0.1 million and prepaid expenses and other assets of $0.2 million and an increase in accrued expenses and other liabilities of $0.6 million, slightly offset by a decrease in accounts payable of $0.4 million. Our net loss for the year ended December 31, 2013, adjusted for non-cash items such as stock-based compensation, change in fair value of embedded derivative, change in fair value of tranche liability, change in fair value of warrants, the write-off of the IPO costs and amortization of debt discount was $7.3 million, compared to $14.9 million for the year ended December 31, 2014. The higher loss for the year ended December 31, 2014 was attributable to increased research and development expenses due to the start-up activities related to the Phase 3 clinical trial of $1.5 million, the $2.0 million development milestone paid to Bayer, $1.5 million of costs related to the suspension of the planned ENCORE 305 clinical trial, and increased general and administrative expenses incurred in connection with preparing for our IPO.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7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Net cash provided by investing activities for the six months ended June 30, 2014 was $4.0 million compared to net cash used in investing activities of $36.7 million for the six months ended June 30, 2015. The increase in cash used in investing activities of $40.7 million was primarily due to the purchases of short-term investments, net of sales and maturities, from the $25.0 million of proceeds from the licensing fees and equity investment under the KHK license and stock purchase agreements, which were received during the first quarter of 2015, and the $18.7 million of gross proceeds from the Series C-1 financing, which were received during the second quarter of 2015.</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cash used in investing activities for the year ended December 31, 2013 was $4.0 million compared to net cash provided by investing activities of $1.9 million for the year ended December 31, 2014. The increase in cash provided by investing activities of $5.9 million for the year ended December 31, 2014 was primarily due to the proceeds from sales and maturities of short-term investments, net of purchases, which did not occur during the comparable period in the prior year.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cash used in financing activities for the six months ended June 30, 2014 was $1.1 million compared to net cash provided by financing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$26.4 million for the six months ended June 30, 2015. During the six months ended June 30, 2014, we incurred $1.1 million in deferred issuance costs related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2014 IPO. During the six months ended June 30, 2015, we received the proceeds from the KHK license and stock purchase agreements, of which $7.7 million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issuance of the Series B-1, and proceeds from the Series C-1 financing of $18.5 million, net of $0.2 million of issuance costs.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Net cash provided by financing activities for the year ended December 31, 2013 was $20.9 million compared to $12.4 million for the year ended December 31, 2014. During the year ended December 31, 2013, we received $26.1 million from the issuance of convertible preferred stock, net of issuance costs, and $0.7 million from the issuance of debt, partially offset by $4.4 million of term loan repayments. During the year ended December 31, 2014, we received $9.0 million proceeds from the Term A and C Loans and $5.0 million from the issuance of convertible debt in the form of convertible notes, which was partially offset by $1.6 million of deferred issuance costs related to the IPO and debt issuances.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Contingent Liabilities as of December 31, 2014</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significant contractual obligations as of December 31, 2014:</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Less than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1 to 3</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1"/>
              </w:rPr>
              <w:t>3 to 5</w:t>
            </w:r>
          </w:p>
        </w:tc>
        <w:tc>
          <w:tcPr>
            <w:tcW w:w="5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More than</w:t>
            </w:r>
          </w:p>
        </w:tc>
      </w:tr>
      <w:tr>
        <w:trPr>
          <w:trHeight w:val="161"/>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1 Year</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78"/>
              </w:rPr>
              <w:t>Years</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8"/>
              </w:rPr>
              <w:t>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5 Years</w:t>
            </w:r>
          </w:p>
        </w:tc>
      </w:tr>
      <w:tr>
        <w:trPr>
          <w:trHeight w:val="210"/>
        </w:trPr>
        <w:tc>
          <w:tcPr>
            <w:tcW w:w="6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 for office space</w:t>
            </w:r>
            <w:r>
              <w:rPr>
                <w:rFonts w:ascii="Arial" w:cs="Arial" w:eastAsia="Arial" w:hAnsi="Arial"/>
                <w:sz w:val="11"/>
                <w:szCs w:val="11"/>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Capital lease for office equipment</w:t>
            </w:r>
            <w:r>
              <w:rPr>
                <w:rFonts w:ascii="Arial" w:cs="Arial" w:eastAsia="Arial" w:hAnsi="Arial"/>
                <w:sz w:val="11"/>
                <w:szCs w:val="11"/>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Loans</w:t>
            </w:r>
            <w:r>
              <w:rPr>
                <w:rFonts w:ascii="Arial" w:cs="Arial" w:eastAsia="Arial" w:hAnsi="Arial"/>
                <w:sz w:val="11"/>
                <w:szCs w:val="11"/>
                <w:color w:val="auto"/>
              </w:rPr>
              <w:t>(3)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11,154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6,844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Convertible notes</w:t>
            </w:r>
            <w:r>
              <w:rPr>
                <w:rFonts w:ascii="Arial" w:cs="Arial" w:eastAsia="Arial" w:hAnsi="Arial"/>
                <w:sz w:val="11"/>
                <w:szCs w:val="11"/>
                <w:color w:val="auto"/>
              </w:rPr>
              <w:t>(4)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5,300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5,300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16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16,739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7,681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7,005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December 2013, we entered into a 40-month non-cancelable operating lease for office space in Waltham, Massachusetts that expires on April 10, 2017.</w:t>
      </w:r>
    </w:p>
    <w:p>
      <w:pPr>
        <w:spacing w:after="0" w:line="38" w:lineRule="exact"/>
        <w:rPr>
          <w:rFonts w:ascii="Arial" w:cs="Arial" w:eastAsia="Arial" w:hAnsi="Arial"/>
          <w:sz w:val="16"/>
          <w:szCs w:val="16"/>
          <w:color w:val="auto"/>
        </w:rPr>
      </w:pPr>
    </w:p>
    <w:p>
      <w:pPr>
        <w:ind w:left="460" w:right="3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December 2013, we entered into a 60-month non-cancelable lease for office equipment, which is accounted for as a capital lease. The leased asset is included in property, plant and equipment, at cost.</w:t>
      </w:r>
    </w:p>
    <w:p>
      <w:pPr>
        <w:ind w:left="460" w:right="160" w:hanging="452"/>
        <w:spacing w:after="0" w:line="281"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June 2014, we entered into a term loan facility. In September 2014, the Term A Loan for $5.0 million was funded and in December 2014, the Term C Loan for $4.0 million was funded. We are obligated to make monthly, interest-only payments until July 1, 2015, and thereafter, to make consecutive equal monthly payments of principal and interest, in arrears, starting on July 1, 2015 and ending no later than 48 months after the effective date. We are also obligated to pay a final fee equal to 4% of the funded amount. We are also obligated to make a payment of $150,000 (success fee) upon the completion of an IPO or upon the occurrence of certain change of control or liquidity events. The amounts in this table reflect the contractually required principal and interest payments in accordance with the payment schedule and the final fee and the success fee.</w:t>
      </w:r>
    </w:p>
    <w:p>
      <w:pPr>
        <w:spacing w:after="0" w:line="4" w:lineRule="exact"/>
        <w:rPr>
          <w:rFonts w:ascii="Arial" w:cs="Arial" w:eastAsia="Arial" w:hAnsi="Arial"/>
          <w:sz w:val="16"/>
          <w:szCs w:val="16"/>
          <w:color w:val="auto"/>
        </w:rPr>
      </w:pPr>
    </w:p>
    <w:p>
      <w:pPr>
        <w:ind w:left="460" w:right="60" w:hanging="452"/>
        <w:spacing w:after="0" w:line="29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September 2014, we entered into a convertible note purchase agreement with various accredited investors, for $5.0 million. The convertible notes issued in connection with the convertible note purchase agreement accrue interest at 6% per annum and mature on September 30, 2014. The amounts in this table reflect the principal and accrued interest on the convertible notes. In June 2015, as part of the Series C-1 convertible preferred stock financing, the 2014 convertible notes and related accrued interest were converted into 465,563 shares of Series C-1.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contractual obligations table does not include any potential contingent payments upon the achievement by us of clinical, regulatory and commercial events, as applicable, or royalty payments we may be required to make under license agreements we have entered into with various entities pursuant to which we have in-licensed certain intellectual property, including the Bayer license agreement. See “Business—Intellectual Property—In-Licensed Intellectual Property” for additional information. The table also excludes potential payments we may be required to make under manufacturing agreements as the timing of when these payments will actually be made is uncertain and the payments are contingent upon the initiation and completion of future activities. In June 2014, we achieved a research and development milestone under the Bayer license agreement, and in accordance with the terms of the agreement, we recorded $2.0 million of research and development expense. We paid $1.0 million related to this milestone in December 2014 and paid the remaining balance in January 2015.</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March 2014, we entered into a clinical trial agreement with Eastern Cooperative Oncology Group, a contracting entity for ECOG-ACRIN, that describes the parties’ obligations with respect to the NCI-sponsored pivotal Phase 3 clinical trial of entinostat. We will provide a fixed level of financial support for the clinical trial through an upfront payment of $695,000 and a series of time- and milestone-based payments of up to $970,000, and we are obligated to supply entinostat and placebo to ECOG-ACRIN for use in the clinical trial. The terms of this agreement were amended in February 2015 to provide additional payments to investigators of $1.2 million. As of the effective date of the amendment, our aggregate payment obligations are approximately $20.6 million over an estimated period of approximately seven years.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Operating Loss and Research and Development Tax Credit Carryforwards</w:t>
      </w:r>
    </w:p>
    <w:p>
      <w:pPr>
        <w:spacing w:after="0" w:line="17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At December 31, 2014, we had federal and state tax net operating loss carryforwards of $32.7 million and $24.5 million, respectively. The federal and state net operating loss carryforwards expire beginning in 2015 and ending in 2034. At December 31, 2014, we had available income tax credits of $1.5 million, which are available to reduce future income taxes, if any. These income tax credits begin to expire in 2020.</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preparing our consolidated financial statements as of and for the year ended December 31, 2013 and 2014, we and our independent registered public accounting firm identified control deficiencies in the design and operation of our internal control over financial reporting that constituted a material weakness in our internal control over financial reporting. A material weakness is a deficiency, or a combination of deficiencies, in internal control over financial reporting such that there is a reasonable possibility that a material misstatement of our financial statements will not be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prevented or detected on a timely basis. The material weakness identified resulted from the fact that we did not have sufficient financial reporting and accounting staff with appropriate training in GAAP and SEC rules and regulations. As such, our controls over financial reporting were not designed or operating effectively, and as a result, there were adjustments required in connection with closing our books and records and preparing our December 31, 2013 and 2014 consolidated financial statements.</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material weakness in our internal control over financial reporting was attributable to our lack of sufficient financial reporting and accounting personnel with the technical expertise to appropriately account for complex, non-routine transactions. In response to this material weakness, during 2015 we hired additional personnel with the appropriate financial reporting experience to expand our financial management and reporting infrastructure and further develop and document our accounting policies and financial reporting procedures. However, we cannot assure you that we will be successful in pursuing these measures or that these measures will significantly improve or remediate the material weakness described above. We also cannot assure you that we have identified all of our existing material weaknesses or that we will not in the future have additional material weaknesses. We have not yet remediated our material weakness, and the remediation measures that we have begun to implement may be insufficient to address our existing material weakness or to identify or prevent additional material weaknesses.</w:t>
      </w:r>
    </w:p>
    <w:p>
      <w:pPr>
        <w:spacing w:after="0" w:line="14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Neither we nor our independent registered public accounting firm has performed an evaluation of our internal control over financial reporting during any period in accordance with the provisions of the Sarbanes-Oxley Act. In light of the control deficiencies and the resulting material weakness that was identified as a result of the limited procedures performed, we believe that it is possible that had we and our independent registered public accounting firm performed an evaluation of our internal control over financial reporting in accordance with the provisions of the Sarbanes-Oxley Act, additional material weaknesses and significant control deficiencies may have been identified. However, for as long as we remain an “emerging growth company” as defined in the JOBS Act, we intend to take advantage of the exemption permitting us not to comply with the requirement that our independent registered public accounting firm provide an attestation on the effectiveness of our internal control over financial reporting. See “Summary—Implications of Being an Emerging Growth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June 30, 2015, we had cash equivalents of $6.7 million, consisting of interest-bearing money market funds, and short-term investments of $38.7 million, consisting of commercial paper and highly rated corporate bonds. Our primary exposure to market risk is interest rate sensitivity, which is affected by changes in the general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level of U.S. interest rates. Due to the short-term maturities of our cash equivalents, an immediate 100 basis point change in interest rates would not have a material effect on the fair market value of our cash equivalents.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June 30, 2015, we had $9.0 million of variable rate debt with Solar. Changes in interest rates can cause interest charges on our variable rate debt to fluctuate. An increase of 10%, or approximately 100 basis points, in current interest rates would not have a material effect on our interest expense for the six months ended June 30, 2015.</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do not believe that inflation and changing prices had a significant impact on our results of operations for any periods presented herein.</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80"/>
          </w:cols>
          <w:pgMar w:left="24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7"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We are a clinical stage biopharmaceutical company developing entinostat as a combination therapy in multiple cancer indications with our initial focus on tumors that have shown sensitivity to immunotherapy, including lung cancer, melanoma and triple negative breast cancer, or TNBC. Entinostat is our oral, small molecule drug candidate that has direct effects on both cancer cells and immune regulatory cells, potentially enhancing the body’s immune response to tumors.</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The favorable safety profile of entinostat has been demonstrated in clinical trials in more than 900 cancer patients. We are currently evaluating entinostat in combination with </w:t>
      </w:r>
      <w:r>
        <w:rPr>
          <w:rFonts w:ascii="Arial" w:cs="Arial" w:eastAsia="Arial" w:hAnsi="Arial"/>
          <w:sz w:val="18"/>
          <w:szCs w:val="18"/>
          <w:i w:val="1"/>
          <w:iCs w:val="1"/>
          <w:color w:val="auto"/>
        </w:rPr>
        <w:t>Keytruda</w:t>
      </w:r>
      <w:r>
        <w:rPr>
          <w:rFonts w:ascii="Arial" w:cs="Arial" w:eastAsia="Arial" w:hAnsi="Arial"/>
          <w:sz w:val="11"/>
          <w:szCs w:val="11"/>
          <w:color w:val="auto"/>
        </w:rPr>
        <w:t>®</w:t>
      </w:r>
      <w:r>
        <w:rPr>
          <w:rFonts w:ascii="Arial" w:cs="Arial" w:eastAsia="Arial" w:hAnsi="Arial"/>
          <w:sz w:val="18"/>
          <w:szCs w:val="18"/>
          <w:color w:val="auto"/>
        </w:rPr>
        <w:t xml:space="preserve"> (pembrolizumab) in a Phase 1b/2 clinical trial for non-small cell lung cancer, or NSCLC, and melanoma, and we plan to initiate a Phase 1b/2 clinical trial for entinostat in combination with atezolizumab in TNBC in the beginning of 2016. We believe that, based on its mechanism of action, entinostat may have broad applications in additional tumor types, including head and neck, bladder and renal cell, which are immuno-responsive, or sensitive to immunotherapy.</w:t>
      </w:r>
    </w:p>
    <w:p>
      <w:pPr>
        <w:spacing w:after="0" w:line="14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We are also developing entinostat for use in advanced hormone receptor positive, or HR+, breast cancer. Following positive results from our Phase 2b clinical trial, ENCORE 301, entinostat in combination with </w:t>
      </w:r>
      <w:r>
        <w:rPr>
          <w:rFonts w:ascii="Arial" w:cs="Arial" w:eastAsia="Arial" w:hAnsi="Arial"/>
          <w:sz w:val="16"/>
          <w:szCs w:val="16"/>
          <w:i w:val="1"/>
          <w:iCs w:val="1"/>
          <w:color w:val="auto"/>
        </w:rPr>
        <w:t>Aromasin</w:t>
      </w:r>
      <w:r>
        <w:rPr>
          <w:rFonts w:ascii="Arial" w:cs="Arial" w:eastAsia="Arial" w:hAnsi="Arial"/>
          <w:sz w:val="10"/>
          <w:szCs w:val="10"/>
          <w:color w:val="auto"/>
        </w:rPr>
        <w:t>®</w:t>
      </w:r>
      <w:r>
        <w:rPr>
          <w:rFonts w:ascii="Arial" w:cs="Arial" w:eastAsia="Arial" w:hAnsi="Arial"/>
          <w:sz w:val="16"/>
          <w:szCs w:val="16"/>
          <w:color w:val="auto"/>
        </w:rPr>
        <w:t xml:space="preserve"> (exemestane tablets) was granted breakthrough therapy designation by the U.S. Food and Drug Administration, or the FDA, in advanced HR+ breast cancer for which it is currently being evaluated in a Phase 3 clinical trial.</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Immuno-oncology is an emerging field of cancer medicine that has focused on the development of therapeutic approaches designed to activate the immune system to find and destroy cancer cells. Many tumors have the ability to evade the immune system through direct cellular interactions and recruitment of immuno-suppressive cells to the area surrounding the tumor. We believe that entinostat acts on a different tumor-evasion mechanism than is targeted by most other immunotherapies in development. Instead of focusing on the interaction between the T cell and the tumor, entinostat has been observed to decrease the population of immuno-suppressive cells known as myeloid-derived suppressor cells, or MDSCs, and regulatory T cells, or Tregs, which localize in the area surrounding the tumor and dampen T cell activity.</w:t>
      </w:r>
    </w:p>
    <w:p>
      <w:pPr>
        <w:spacing w:after="0" w:line="14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believe entinostat, a Class 1-specific histone deacetylase, or HDAC, inhibitor, is the therapy most advanced in development that can directly reduce both the number and activity of MDSCs and Tregs while sparing the cytotoxic T cells. Through this important effect on MDSCs and Tregs, entinostat has the potential to be used synergistically with therapies working to stimulate the immune system. The long half-life of entinostat allows for continuous exposure to therapy potentially resulting in positive immuno-modulatory effects without corresponding cytotoxic effects. Another benefit of entinostat’s long half-life is the potential to minimize the frequency of dosing and reduce the severity and frequency of adverse events. We believe entinostat’s well-characterized safety profile and mechanism of action allows it to be readily combined with, and thereby enhance the activity of, conventional and novel cancer therapies, such as immune checkpoint inhibitors, hormone therapies and chemotherapies.</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Entinostat is currently being studied in clinical trials across a broad range of solid tumors, including breast cancer, NSCLC and renal cell carcinoma. We are working in collaboration with Merck &amp; Co. Inc., or Merck, to study the combination of entinostat with Merck’s immune checkpoint</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inhibitor,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in a Phase 1b/2 clinical trial of up to 178 patients with NSCLC or melanoma. The Phase 1b portion of the clinical trial will evaluate the safety and tolerability of the combination of entinostat and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the Phase 2 portion of the clinical trial will assess the efficacy of entinostat combined with </w:t>
      </w:r>
      <w:r>
        <w:rPr>
          <w:rFonts w:ascii="Arial" w:cs="Arial" w:eastAsia="Arial" w:hAnsi="Arial"/>
          <w:sz w:val="18"/>
          <w:szCs w:val="18"/>
          <w:i w:val="1"/>
          <w:iCs w:val="1"/>
          <w:color w:val="auto"/>
        </w:rPr>
        <w:t xml:space="preserve">Keytruda </w:t>
      </w:r>
      <w:r>
        <w:rPr>
          <w:rFonts w:ascii="Arial" w:cs="Arial" w:eastAsia="Arial" w:hAnsi="Arial"/>
          <w:sz w:val="18"/>
          <w:szCs w:val="18"/>
          <w:color w:val="auto"/>
        </w:rPr>
        <w:t>in patients with either NSCLC or melanoma. We have also entered into a collaboration with Genentech, Inc., or Genentech, to evaluate the safety,</w:t>
      </w:r>
      <w:r>
        <w:rPr>
          <w:rFonts w:ascii="Arial" w:cs="Arial" w:eastAsia="Arial" w:hAnsi="Arial"/>
          <w:sz w:val="18"/>
          <w:szCs w:val="18"/>
          <w:i w:val="1"/>
          <w:iCs w:val="1"/>
          <w:color w:val="auto"/>
        </w:rPr>
        <w:t xml:space="preserve"> </w:t>
      </w:r>
      <w:r>
        <w:rPr>
          <w:rFonts w:ascii="Arial" w:cs="Arial" w:eastAsia="Arial" w:hAnsi="Arial"/>
          <w:sz w:val="18"/>
          <w:szCs w:val="18"/>
          <w:color w:val="auto"/>
        </w:rPr>
        <w:t>tolerability and preliminary efficacy of entinostat in combination with Genentech’s investigational immune checkpoint inhibitor, atezolizumab, in a Phase 1b/2 clinical trial of patients with TNBC. Additionally, entinostat is being evaluated in two ongoing and one planned investigator-sponsored clinical trials that are designed to provide further validation of entinostat’s immuno-modulatory activity in various other immuno-responsive tumors. We believe that there may be further opportunities through these and additional collaborations to expand the indications in which entinostat may target immunologic mechanisms of resistance to cancer therapies.</w:t>
      </w:r>
    </w:p>
    <w:p>
      <w:pPr>
        <w:spacing w:after="0" w:line="14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We are also providing financial and operational support for an ongoing Phase 3 clinical trial in advanced HR+ breast cancer in combination with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Eastern Cooperative Oncology Group-American College of Radiology Imaging Network Cancer Research Group, or ECOG-ACRIN, is conducting this clinical trial under sponsorship and funding support from the National Cancer Institute, or NCI. The Phase 3 clinical trial is designed to determine whether the addition of entinostat to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improves progression-free survival, or PFS, overall survival, or both in patients who have previously progressed after treatment with standard-of-care hormonal agents. We believe that the submission of the results of the Phase 3 clinical trial, if successful, would be sufficient for regulatory approval of entinostat in the United States.</w:t>
      </w:r>
    </w:p>
    <w:p>
      <w:pPr>
        <w:spacing w:after="0" w:line="144"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were incorporated under the laws of the State of Delaware in October 2005. Since inception, we have focused our efforts on the research and development and raising capital. Based on our research and development plans and our timing expectations related to the progress of our programs, we believe that the net proceeds from this offering, together with our existing cash, cash equivalents and short-term investments, will fund our projected operating expenses and capital expenditure requirements for at least the next 24 months. Our future capital requirements will depend on many factors, including those discussed in the sections titled “Management’s Discussion and Analysis of Financial Condition and Results of Operations” and “Risk Factors,” included elsewhere in this prospectus.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focused on developing entinostat for use in multiple cancer indications in combination with complementary therapeutic drugs. Key elements of our strategy include:</w:t>
      </w:r>
    </w:p>
    <w:p>
      <w:pPr>
        <w:spacing w:after="0" w:line="172" w:lineRule="exact"/>
        <w:rPr>
          <w:sz w:val="20"/>
          <w:szCs w:val="20"/>
          <w:color w:val="auto"/>
        </w:rPr>
      </w:pPr>
    </w:p>
    <w:p>
      <w:pPr>
        <w:ind w:left="1000" w:hanging="317"/>
        <w:spacing w:after="0" w:line="290" w:lineRule="auto"/>
        <w:tabs>
          <w:tab w:leader="none" w:pos="100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entinostat as the combination therapy of choice with immune checkpoint inhibitors, initially PD-1 and PDL-1 inhibitors. </w:t>
      </w:r>
      <w:r>
        <w:rPr>
          <w:rFonts w:ascii="Arial" w:cs="Arial" w:eastAsia="Arial" w:hAnsi="Arial"/>
          <w:sz w:val="16"/>
          <w:szCs w:val="16"/>
          <w:color w:val="auto"/>
        </w:rPr>
        <w:t xml:space="preserve">Our near-term focus is to rapidly establish proof of concept that entinostat can provide additional meaningful clinical benefit to patients in one or more tumor types when combined with a programmed cell death protein 1, or PD-1, inhibitor or a programmed cell death protein ligand 1, or PDL-1, inhibitor. Our approach is to conduct clinical trials in patients with tumor types that are known to be responsive to PD-1 or PDL-1 inhibitors, such as NSCLC, melanoma, TNBC, head and neck cancer, bladder cancer and renal cell cancer. To that end, we have entered into non-exclusive collaborations with Merck and Genentech. In our collaboration with Merck, we intend to evaluate the safety, tolerability and efficacy of combining entinostat with </w:t>
      </w:r>
      <w:r>
        <w:rPr>
          <w:rFonts w:ascii="Arial" w:cs="Arial" w:eastAsia="Arial" w:hAnsi="Arial"/>
          <w:sz w:val="16"/>
          <w:szCs w:val="16"/>
          <w:i w:val="1"/>
          <w:iCs w:val="1"/>
          <w:color w:val="auto"/>
        </w:rPr>
        <w:t>Keytruda</w:t>
      </w:r>
      <w:r>
        <w:rPr>
          <w:rFonts w:ascii="Arial" w:cs="Arial" w:eastAsia="Arial" w:hAnsi="Arial"/>
          <w:sz w:val="16"/>
          <w:szCs w:val="16"/>
          <w:color w:val="auto"/>
        </w:rPr>
        <w:t>, an approved anti-PD-1 therapy, in NSCLC and melanoma. In our collaboration with Genentech, we plan to evaluate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1040" w:right="380"/>
        <w:spacing w:after="0" w:line="306" w:lineRule="auto"/>
        <w:rPr>
          <w:sz w:val="20"/>
          <w:szCs w:val="20"/>
          <w:color w:val="auto"/>
        </w:rPr>
      </w:pPr>
      <w:r>
        <w:rPr>
          <w:rFonts w:ascii="Arial" w:cs="Arial" w:eastAsia="Arial" w:hAnsi="Arial"/>
          <w:sz w:val="16"/>
          <w:szCs w:val="16"/>
          <w:color w:val="auto"/>
        </w:rPr>
        <w:t>the safety, tolerability and efficacy of entinostat in combination with atezolizumab, Genentech’s investigational monoclonal antibody targeting PDL-1, in patients with TNBC. We intend to expand the existing collaborations or enter into additional collaborations through non-exclusive, clinical development agreements in order to assess entinostat’s impact across multiple tumor types while maintaining our ownership rights.</w:t>
      </w:r>
    </w:p>
    <w:p>
      <w:pPr>
        <w:spacing w:after="0" w:line="26" w:lineRule="exact"/>
        <w:rPr>
          <w:sz w:val="20"/>
          <w:szCs w:val="20"/>
          <w:color w:val="auto"/>
        </w:rPr>
      </w:pPr>
    </w:p>
    <w:p>
      <w:pPr>
        <w:ind w:left="1000" w:right="80" w:hanging="317"/>
        <w:spacing w:after="0" w:line="290"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Pursue regulatory approval of entinostat in indications with significant unmet need and commercial potential. </w:t>
      </w:r>
      <w:r>
        <w:rPr>
          <w:rFonts w:ascii="Arial" w:cs="Arial" w:eastAsia="Arial" w:hAnsi="Arial"/>
          <w:sz w:val="16"/>
          <w:szCs w:val="16"/>
          <w:color w:val="auto"/>
        </w:rPr>
        <w:t>We expect to conduct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trials that may lead to accelerated approval and/or conduct pivotal Phase 3 clinical trials, which would serve as the basis of approval from the FDA and the European Commission assuming that one or more of our Phase 1b/2 clinical trials are successful. We may also seek breakthrough therapy designation from the FDA depending on the magnitude of the clinical benefit observed. We plan to take a strategic approach with respect to the order in which we choose to pursue FDA approvals that will depend on the results of the entinostat proof-of-concept clinical trials, the relative speed to FDA approval for any given indication, the unmet need that exists within any given patient population and the competitive landscape of other therapies approved or in development for a given indication.</w:t>
      </w:r>
    </w:p>
    <w:p>
      <w:pPr>
        <w:spacing w:after="0" w:line="37" w:lineRule="exact"/>
        <w:rPr>
          <w:rFonts w:ascii="Arial" w:cs="Arial" w:eastAsia="Arial" w:hAnsi="Arial"/>
          <w:sz w:val="16"/>
          <w:szCs w:val="16"/>
          <w:color w:val="auto"/>
        </w:rPr>
      </w:pPr>
    </w:p>
    <w:p>
      <w:pPr>
        <w:ind w:left="1000" w:hanging="317"/>
        <w:spacing w:after="0" w:line="289"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Continue to develop and obtain regulatory approval for entinostat in combination with hormone therapy in advanced HR+ breast cancer. </w:t>
      </w:r>
      <w:r>
        <w:rPr>
          <w:rFonts w:ascii="Arial" w:cs="Arial" w:eastAsia="Arial" w:hAnsi="Arial"/>
          <w:sz w:val="16"/>
          <w:szCs w:val="16"/>
          <w:color w:val="auto"/>
        </w:rPr>
        <w:t>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the positive results from our Phase 2b clinical trial, we received breakthrough therapy designation from the FDA for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advanced HR+ breast cancer. A 600 patient Phase 3 clinical trial testing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combination with entinostat versus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in combination with a placebo in patients with advanced HR+ breast cancer is currently being conducted by the ECOG-ACRIN under sponsorship and funding support from the NCI. We are providing financial and operational support for this Phase 3 clinical trial under separate agreements with the NCI and ECOG-ACRIN. The protocol for the Phase 3 clinical trial was reviewed and agreed upon by the FDA under a Special Protocol Assessment, or SPA, agreement with the NCI. We believe that the submission of the results of the Phase 3 clinical trial, if successful, would be sufficient for regulatory approval of entinostat in the United States.</w:t>
      </w:r>
    </w:p>
    <w:p>
      <w:pPr>
        <w:spacing w:after="0" w:line="37" w:lineRule="exact"/>
        <w:rPr>
          <w:rFonts w:ascii="Arial" w:cs="Arial" w:eastAsia="Arial" w:hAnsi="Arial"/>
          <w:sz w:val="16"/>
          <w:szCs w:val="16"/>
          <w:color w:val="auto"/>
        </w:rPr>
      </w:pPr>
    </w:p>
    <w:p>
      <w:pPr>
        <w:ind w:left="1000" w:right="80" w:hanging="317"/>
        <w:spacing w:after="0" w:line="294"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the technical and business expertise of our management team and scientific collaborators to license, acquire and develop additional cancer therapies to expand our pipeline. </w:t>
      </w:r>
      <w:r>
        <w:rPr>
          <w:rFonts w:ascii="Arial" w:cs="Arial" w:eastAsia="Arial" w:hAnsi="Arial"/>
          <w:sz w:val="16"/>
          <w:szCs w:val="16"/>
          <w:color w:val="auto"/>
        </w:rPr>
        <w:t>Our management team, advisors and scientific collaborators are or have been affiliated with some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world’s leading research and development organizations and have a distinguished track record in product licensing, acquisitions and oncology drug development. As such, we intend to continue leveraging the collective talent within our organization and network of advisors to guide our pipeline expansion and development plans and to enable the execution of our business strategy.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Entinostat Program</w:t>
      </w:r>
    </w:p>
    <w:p>
      <w:pPr>
        <w:spacing w:after="0" w:line="177"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Cancer is a complex, often fatal, disease arising from uncontrolled cell growth and the ability of cancer cells to avoid the immune system, the body’s primary defense mechanism for finding and destroying such cells. We are developing entinostat, which has direct effects on both cancer cells and immune regulatory cells. We have demonstrated that the delivery of entinostat in combination with hormone therapy can result in improvements in overall survival in advanced HR+ breast cancer patients. Entinostat has also demonstrated synergistic anti-tumor activity in combination with immune checkpoint inhibitors in preclinical studies. Entinostat is an oral, small molecule HDAC inhibitor.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HDACs are enzymes that are subdivided into four classes and are known to play a role in controlling cell survival, proliferation, angiogenesis and immunity. While most HDAC inhibitors broadly inhibit multiple classes of HDACs, preclinical studies have shown that entinostat’s inhibitory activity is selective to Class 1 HDACs, which have been shown to impact the number and activity of MDSCs and Tregs. We believe that entinostat’s Class 1 specificity enhances immune responses against cancer and is likely to lead to a better tolerability and combinability profile.</w:t>
      </w:r>
    </w:p>
    <w:p>
      <w:pPr>
        <w:spacing w:after="0" w:line="143" w:lineRule="exact"/>
        <w:rPr>
          <w:sz w:val="20"/>
          <w:szCs w:val="20"/>
          <w:color w:val="auto"/>
        </w:rPr>
      </w:pPr>
    </w:p>
    <w:p>
      <w:pPr>
        <w:jc w:val="right"/>
        <w:ind w:right="10000"/>
        <w:spacing w:after="0"/>
        <w:rPr>
          <w:sz w:val="20"/>
          <w:szCs w:val="20"/>
          <w:color w:val="auto"/>
        </w:rPr>
      </w:pPr>
      <w:r>
        <w:rPr>
          <w:rFonts w:ascii="Arial" w:cs="Arial" w:eastAsia="Arial" w:hAnsi="Arial"/>
          <w:sz w:val="15"/>
          <w:szCs w:val="15"/>
          <w:b w:val="1"/>
          <w:bCs w:val="1"/>
          <w:i w:val="1"/>
          <w:iCs w:val="1"/>
          <w:color w:val="auto"/>
        </w:rPr>
        <w:t>Immuno-Oncology</w:t>
      </w:r>
    </w:p>
    <w:p>
      <w:pPr>
        <w:spacing w:after="0" w:line="206" w:lineRule="exact"/>
        <w:rPr>
          <w:sz w:val="20"/>
          <w:szCs w:val="20"/>
          <w:color w:val="auto"/>
        </w:rPr>
      </w:pPr>
    </w:p>
    <w:p>
      <w:pPr>
        <w:jc w:val="right"/>
        <w:ind w:right="10020"/>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Immuno-oncology is an emerging field of cancer medicine that has focused on the development of therapeutic approaches designed to activate the immune system to find and destroy cancer cells. The immune system consists of two parts, the innate immune system and the adaptive immune system and both play a role in an effective anti-tumor immune response. The innate immune system, composed of key cells such as natural killer cells and neutrophils, is non-specific and is designed to rapidly identify and eliminate immediate threats to the body, such as infections and other pathogens. The adaptive immune system, composed of B cells, T cells and other immune regulatory cells, targets specific antigens and provides a long-term immune response, known as immunologic memory, to antigens it recognizes as foreign.</w:t>
      </w:r>
    </w:p>
    <w:p>
      <w:pPr>
        <w:spacing w:after="0" w:line="14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Many tumors have the ability to evade both the innate and adaptive immune system through direct cellular interactions and recruitment of immuno-suppressive cells to the area surrounding the tumor. Cancer cells can express proteins on their cell surface known as checkpoint proteins, such as PDL-1 and programmed cell death protein ligand 2, or PDL-2, that block the ability of immune cells known as cytotoxic T cells to kill cancer cells. Antibodies that block PDL-1 or PDL-2 restore the ability of cytotoxic T cells to kill cancer cells and have shown significant clinical benefit. Positive results notwithstanding, durable responses following treatment with immune checkpoint inhibitors have only been observed in a relatively small population of treated patients, with overall response rates falling below 30% depending on tumor type, and suggest that additional strategies enhancing the anti-tumor immune response are needed to improve the survival of cancer patients.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Research to identify the basis for the limited efficacy of recently developed immune therapies has provided investigators with an appreciation for the role that specific immune regulatory cells, such as MDSCs and Tregs, have in dampening the cytotoxic T cell response. MDSCs and Tregs localize in the area surrounding the tumor and, together with the immune checkpoints, play a significant role in helping a tumor evade detection and elimination by the immune system.</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MDSCs are a group of immature myeloid cells that are activated by disease or injury and are generally increased in cancer patients. The primary function of MDSCs is to suppress an activated T cell immune response through the production and secretion of enzymes, which deplete key amino acids required for the growth and function of cytotoxic T cells. High levels of circulating MDSCs in various cancers, including breast, lung and head and neck, and others correspond with a poor prognosis and limited response to cancer therapy. Recent data further indicates that high levels of circulating MDSCs in melanoma patients are inversely correlated with clinical response to immune checkpoint inhibitors suggesting that targeting MDSCs may offer new therapeutic opportunities that enhance the anti-tumor response to immune checkpoint inhibitors.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Tregs are immune suppressor cells that are recruited to sites of active immune response in order to shut down the cytotoxic T cell response. Unlike MDSCs, which are found in activated states in circulating blood, Tregs are recruited to the area surrounding the tumor and activated by local signals from the cancer cell. As with MDSCs, an increase in the level of activated Tregs correlates with poor prognosis in a number of tumor types including breast, colorectal, ovarian and other cancers. Tregs suppress cytotoxic T cell responses through the secretion of cytokines that inhibit the growth of cytotoxic T cells. In addition, Tregs can cause other immune regulatory cells in the area surrounding the tumor to secrete immune suppressive enzymes. Inhibiting Tregs may therefore relieve immune suppression in a way similar and potentially complementary to that of other immune-targeted approaches.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as Immunotherapy</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Preclinical and clinical data combined with the safety data observed in treating more than 900 cancer patients to date support our belief that entinostat has the potential to enhance the efficacy of immune checkpoint inhibitors across multiple tumor types. Entinostat is a Class 1-specific HDAC inhibitor targeting those HDACs shown to impact the number and activity of MDSCs and Tregs. We believe that entinostat acts on a different tumor-evasion mechanism than that being targeted by most other immunotherapies in development and is the most advanced agent that can directly reduce both the number and activity of MDSCs and Tregs while sparing the cytotoxic T cells. This impact of entinostat’s effect is presented in Figure 1 below, which illustrates how this mechanism can be highly complementary to immune checkpoint inhibitors.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wp:posOffset>
            </wp:positionV>
            <wp:extent cx="5213985" cy="32245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13985"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Syndax</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Data Supporting Entinostat as a Dual Inhibitor of Immune Suppressor Cells</w:t>
      </w:r>
      <w:r>
        <w:rPr>
          <w:rFonts w:ascii="Arial" w:cs="Arial" w:eastAsia="Arial" w:hAnsi="Arial"/>
          <w:sz w:val="18"/>
          <w:szCs w:val="18"/>
          <w:color w:val="auto"/>
        </w:rPr>
        <w:t>. Separate preclinical studies from investigators at Johns Hopkins</w:t>
      </w:r>
      <w:r>
        <w:rPr>
          <w:rFonts w:ascii="Arial" w:cs="Arial" w:eastAsia="Arial" w:hAnsi="Arial"/>
          <w:sz w:val="18"/>
          <w:szCs w:val="18"/>
          <w:b w:val="1"/>
          <w:bCs w:val="1"/>
          <w:color w:val="auto"/>
        </w:rPr>
        <w:t xml:space="preserve"> </w:t>
      </w:r>
      <w:r>
        <w:rPr>
          <w:rFonts w:ascii="Arial" w:cs="Arial" w:eastAsia="Arial" w:hAnsi="Arial"/>
          <w:sz w:val="18"/>
          <w:szCs w:val="18"/>
          <w:color w:val="auto"/>
        </w:rPr>
        <w:t>University, or JHU, and Roswell Park Cancer Center have demonstrated that entinostat is a dual inhibitor of immune suppressor cells through its targeting of both MDSCs and Tregs. Figure 2 below shows that entinostat reduces the growth of MDSCs at concentrations that spare the growth of cytotoxic T cells. Approximately half of the MDSCs are stopped from growing at 200 nM of entinostat, which is 35 times less than the concentration of entinostat that stops half of the cytotoxic T cells from growing.</w:t>
      </w:r>
    </w:p>
    <w:p>
      <w:pPr>
        <w:spacing w:after="0" w:line="14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Investigators have previously demonstrated that increased levels of FOXP3, a protein involved in Treg function, is an indicator of Treg immune suppressor activity. Figure 3 below shows that entinostat reduces the levels of FOXP3 protein in Tregs, when administered in an animal cancer model demonstrating entinostat’s ability to inhibit Treg immune suppressor activity.</w:t>
      </w:r>
    </w:p>
    <w:p>
      <w:pPr>
        <w:spacing w:after="0" w:line="175" w:lineRule="exact"/>
        <w:rPr>
          <w:sz w:val="20"/>
          <w:szCs w:val="20"/>
          <w:color w:val="auto"/>
        </w:rPr>
      </w:pPr>
    </w:p>
    <w:p>
      <w:pPr>
        <w:ind w:left="440"/>
        <w:spacing w:after="0"/>
        <w:tabs>
          <w:tab w:leader="none" w:pos="6040" w:val="left"/>
        </w:tabs>
        <w:rPr>
          <w:sz w:val="20"/>
          <w:szCs w:val="20"/>
          <w:color w:val="auto"/>
        </w:rPr>
      </w:pPr>
      <w:r>
        <w:rPr>
          <w:rFonts w:ascii="Arial" w:cs="Arial" w:eastAsia="Arial" w:hAnsi="Arial"/>
          <w:sz w:val="18"/>
          <w:szCs w:val="18"/>
          <w:b w:val="1"/>
          <w:bCs w:val="1"/>
          <w:color w:val="auto"/>
        </w:rPr>
        <w:t>Figure 2.</w:t>
      </w:r>
      <w:r>
        <w:rPr>
          <w:sz w:val="20"/>
          <w:szCs w:val="20"/>
          <w:color w:val="auto"/>
        </w:rPr>
        <w:tab/>
      </w:r>
      <w:r>
        <w:rPr>
          <w:rFonts w:ascii="Arial" w:cs="Arial" w:eastAsia="Arial" w:hAnsi="Arial"/>
          <w:sz w:val="15"/>
          <w:szCs w:val="15"/>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6380480" cy="18783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80480"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spacing w:after="0"/>
        <w:tabs>
          <w:tab w:leader="none" w:pos="6400" w:val="left"/>
        </w:tabs>
        <w:rPr>
          <w:sz w:val="20"/>
          <w:szCs w:val="20"/>
          <w:color w:val="auto"/>
        </w:rPr>
      </w:pPr>
      <w:r>
        <w:rPr>
          <w:rFonts w:ascii="Arial" w:cs="Arial" w:eastAsia="Arial" w:hAnsi="Arial"/>
          <w:sz w:val="14"/>
          <w:szCs w:val="14"/>
          <w:i w:val="1"/>
          <w:iCs w:val="1"/>
          <w:color w:val="auto"/>
        </w:rPr>
        <w:t>Source: Adapted from Kim et al 2014 Proceedings of the National Academy of Sciences</w:t>
      </w:r>
      <w:r>
        <w:rPr>
          <w:sz w:val="20"/>
          <w:szCs w:val="20"/>
          <w:color w:val="auto"/>
        </w:rPr>
        <w:tab/>
      </w:r>
      <w:r>
        <w:rPr>
          <w:rFonts w:ascii="Arial" w:cs="Arial" w:eastAsia="Arial" w:hAnsi="Arial"/>
          <w:sz w:val="12"/>
          <w:szCs w:val="12"/>
          <w:i w:val="1"/>
          <w:iCs w:val="1"/>
          <w:color w:val="auto"/>
        </w:rPr>
        <w:t>Source: Adapted from Shen et al 2012 Public Library of Science</w:t>
      </w:r>
    </w:p>
    <w:p>
      <w:pPr>
        <w:spacing w:after="0" w:line="2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order to determine whether the effect of entinostat observed in preclinical research studies can also be observed in cancer patients treated with entinostat, we conducted an analysis on immune cells found in blood samples collected from a subset of patients treated in ENCORE 301, our Phase 2b clinical trial in advanced HR+ breast cancer patients. As shown in Figure 4 below, in these peripheral blood samples, we observed a statistically significant reduction in the level of circulating MDSCs in patients treated with the combination of entinostat and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 hormone therapy, but not in patients treated with the combination of placebo and </w:t>
      </w:r>
      <w:r>
        <w:rPr>
          <w:rFonts w:ascii="Arial" w:cs="Arial" w:eastAsia="Arial" w:hAnsi="Arial"/>
          <w:sz w:val="16"/>
          <w:szCs w:val="16"/>
          <w:i w:val="1"/>
          <w:iCs w:val="1"/>
          <w:color w:val="auto"/>
        </w:rPr>
        <w:t>Aromasin</w:t>
      </w:r>
      <w:r>
        <w:rPr>
          <w:rFonts w:ascii="Arial" w:cs="Arial" w:eastAsia="Arial" w:hAnsi="Arial"/>
          <w:sz w:val="16"/>
          <w:szCs w:val="16"/>
          <w:color w:val="auto"/>
        </w:rPr>
        <w:t>. We believe this data collected from a subset of the ENCORE 301 patient population provided the first clinical evidence of entinostat-mediated reduction of immunosuppressive MDSCs in patients and is consistent with the impact on MDSCs observed in the preclinical animal studies.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14605</wp:posOffset>
            </wp:positionV>
            <wp:extent cx="2512695" cy="2341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12695"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320"/>
        <w:spacing w:after="0"/>
        <w:rPr>
          <w:sz w:val="20"/>
          <w:szCs w:val="20"/>
          <w:color w:val="auto"/>
        </w:rPr>
      </w:pPr>
      <w:r>
        <w:rPr>
          <w:rFonts w:ascii="Arial" w:cs="Arial" w:eastAsia="Arial" w:hAnsi="Arial"/>
          <w:sz w:val="14"/>
          <w:szCs w:val="14"/>
          <w:i w:val="1"/>
          <w:iCs w:val="1"/>
          <w:color w:val="auto"/>
        </w:rPr>
        <w:t>Source: Syndax</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Supporting Entinostat in Combination with Immune Checkpoint Inhibitors</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u w:val="single" w:color="auto"/>
          <w:color w:val="auto"/>
        </w:rPr>
        <w:t>Preclinical</w:t>
      </w:r>
      <w:r>
        <w:rPr>
          <w:rFonts w:ascii="Arial" w:cs="Arial" w:eastAsia="Arial" w:hAnsi="Arial"/>
          <w:sz w:val="16"/>
          <w:szCs w:val="16"/>
          <w:color w:val="auto"/>
        </w:rPr>
        <w:t>. In order to determine whether entinostat could combine effectively with immune checkpoint inhibitors, investigators from JHU recently tested entinostat in combination with anti-PD-1 and anti-cytotoxic T-lymphocyte-associated protein 4, or CTLA4, directed antibodies in immune-resistant animal models. As shown in Figure 5 below, the elimination of both primary and metastatic tumors was observed in a 4T1 mouse breast cancer model that was treated with entinostat together with dual PD-1/CTLA4 checkpoint inhibition. The researchers observed that entinostat, rather than attacking and destroying replicating cells as standard chemotherapy drugs do, reduced the number and activity of MDSCs.</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143510</wp:posOffset>
            </wp:positionV>
            <wp:extent cx="5171440" cy="2418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7144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Arial" w:cs="Arial" w:eastAsia="Arial" w:hAnsi="Arial"/>
          <w:sz w:val="14"/>
          <w:szCs w:val="14"/>
          <w:i w:val="1"/>
          <w:iCs w:val="1"/>
          <w:color w:val="auto"/>
        </w:rPr>
        <w:t>Source: Adapted from Kim et al 2014 Proceedings of the National Academy of Sciences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00"/>
          </w:cols>
          <w:pgMar w:left="240" w:top="459" w:right="3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6"/>
          <w:szCs w:val="16"/>
          <w:u w:val="single" w:color="auto"/>
          <w:color w:val="auto"/>
        </w:rPr>
        <w:t>Clinical</w:t>
      </w:r>
      <w:r>
        <w:rPr>
          <w:rFonts w:ascii="Arial" w:cs="Arial" w:eastAsia="Arial" w:hAnsi="Arial"/>
          <w:sz w:val="16"/>
          <w:szCs w:val="16"/>
          <w:color w:val="auto"/>
        </w:rPr>
        <w:t xml:space="preserve">. Based on the clinical outcome of patients who were treated in two unrelated clinical trials, physicians at JHU observed preliminary evidence for the potential beneficial effects of combining entinostat with a PD-1 or PDL-1 inhibitor. In a heavily pre-treated metastatic NSCLC population, patients given the combination of entinostat and </w:t>
      </w:r>
      <w:r>
        <w:rPr>
          <w:rFonts w:ascii="Arial" w:cs="Arial" w:eastAsia="Arial" w:hAnsi="Arial"/>
          <w:sz w:val="16"/>
          <w:szCs w:val="16"/>
          <w:i w:val="1"/>
          <w:iCs w:val="1"/>
          <w:color w:val="auto"/>
        </w:rPr>
        <w:t>Vidaza</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(azacitidine), an approved chemotherapeutic drug, achieved few objective responses and only a modest 4% overall response rate. However, investigators observed that these same patients who received the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 and who subsequently received immune checkpoint therapy demonstrated a higher response rate than that expected for this patient population. Figure 6 below illustrates that all five patients who received either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an approved anti-PD-1, or an investigational PDL-1 inhibitor as their next therapy derived durable clinical benefit. Three of the patients had durable responses and two had durable stable disease. This enhanced response rate was better than an expected 15% response to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alone observed in a similar advanced NSCLC population and led investigators to hypothesize that the prior effect of the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 therapy was “priming” the tumors to the subsequent immune therapy. To confirm these findings and further explore the ability of the combination of </w:t>
      </w:r>
      <w:r>
        <w:rPr>
          <w:rFonts w:ascii="Arial" w:cs="Arial" w:eastAsia="Arial" w:hAnsi="Arial"/>
          <w:sz w:val="16"/>
          <w:szCs w:val="16"/>
          <w:i w:val="1"/>
          <w:iCs w:val="1"/>
          <w:color w:val="auto"/>
        </w:rPr>
        <w:t>Vidaza</w:t>
      </w:r>
      <w:r>
        <w:rPr>
          <w:rFonts w:ascii="Arial" w:cs="Arial" w:eastAsia="Arial" w:hAnsi="Arial"/>
          <w:sz w:val="16"/>
          <w:szCs w:val="16"/>
          <w:color w:val="auto"/>
        </w:rPr>
        <w:t xml:space="preserve"> and entinostat to enhance the response of NSCLC patients to </w:t>
      </w:r>
      <w:r>
        <w:rPr>
          <w:rFonts w:ascii="Arial" w:cs="Arial" w:eastAsia="Arial" w:hAnsi="Arial"/>
          <w:sz w:val="16"/>
          <w:szCs w:val="16"/>
          <w:i w:val="1"/>
          <w:iCs w:val="1"/>
          <w:color w:val="auto"/>
        </w:rPr>
        <w:t>Opdivo</w:t>
      </w:r>
      <w:r>
        <w:rPr>
          <w:rFonts w:ascii="Arial" w:cs="Arial" w:eastAsia="Arial" w:hAnsi="Arial"/>
          <w:sz w:val="16"/>
          <w:szCs w:val="16"/>
          <w:color w:val="auto"/>
        </w:rPr>
        <w:t>, the investigators at JHU have initiated a follow-on randomized Phase 2 clinical trial, J1353.</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118110</wp:posOffset>
            </wp:positionV>
            <wp:extent cx="3515995" cy="29502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15995"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60"/>
        <w:spacing w:after="0"/>
        <w:rPr>
          <w:sz w:val="20"/>
          <w:szCs w:val="20"/>
          <w:color w:val="auto"/>
        </w:rPr>
      </w:pPr>
      <w:r>
        <w:rPr>
          <w:rFonts w:ascii="Arial" w:cs="Arial" w:eastAsia="Arial" w:hAnsi="Arial"/>
          <w:sz w:val="14"/>
          <w:szCs w:val="14"/>
          <w:i w:val="1"/>
          <w:iCs w:val="1"/>
          <w:color w:val="auto"/>
        </w:rPr>
        <w:t>Source: Adapted from Wrangle et al 2013 Oncotarget</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NSCLC and Melanoma</w:t>
      </w:r>
    </w:p>
    <w:p>
      <w:pPr>
        <w:spacing w:after="0" w:line="165" w:lineRule="exact"/>
        <w:rPr>
          <w:sz w:val="20"/>
          <w:szCs w:val="20"/>
          <w:color w:val="auto"/>
        </w:rPr>
      </w:pPr>
    </w:p>
    <w:p>
      <w:pPr>
        <w:ind w:right="40" w:firstLine="456"/>
        <w:spacing w:after="0" w:line="296" w:lineRule="auto"/>
        <w:rPr>
          <w:sz w:val="20"/>
          <w:szCs w:val="20"/>
          <w:color w:val="auto"/>
        </w:rPr>
      </w:pPr>
      <w:r>
        <w:rPr>
          <w:rFonts w:ascii="Arial" w:cs="Arial" w:eastAsia="Arial" w:hAnsi="Arial"/>
          <w:sz w:val="16"/>
          <w:szCs w:val="16"/>
          <w:b w:val="1"/>
          <w:bCs w:val="1"/>
          <w:color w:val="auto"/>
        </w:rPr>
        <w:t>Market Overview and Current Treatment—NSCLC</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Lung cancer is the leading cause of cancer death among men and women, with more people dying</w:t>
      </w:r>
      <w:r>
        <w:rPr>
          <w:rFonts w:ascii="Arial" w:cs="Arial" w:eastAsia="Arial" w:hAnsi="Arial"/>
          <w:sz w:val="16"/>
          <w:szCs w:val="16"/>
          <w:b w:val="1"/>
          <w:bCs w:val="1"/>
          <w:color w:val="auto"/>
        </w:rPr>
        <w:t xml:space="preserve"> </w:t>
      </w:r>
      <w:r>
        <w:rPr>
          <w:rFonts w:ascii="Arial" w:cs="Arial" w:eastAsia="Arial" w:hAnsi="Arial"/>
          <w:sz w:val="16"/>
          <w:szCs w:val="16"/>
          <w:color w:val="auto"/>
        </w:rPr>
        <w:t>of lung cancer each year than of colon, breast, and prostate cancers combined. According to the American Cancer Society, approximately 85% to 90% of lung cancers are NSCLC, and in 2015, an estimated 221,200 new cases of lung cancer will be diagnosed and an estimated 158,040 people will die from lung cancer in the United States. The five-year survival rate for patients with NSCLC generally is 18% and for patients with Stage III/IV NSCLC is approximately 6%, indicating a significant need for new therapies that can prolong overall survival.</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Metastatic NSCLC is a severe disease with a poor prognosis in the majority of patients with limited treatment options to date. Treatment typically includes a first-line combination chemotherapy followed by a choice of a second-line therapeutic approach. Most patients receiving first-line chemotherapy will relapse within one year of treatment with a median PFS of approximately five to six months and median overall survival of approximately 10 to 12 months. In the second-line setting, the median PFS is approximately three to four months and median overall survival is approximately six to seven months.</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The treatment paradigm of NSCLC changed significantly in March 2015 when the FDA approved </w:t>
      </w:r>
      <w:r>
        <w:rPr>
          <w:rFonts w:ascii="Arial" w:cs="Arial" w:eastAsia="Arial" w:hAnsi="Arial"/>
          <w:sz w:val="16"/>
          <w:szCs w:val="16"/>
          <w:i w:val="1"/>
          <w:iCs w:val="1"/>
          <w:color w:val="auto"/>
        </w:rPr>
        <w:t>Opdivo,</w:t>
      </w:r>
      <w:r>
        <w:rPr>
          <w:rFonts w:ascii="Arial" w:cs="Arial" w:eastAsia="Arial" w:hAnsi="Arial"/>
          <w:sz w:val="16"/>
          <w:szCs w:val="16"/>
          <w:color w:val="auto"/>
        </w:rPr>
        <w:t xml:space="preserve"> an anti-PD-1 monoclonal antibody as the first immune-targeted drug to treat people with squamous NSCLC in patients who have relapsed after platinum-based chemotherapy. This approval was based on a trial that was stopped early after showing that </w:t>
      </w:r>
      <w:r>
        <w:rPr>
          <w:rFonts w:ascii="Arial" w:cs="Arial" w:eastAsia="Arial" w:hAnsi="Arial"/>
          <w:sz w:val="16"/>
          <w:szCs w:val="16"/>
          <w:i w:val="1"/>
          <w:iCs w:val="1"/>
          <w:color w:val="auto"/>
        </w:rPr>
        <w:t>Opdivo</w:t>
      </w:r>
      <w:r>
        <w:rPr>
          <w:rFonts w:ascii="Arial" w:cs="Arial" w:eastAsia="Arial" w:hAnsi="Arial"/>
          <w:sz w:val="16"/>
          <w:szCs w:val="16"/>
          <w:color w:val="auto"/>
        </w:rPr>
        <w:t xml:space="preserve"> improved overall survival by 3.2 months compared to docetaxol, a comparator drug approved for this population. This data represents a significant increase in efficacy from what has traditionally been expected of drugs approved to treat advanced lung cancer, and we believe that immune checkpoint inhibitors will become the standard of care for this patient population. There are other immune checkpoint inhibitors being developed to treat NSCLC, the most advanced of which include Merck’s </w:t>
      </w:r>
      <w:r>
        <w:rPr>
          <w:rFonts w:ascii="Arial" w:cs="Arial" w:eastAsia="Arial" w:hAnsi="Arial"/>
          <w:sz w:val="16"/>
          <w:szCs w:val="16"/>
          <w:i w:val="1"/>
          <w:iCs w:val="1"/>
          <w:color w:val="auto"/>
        </w:rPr>
        <w:t>Keytruda</w:t>
      </w:r>
      <w:r>
        <w:rPr>
          <w:rFonts w:ascii="Arial" w:cs="Arial" w:eastAsia="Arial" w:hAnsi="Arial"/>
          <w:sz w:val="16"/>
          <w:szCs w:val="16"/>
          <w:color w:val="auto"/>
        </w:rPr>
        <w:t>, Genentech’s atezolizumab, AstraZeneca plc’s MEDI4736, and Merck KGaA, Darmstadt, Germany/Pfizer Inc.’s avelumab. The clinical development programs for all of these therapies have been designed to understand the broad impact they could have across NSCLC, including non-squamous, chemotherapy-naive and previously treated patients. We anticipate the immune checkpoint inhibitors will be available for use across the spectrum of advanced NSCLC patients.</w:t>
      </w:r>
    </w:p>
    <w:p>
      <w:pPr>
        <w:spacing w:after="0" w:line="12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However, even as the development of these immune checkpoint inhibitors represent a significant advance for NSCLC patients, the proportion of treated patients who respond is still quite low (15 to 20%). This low response rate leaves significant room to improve upon the benefit of immune checkpoint inhibitors through combinations with drugs, like entinostat, that target immune modulation through complementary mechanisms.</w:t>
      </w:r>
    </w:p>
    <w:p>
      <w:pPr>
        <w:spacing w:after="0" w:line="10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Market Overview and Current Treatment—Melanoma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incidence of malignant melanoma in most developed countries has risen faster than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cancer type since the mid-1950s. In 2011, the average survival duration for patients with Stage IV melanoma, in which the melanoma has metastasized, was only 6 to 10 months and the five-year survival rate for such patients is 16%. Although this rate has not changed in some time, a recent major advance for melanoma came with the development and approval of drugs such as </w:t>
      </w:r>
      <w:r>
        <w:rPr>
          <w:rFonts w:ascii="Arial" w:cs="Arial" w:eastAsia="Arial" w:hAnsi="Arial"/>
          <w:sz w:val="16"/>
          <w:szCs w:val="16"/>
          <w:i w:val="1"/>
          <w:iCs w:val="1"/>
          <w:color w:val="auto"/>
        </w:rPr>
        <w:t>Zelboraf</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(vemurafenib), </w:t>
      </w:r>
      <w:r>
        <w:rPr>
          <w:rFonts w:ascii="Arial" w:cs="Arial" w:eastAsia="Arial" w:hAnsi="Arial"/>
          <w:sz w:val="16"/>
          <w:szCs w:val="16"/>
          <w:i w:val="1"/>
          <w:iCs w:val="1"/>
          <w:color w:val="auto"/>
        </w:rPr>
        <w:t>Tafinlar</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(dabrafenib) and </w:t>
      </w:r>
      <w:r>
        <w:rPr>
          <w:rFonts w:ascii="Arial" w:cs="Arial" w:eastAsia="Arial" w:hAnsi="Arial"/>
          <w:sz w:val="16"/>
          <w:szCs w:val="16"/>
          <w:i w:val="1"/>
          <w:iCs w:val="1"/>
          <w:color w:val="auto"/>
        </w:rPr>
        <w:t>Mekinist</w:t>
      </w:r>
      <w:r>
        <w:rPr>
          <w:rFonts w:ascii="Arial" w:cs="Arial" w:eastAsia="Arial" w:hAnsi="Arial"/>
          <w:sz w:val="26"/>
          <w:szCs w:val="26"/>
          <w:i w:val="1"/>
          <w:iCs w:val="1"/>
          <w:color w:val="auto"/>
          <w:vertAlign w:val="superscript"/>
        </w:rPr>
        <w:t>®</w:t>
      </w:r>
      <w:r>
        <w:rPr>
          <w:rFonts w:ascii="Arial" w:cs="Arial" w:eastAsia="Arial" w:hAnsi="Arial"/>
          <w:sz w:val="16"/>
          <w:szCs w:val="16"/>
          <w:color w:val="auto"/>
        </w:rPr>
        <w:t xml:space="preserve"> (trametinib).</w:t>
      </w:r>
    </w:p>
    <w:p>
      <w:pPr>
        <w:spacing w:after="0" w:line="1"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Melanoma is a particularly immuno-responsive tumor, and thus, immunotherapy of melanoma has developed as a dynamic field for clinical research. To date, immunotherapies such as </w:t>
      </w:r>
      <w:r>
        <w:rPr>
          <w:rFonts w:ascii="Arial" w:cs="Arial" w:eastAsia="Arial" w:hAnsi="Arial"/>
          <w:sz w:val="18"/>
          <w:szCs w:val="18"/>
          <w:i w:val="1"/>
          <w:iCs w:val="1"/>
          <w:color w:val="auto"/>
        </w:rPr>
        <w:t>Yervoy</w:t>
      </w:r>
      <w:r>
        <w:rPr>
          <w:rFonts w:ascii="Arial" w:cs="Arial" w:eastAsia="Arial" w:hAnsi="Arial"/>
          <w:sz w:val="11"/>
          <w:szCs w:val="11"/>
          <w:color w:val="auto"/>
        </w:rPr>
        <w:t>®</w:t>
      </w:r>
      <w:r>
        <w:rPr>
          <w:rFonts w:ascii="Arial" w:cs="Arial" w:eastAsia="Arial" w:hAnsi="Arial"/>
          <w:sz w:val="18"/>
          <w:szCs w:val="18"/>
          <w:color w:val="auto"/>
        </w:rPr>
        <w:t xml:space="preserve"> (ipilmumab),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and </w:t>
      </w:r>
      <w:r>
        <w:rPr>
          <w:rFonts w:ascii="Arial" w:cs="Arial" w:eastAsia="Arial" w:hAnsi="Arial"/>
          <w:sz w:val="18"/>
          <w:szCs w:val="18"/>
          <w:i w:val="1"/>
          <w:iCs w:val="1"/>
          <w:color w:val="auto"/>
        </w:rPr>
        <w:t>Opdivo</w:t>
      </w:r>
      <w:r>
        <w:rPr>
          <w:rFonts w:ascii="Arial" w:cs="Arial" w:eastAsia="Arial" w:hAnsi="Arial"/>
          <w:sz w:val="18"/>
          <w:szCs w:val="18"/>
          <w:color w:val="auto"/>
        </w:rPr>
        <w:t>, have been approved for the treatment of malignant melanoma patients with unresectable or metastatic disease. But, in this tumor type as well, the immunotherapies represent a significant advance for only a small proportion of patients, leaving significant room to improve upon the benefit of immune checkpoint inhibitors through combinations with drugs, like entinostat, that target immune modulation through complementary mechanisms.</w:t>
      </w:r>
    </w:p>
    <w:p>
      <w:pPr>
        <w:spacing w:after="0" w:line="137"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b w:val="1"/>
          <w:bCs w:val="1"/>
          <w:color w:val="auto"/>
        </w:rPr>
        <w:t>Our Development of Entinostat in NSCLC and Melanoma</w:t>
      </w:r>
      <w:r>
        <w:rPr>
          <w:rFonts w:ascii="Arial" w:cs="Arial" w:eastAsia="Arial" w:hAnsi="Arial"/>
          <w:sz w:val="16"/>
          <w:szCs w:val="16"/>
          <w:color w:val="auto"/>
        </w:rPr>
        <w:t>. We have established a clinical collaboration with Merck to study the safety and efficacy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entinostat in combination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malignant melanoma. The ENCORE 601 clinical trial is designed as a</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 xml:space="preserve">Phase 1b/2 clinical trial, where the Phase 1b portion will evaluate the safety, tolerability and biomarker correlates of the combination of entinostat and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the Phase 2 portion will assess both the safety and efficacy of entinostat combined with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melanoma. The trial is an open label, dose escalation study with cohort expansions at the recommended Phase 2 dose, or RP2D, in NSCLC and melanoma patients. The trial will be conducted in the United States and will enroll up to 178 patients with approximately 42 of those in the Phase 1b portion and 136 of</w:t>
      </w:r>
    </w:p>
    <w:p>
      <w:pPr>
        <w:spacing w:after="0" w:line="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those in the Phase 2 portion. We anticipate that the trial will initiate patient enrollment in the and will require approximately nine months for enrollment of the Phase 1b portion with safety, tolerability, biomarker correlates, and the RP2D data expected in . We anticipate that full enrollment for the Phase 1b and 2 portions will require approximately 30 months with final efficacy data expected .</w:t>
      </w:r>
    </w:p>
    <w:p>
      <w:pPr>
        <w:spacing w:after="0" w:line="14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 xml:space="preserve">The primary objective of the Phase 1b portion of the trial is to determine the dose-limiting toxicities, or DLT, maximum tolerated dose, or MTD, or the RP2D of entinostat given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The initial three to six patients will receive weekly oral entinostat at a starting dose of 3 mg along with </w:t>
      </w:r>
      <w:r>
        <w:rPr>
          <w:rFonts w:ascii="Arial" w:cs="Arial" w:eastAsia="Arial" w:hAnsi="Arial"/>
          <w:sz w:val="18"/>
          <w:szCs w:val="18"/>
          <w:i w:val="1"/>
          <w:iCs w:val="1"/>
          <w:color w:val="auto"/>
        </w:rPr>
        <w:t xml:space="preserve">Keytruda </w:t>
      </w:r>
      <w:r>
        <w:rPr>
          <w:rFonts w:ascii="Arial" w:cs="Arial" w:eastAsia="Arial" w:hAnsi="Arial"/>
          <w:sz w:val="18"/>
          <w:szCs w:val="18"/>
          <w:color w:val="auto"/>
        </w:rPr>
        <w:t>200 mg via intravenous infusion. Assuming an acceptable safety profile, escalation to entinostat weekly oral doses of 5 mg and every other week oral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doses of 10 mg are planned, keeping the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dose constant. The prospective RP2D will be confirmed in 9 to 12 additional patients. The Phase 1b portion of the clinical trial is expected to also characterize the effect of the combination therapy on numerous biomarkers, including expression of PD-1 and PDL-1, the number and function of different types of T cells and the number of MDSCs. These biomarkers will be assessed both in peripheral blood and in serial tumor biopsies.</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 xml:space="preserve">In the Phase 2 portion of the clinical trial, we will evaluate entinostat in combination with </w:t>
      </w:r>
      <w:r>
        <w:rPr>
          <w:rFonts w:ascii="Arial" w:cs="Arial" w:eastAsia="Arial" w:hAnsi="Arial"/>
          <w:sz w:val="15"/>
          <w:szCs w:val="15"/>
          <w:i w:val="1"/>
          <w:iCs w:val="1"/>
          <w:color w:val="auto"/>
        </w:rPr>
        <w:t>Keytruda</w:t>
      </w:r>
      <w:r>
        <w:rPr>
          <w:rFonts w:ascii="Arial" w:cs="Arial" w:eastAsia="Arial" w:hAnsi="Arial"/>
          <w:sz w:val="15"/>
          <w:szCs w:val="15"/>
          <w:color w:val="auto"/>
        </w:rPr>
        <w:t xml:space="preserve"> using the RP2D identified in the Phase 1b portion with the primary objective of evaluating the efficacy of the combination in three expansion cohorts. In each cohort a 2-stage design will be used in which a defined minimum number of responders must be seen in the first stage in order for the cohort to advance to full enrollment in the second stage. The decision to terminate or continue enrollment for each cohort will be made independently of the other cohorts. Cohort 1 will enroll up to 46 NSCLC patients with any histology who</w:t>
      </w:r>
    </w:p>
    <w:p>
      <w:pPr>
        <w:spacing w:after="0" w:line="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have not previously been treated with a PD-1/PDL-1 inhibitor. We anticipate all 46 patients will be enrolled by . Cohort 2 will enroll up to 56 patients with NSCLC of any histology who have previously been treated and progressed on a PD-1 or PDL-1 blocking antibody. We anticipate all 56 patients will be enrolled</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by . Cohort 3 will enroll up to 34 patients with melanoma who have previously been treated and progressed on a PD-1 or PDL-1 blocking antibody. We anticipate all 34 patients will be enrolled by .</w:t>
      </w:r>
    </w:p>
    <w:p>
      <w:pPr>
        <w:spacing w:after="0" w:line="13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Secondary objectives of the trial include assessments of safety, efficacy as measured by clinical benefit rate at six months, PFS at six months, overall PFS, overall survival, duration of response and time to response. Additional exploratory objectives include evaluation of changes in biomarkers in blood and tissue samples collected from patients that may reflect entinostat activity on immune cells.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10795</wp:posOffset>
            </wp:positionV>
            <wp:extent cx="3481705" cy="27101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8170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Entinostat with Immune Checkpoint Inhibitors in TNBC</w:t>
      </w:r>
    </w:p>
    <w:p>
      <w:pPr>
        <w:spacing w:after="0" w:line="165" w:lineRule="exact"/>
        <w:rPr>
          <w:sz w:val="20"/>
          <w:szCs w:val="20"/>
          <w:color w:val="auto"/>
        </w:rPr>
      </w:pPr>
    </w:p>
    <w:p>
      <w:pPr>
        <w:ind w:right="20" w:firstLine="456"/>
        <w:spacing w:after="0" w:line="326" w:lineRule="auto"/>
        <w:rPr>
          <w:sz w:val="20"/>
          <w:szCs w:val="20"/>
          <w:color w:val="auto"/>
        </w:rPr>
      </w:pPr>
      <w:r>
        <w:rPr>
          <w:rFonts w:ascii="Arial" w:cs="Arial" w:eastAsia="Arial" w:hAnsi="Arial"/>
          <w:sz w:val="15"/>
          <w:szCs w:val="15"/>
          <w:b w:val="1"/>
          <w:bCs w:val="1"/>
          <w:color w:val="auto"/>
        </w:rPr>
        <w:t>Market Overview and Current Treatment</w:t>
      </w:r>
      <w:r>
        <w:rPr>
          <w:rFonts w:ascii="Arial" w:cs="Arial" w:eastAsia="Arial" w:hAnsi="Arial"/>
          <w:sz w:val="15"/>
          <w:szCs w:val="15"/>
          <w:b w:val="1"/>
          <w:bCs w:val="1"/>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Breast cancer is the leading cause of cancer death in women worldwide and the second leading cause of</w:t>
      </w:r>
      <w:r>
        <w:rPr>
          <w:rFonts w:ascii="Arial" w:cs="Arial" w:eastAsia="Arial" w:hAnsi="Arial"/>
          <w:sz w:val="15"/>
          <w:szCs w:val="15"/>
          <w:b w:val="1"/>
          <w:bCs w:val="1"/>
          <w:color w:val="auto"/>
        </w:rPr>
        <w:t xml:space="preserve"> </w:t>
      </w:r>
      <w:r>
        <w:rPr>
          <w:rFonts w:ascii="Arial" w:cs="Arial" w:eastAsia="Arial" w:hAnsi="Arial"/>
          <w:sz w:val="15"/>
          <w:szCs w:val="15"/>
          <w:color w:val="auto"/>
        </w:rPr>
        <w:t>cancer death in women in the United States after lung cancer. According to the American Cancer Society, in 2015 approximately 231,000 new cases of invasive breast cancer will be diagnosed in the United States. Although the five-year survival rate for women diagnosed with non-metastatic breast cancer is over 85%, the five-year survival rate for women diagnosed with metastatic breast cancer is only 24%, indicating the need for new therapies that can prolong overall survival.</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Breast cancers can be divided into three subsets based on the presence or absence in the tumor of the following protein receptors:</w:t>
      </w:r>
    </w:p>
    <w:p>
      <w:pPr>
        <w:spacing w:after="0" w:line="212" w:lineRule="exact"/>
        <w:rPr>
          <w:sz w:val="20"/>
          <w:szCs w:val="20"/>
          <w:color w:val="auto"/>
        </w:rPr>
      </w:pPr>
    </w:p>
    <w:p>
      <w:pPr>
        <w:ind w:left="1000" w:hanging="317"/>
        <w:spacing w:after="0"/>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HR+, which means expressing the estrogen receptor, or ER, or progesterone receptor, or PR, alone or in combination with each other;</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HER2+, which means expressing the human epidermal growth factor receptor 2, or HER2 receptor;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Triple negative, which means not expressing ER, PR or HER2.</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TNBC represents 15-20% of newly diagnosed breast cancer cases, and is associated with a younger age at diagnosis, advanced stage at diagnosis, increased risk of visceral metastasis and poorer outcome. The five-year survival rate for women diagnosed with Stage IV TNBC is only 22% with limited treatment options. Preliminary data has indicated that treatment with Genentech’s atezolizumab results in approximately a 20% response rate in women with TNBC, and atezolizumab is currently being studied in a Phase 3 clinical trial.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Our Development Plan of Entinostat in TNBC</w:t>
      </w:r>
      <w:r>
        <w:rPr>
          <w:rFonts w:ascii="Arial" w:cs="Arial" w:eastAsia="Arial" w:hAnsi="Arial"/>
          <w:sz w:val="16"/>
          <w:szCs w:val="16"/>
          <w:color w:val="auto"/>
        </w:rPr>
        <w:t>. We have established a clinical collaboration with Genentech to study the safety and efficacy of entinostat</w:t>
      </w:r>
      <w:r>
        <w:rPr>
          <w:rFonts w:ascii="Arial" w:cs="Arial" w:eastAsia="Arial" w:hAnsi="Arial"/>
          <w:sz w:val="16"/>
          <w:szCs w:val="16"/>
          <w:b w:val="1"/>
          <w:bCs w:val="1"/>
          <w:color w:val="auto"/>
        </w:rPr>
        <w:t xml:space="preserve"> </w:t>
      </w:r>
      <w:r>
        <w:rPr>
          <w:rFonts w:ascii="Arial" w:cs="Arial" w:eastAsia="Arial" w:hAnsi="Arial"/>
          <w:sz w:val="16"/>
          <w:szCs w:val="16"/>
          <w:color w:val="auto"/>
        </w:rPr>
        <w:t>in combination with atezolizumab, an anti-PDL-1 antibody, in patients with TNBC. The ENCORE 602 clinical trial is designed as a Phase 1b/2 clinical trial, where the Phase 1b portion will initially evaluate the safety of weekly oral entinostat at a dose of 5 mg administered in combination with 1200 mg of atezolizumab given intravenously every three weeks. Assuming this combination is well tolerated, the Phase 2 portion of the clinical trial will be a randomized, double-blind, placebo-controlled trial. The primary endpoint of the Phase 2 clinical trial will be PFS, with response rate, duration of response, time to response and overall survival as secondary end points. Additional exploratory objectives include evaluation of changes in biomarkers in blood and tissue samples collected from patients that may reflect entinostat activity on immune cells. We expect that the enrollment of patients in the ENCORE 602 clinical trial will begin during the first half of 2016.</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Clinical Trials of Entinostat in Immuno-Oncology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plan to evaluate the efficacy of entinostat in combination with other immune checkpoint inhibitors and/or other immunotherapies in at least one to two additional immuno-responsive tumor types. We expect to initiate these additional entinostat combination clinical trials in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Investigator-Sponsored Clinical Trials of Entinostat in Immuno-Oncology</w:t>
      </w:r>
    </w:p>
    <w:p>
      <w:pPr>
        <w:spacing w:after="0" w:line="17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We believe that there are additional opportunities for expanding the indications in which entinostat may target immunologic mechanisms of resistance to cancer therapies. In addition to our collaborations with Merck and Genentech, we have partnered with independent investigators to support three clinical trials that are designed to validate both clinical and preclinical observations that entinostat can enhance the clinical activity of immune therapy in patients. These clinical trials do not require additional financial support from us and are being conducted through our NCI collaboration with additional support from the </w:t>
      </w:r>
      <w:r>
        <w:rPr>
          <w:rFonts w:ascii="Arial" w:cs="Arial" w:eastAsia="Arial" w:hAnsi="Arial"/>
          <w:sz w:val="16"/>
          <w:szCs w:val="16"/>
          <w:i w:val="1"/>
          <w:iCs w:val="1"/>
          <w:color w:val="auto"/>
        </w:rPr>
        <w:t>Stand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Up To Cancer </w:t>
      </w:r>
      <w:r>
        <w:rPr>
          <w:rFonts w:ascii="Arial" w:cs="Arial" w:eastAsia="Arial" w:hAnsi="Arial"/>
          <w:sz w:val="16"/>
          <w:szCs w:val="16"/>
          <w:color w:val="auto"/>
        </w:rPr>
        <w:t>funding initiative. Data from these trials are expected to be reported beginning in the second half of 2016. We do not control the timing of these</w:t>
      </w:r>
      <w:r>
        <w:rPr>
          <w:rFonts w:ascii="Arial" w:cs="Arial" w:eastAsia="Arial" w:hAnsi="Arial"/>
          <w:sz w:val="16"/>
          <w:szCs w:val="16"/>
          <w:i w:val="1"/>
          <w:iCs w:val="1"/>
          <w:color w:val="auto"/>
        </w:rPr>
        <w:t xml:space="preserve"> </w:t>
      </w:r>
      <w:r>
        <w:rPr>
          <w:rFonts w:ascii="Arial" w:cs="Arial" w:eastAsia="Arial" w:hAnsi="Arial"/>
          <w:sz w:val="16"/>
          <w:szCs w:val="16"/>
          <w:color w:val="auto"/>
        </w:rPr>
        <w:t>clinical trials and cannot provide any assurance with respect thereto.</w:t>
      </w:r>
    </w:p>
    <w:p>
      <w:pPr>
        <w:spacing w:after="0" w:line="114"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color w:val="auto"/>
        </w:rPr>
        <w:t>J1353: Epigenetic Priming to Immunotherapy Trial</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JHU investigator-sponsored Phase 2 clinical trial, funded by</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Stand Up To Cancer</w:t>
      </w:r>
      <w:r>
        <w:rPr>
          <w:rFonts w:ascii="Arial" w:cs="Arial" w:eastAsia="Arial" w:hAnsi="Arial"/>
          <w:sz w:val="16"/>
          <w:szCs w:val="16"/>
          <w:color w:val="auto"/>
        </w:rPr>
        <w:t>, is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enrolling up to 90 patients with metastatic NSCLC and is designed to test the ability of epigenetic therapy—a combination of entinostat and </w:t>
      </w:r>
      <w:r>
        <w:rPr>
          <w:rFonts w:ascii="Arial" w:cs="Arial" w:eastAsia="Arial" w:hAnsi="Arial"/>
          <w:sz w:val="16"/>
          <w:szCs w:val="16"/>
          <w:i w:val="1"/>
          <w:iCs w:val="1"/>
          <w:color w:val="auto"/>
        </w:rPr>
        <w:t>Vidaza</w:t>
      </w:r>
      <w:r>
        <w:rPr>
          <w:rFonts w:ascii="Arial" w:cs="Arial" w:eastAsia="Arial" w:hAnsi="Arial"/>
          <w:sz w:val="16"/>
          <w:szCs w:val="16"/>
          <w:color w:val="auto"/>
        </w:rPr>
        <w:t xml:space="preserve">—to enhance the response of NSCLC patients to </w:t>
      </w:r>
      <w:r>
        <w:rPr>
          <w:rFonts w:ascii="Arial" w:cs="Arial" w:eastAsia="Arial" w:hAnsi="Arial"/>
          <w:sz w:val="16"/>
          <w:szCs w:val="16"/>
          <w:i w:val="1"/>
          <w:iCs w:val="1"/>
          <w:color w:val="auto"/>
        </w:rPr>
        <w:t>Opdivo</w:t>
      </w:r>
      <w:r>
        <w:rPr>
          <w:rFonts w:ascii="Arial" w:cs="Arial" w:eastAsia="Arial" w:hAnsi="Arial"/>
          <w:sz w:val="16"/>
          <w:szCs w:val="16"/>
          <w:color w:val="auto"/>
        </w:rPr>
        <w:t>. We expect proof-of-concept data for this trial will be available from JHU in late 2016.</w:t>
      </w:r>
    </w:p>
    <w:p>
      <w:pPr>
        <w:spacing w:after="0" w:line="97" w:lineRule="exact"/>
        <w:rPr>
          <w:sz w:val="20"/>
          <w:szCs w:val="20"/>
          <w:color w:val="auto"/>
        </w:rPr>
      </w:pPr>
    </w:p>
    <w:p>
      <w:pPr>
        <w:ind w:right="220" w:firstLine="456"/>
        <w:spacing w:after="0" w:line="242" w:lineRule="auto"/>
        <w:rPr>
          <w:sz w:val="20"/>
          <w:szCs w:val="20"/>
          <w:color w:val="auto"/>
        </w:rPr>
      </w:pPr>
      <w:r>
        <w:rPr>
          <w:rFonts w:ascii="Arial" w:cs="Arial" w:eastAsia="Arial" w:hAnsi="Arial"/>
          <w:sz w:val="17"/>
          <w:szCs w:val="17"/>
          <w:b w:val="1"/>
          <w:bCs w:val="1"/>
          <w:color w:val="auto"/>
        </w:rPr>
        <w:t>NCI-7870: Entinostat + High Dose Interleukin in Metastatic Renal Cell Carcinoma</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investigator-sponsored Phase 2 clinical trial funded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NCI is currently enrolling up to 41 patients with metastatic renal cell carcinoma and is designed to determine how entinostat may affect the immune system of these patients to improve outcomes to </w:t>
      </w:r>
      <w:r>
        <w:rPr>
          <w:rFonts w:ascii="Arial" w:cs="Arial" w:eastAsia="Arial" w:hAnsi="Arial"/>
          <w:sz w:val="17"/>
          <w:szCs w:val="17"/>
          <w:i w:val="1"/>
          <w:iCs w:val="1"/>
          <w:color w:val="auto"/>
        </w:rPr>
        <w:t>Proleukin</w:t>
      </w:r>
      <w:r>
        <w:rPr>
          <w:rFonts w:ascii="Arial" w:cs="Arial" w:eastAsia="Arial" w:hAnsi="Arial"/>
          <w:sz w:val="28"/>
          <w:szCs w:val="28"/>
          <w:i w:val="1"/>
          <w:iCs w:val="1"/>
          <w:color w:val="auto"/>
          <w:vertAlign w:val="superscript"/>
        </w:rPr>
        <w:t>®</w:t>
      </w:r>
      <w:r>
        <w:rPr>
          <w:rFonts w:ascii="Arial" w:cs="Arial" w:eastAsia="Arial" w:hAnsi="Arial"/>
          <w:sz w:val="17"/>
          <w:szCs w:val="17"/>
          <w:color w:val="auto"/>
        </w:rPr>
        <w:t xml:space="preserve"> (aldesleukin), an approved immune therapy for renal cell carcinoma. Preliminary results from the completed Phase 1 portion indicate that entinostat may safely be given in combination with </w:t>
      </w:r>
      <w:r>
        <w:rPr>
          <w:rFonts w:ascii="Arial" w:cs="Arial" w:eastAsia="Arial" w:hAnsi="Arial"/>
          <w:sz w:val="17"/>
          <w:szCs w:val="17"/>
          <w:i w:val="1"/>
          <w:iCs w:val="1"/>
          <w:color w:val="auto"/>
        </w:rPr>
        <w:t>Proleukin</w:t>
      </w:r>
      <w:r>
        <w:rPr>
          <w:rFonts w:ascii="Arial" w:cs="Arial" w:eastAsia="Arial" w:hAnsi="Arial"/>
          <w:sz w:val="17"/>
          <w:szCs w:val="17"/>
          <w:color w:val="auto"/>
        </w:rPr>
        <w:t xml:space="preserve"> and indicate that entinostat potentially enhances the response to </w:t>
      </w:r>
      <w:r>
        <w:rPr>
          <w:rFonts w:ascii="Arial" w:cs="Arial" w:eastAsia="Arial" w:hAnsi="Arial"/>
          <w:sz w:val="17"/>
          <w:szCs w:val="17"/>
          <w:i w:val="1"/>
          <w:iCs w:val="1"/>
          <w:color w:val="auto"/>
        </w:rPr>
        <w:t xml:space="preserve">Proleukin </w:t>
      </w:r>
      <w:r>
        <w:rPr>
          <w:rFonts w:ascii="Arial" w:cs="Arial" w:eastAsia="Arial" w:hAnsi="Arial"/>
          <w:sz w:val="17"/>
          <w:szCs w:val="17"/>
          <w:color w:val="auto"/>
        </w:rPr>
        <w:t>with evidence of causing beneficial changes in certain immune cell function. The trial is currently enrolling patients and the investigators expect the</w:t>
      </w:r>
      <w:r>
        <w:rPr>
          <w:rFonts w:ascii="Arial" w:cs="Arial" w:eastAsia="Arial" w:hAnsi="Arial"/>
          <w:sz w:val="17"/>
          <w:szCs w:val="17"/>
          <w:i w:val="1"/>
          <w:iCs w:val="1"/>
          <w:color w:val="auto"/>
        </w:rPr>
        <w:t xml:space="preserve"> </w:t>
      </w:r>
      <w:r>
        <w:rPr>
          <w:rFonts w:ascii="Arial" w:cs="Arial" w:eastAsia="Arial" w:hAnsi="Arial"/>
          <w:sz w:val="17"/>
          <w:szCs w:val="17"/>
          <w:color w:val="auto"/>
        </w:rPr>
        <w:t>clinical trial to be completed by the second half of 2016.</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NCI-9844: Efficacy of Entinostat in Combination with </w:t>
      </w:r>
      <w:r>
        <w:rPr>
          <w:rFonts w:ascii="Arial" w:cs="Arial" w:eastAsia="Arial" w:hAnsi="Arial"/>
          <w:sz w:val="18"/>
          <w:szCs w:val="18"/>
          <w:b w:val="1"/>
          <w:bCs w:val="1"/>
          <w:i w:val="1"/>
          <w:iCs w:val="1"/>
          <w:color w:val="auto"/>
        </w:rPr>
        <w:t>Opdivo</w:t>
      </w:r>
      <w:r>
        <w:rPr>
          <w:rFonts w:ascii="Arial" w:cs="Arial" w:eastAsia="Arial" w:hAnsi="Arial"/>
          <w:sz w:val="18"/>
          <w:szCs w:val="18"/>
          <w:b w:val="1"/>
          <w:bCs w:val="1"/>
          <w:color w:val="auto"/>
        </w:rPr>
        <w:t xml:space="preserve"> and </w:t>
      </w:r>
      <w:r>
        <w:rPr>
          <w:rFonts w:ascii="Arial" w:cs="Arial" w:eastAsia="Arial" w:hAnsi="Arial"/>
          <w:sz w:val="18"/>
          <w:szCs w:val="18"/>
          <w:b w:val="1"/>
          <w:bCs w:val="1"/>
          <w:i w:val="1"/>
          <w:iCs w:val="1"/>
          <w:color w:val="auto"/>
        </w:rPr>
        <w:t>Yervoy</w:t>
      </w:r>
      <w:r>
        <w:rPr>
          <w:rFonts w:ascii="Arial" w:cs="Arial" w:eastAsia="Arial" w:hAnsi="Arial"/>
          <w:sz w:val="18"/>
          <w:szCs w:val="18"/>
          <w:b w:val="1"/>
          <w:bCs w:val="1"/>
          <w:color w:val="auto"/>
        </w:rPr>
        <w:t xml:space="preserve"> in Patients with Metastatic or Unresectable Solid Tumors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investigator-sponsored Phase 1 clinical trial, which is being sponsored by the NCI, is designed to enroll up to 39 patients to study the safety profile and best dose of entinostat and </w:t>
      </w:r>
      <w:r>
        <w:rPr>
          <w:rFonts w:ascii="Arial" w:cs="Arial" w:eastAsia="Arial" w:hAnsi="Arial"/>
          <w:sz w:val="18"/>
          <w:szCs w:val="18"/>
          <w:i w:val="1"/>
          <w:iCs w:val="1"/>
          <w:color w:val="auto"/>
        </w:rPr>
        <w:t>Opdivo</w:t>
      </w:r>
      <w:r>
        <w:rPr>
          <w:rFonts w:ascii="Arial" w:cs="Arial" w:eastAsia="Arial" w:hAnsi="Arial"/>
          <w:sz w:val="18"/>
          <w:szCs w:val="18"/>
          <w:color w:val="auto"/>
        </w:rPr>
        <w:t xml:space="preserve"> when given together with </w:t>
      </w:r>
      <w:r>
        <w:rPr>
          <w:rFonts w:ascii="Arial" w:cs="Arial" w:eastAsia="Arial" w:hAnsi="Arial"/>
          <w:sz w:val="18"/>
          <w:szCs w:val="18"/>
          <w:i w:val="1"/>
          <w:iCs w:val="1"/>
          <w:color w:val="auto"/>
        </w:rPr>
        <w:t>Yervoy</w:t>
      </w:r>
      <w:r>
        <w:rPr>
          <w:rFonts w:ascii="Arial" w:cs="Arial" w:eastAsia="Arial" w:hAnsi="Arial"/>
          <w:sz w:val="18"/>
          <w:szCs w:val="18"/>
          <w:color w:val="auto"/>
        </w:rPr>
        <w:t xml:space="preserve"> in treating patients with metastatic or unresectable solid tumors or metastatic HER2- breast cancer. The trial is expected to begin enrolling patients in the fourth quarter of 2015.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in Advanced HR+ Breast Cancer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Overview and Current Treatment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2012, approximately 42,000 patients in the United States with advanced HR+ breast cancer were treated with hormone therapies with the goal to prolong overall survival and to delay treatment with more toxic chemotherapies. Hormone therapies are designed to inhibit estrogen stimulation of advanced HR+ breast cancers. Due to limited efficacy of hormone therapies in the advanced HR+ breast cancer setting, multiple lines of treatment are typically used, with each additional line of hormone therapy resulting in a shorter PFS and lower overall survival. Resistance to hormone therapies develops as a result of activation of growth-factor signaling pathways. The median overall survival for advanced HR+ breast cancer in the first- and second-line setting is approximately three to four years and two years, respectively.</w:t>
      </w:r>
    </w:p>
    <w:p>
      <w:pPr>
        <w:spacing w:after="0" w:line="144"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color w:val="auto"/>
        </w:rPr>
        <w:t>In 2012, approximately 19,700 patients were treated with a first-line hormone therapy and approximately 22,400 patients with a hormone therapy as second- or third-line treatment. Researchers have demonstrated that the diminished clinical benefit of each hormone therapy is due to primary and acquired resistance to hormone therapy. The cause of resistance is multi-factorial and results in tumor progression independent of estrogen stimulation.</w:t>
      </w:r>
    </w:p>
    <w:p>
      <w:pPr>
        <w:spacing w:after="0" w:line="107" w:lineRule="exact"/>
        <w:rPr>
          <w:sz w:val="20"/>
          <w:szCs w:val="20"/>
          <w:color w:val="auto"/>
        </w:rPr>
      </w:pPr>
    </w:p>
    <w:p>
      <w:pPr>
        <w:ind w:right="200" w:firstLine="456"/>
        <w:spacing w:after="0" w:line="202" w:lineRule="auto"/>
        <w:rPr>
          <w:sz w:val="20"/>
          <w:szCs w:val="20"/>
          <w:color w:val="auto"/>
        </w:rPr>
      </w:pPr>
      <w:r>
        <w:rPr>
          <w:rFonts w:ascii="Arial" w:cs="Arial" w:eastAsia="Arial" w:hAnsi="Arial"/>
          <w:sz w:val="18"/>
          <w:szCs w:val="18"/>
          <w:color w:val="auto"/>
        </w:rPr>
        <w:t xml:space="preserve">Current treatment of advanced HR+ breast cancer usually includes multiple courses of hormone therapy followed ultimately by chemotherapy. There are three types of commonly used hormone therapies. These are </w:t>
      </w:r>
      <w:r>
        <w:rPr>
          <w:rFonts w:ascii="Arial" w:cs="Arial" w:eastAsia="Arial" w:hAnsi="Arial"/>
          <w:sz w:val="18"/>
          <w:szCs w:val="18"/>
          <w:i w:val="1"/>
          <w:iCs w:val="1"/>
          <w:color w:val="auto"/>
        </w:rPr>
        <w:t>Soltamox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(tamoxifen), a selective ER modulator, </w:t>
      </w:r>
      <w:r>
        <w:rPr>
          <w:rFonts w:ascii="Arial" w:cs="Arial" w:eastAsia="Arial" w:hAnsi="Arial"/>
          <w:sz w:val="18"/>
          <w:szCs w:val="18"/>
          <w:i w:val="1"/>
          <w:iCs w:val="1"/>
          <w:color w:val="auto"/>
        </w:rPr>
        <w:t>Faslodex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(fulvestrant), a selective ER downregulator, and aromatase inhibitors, such as </w:t>
      </w:r>
      <w:r>
        <w:rPr>
          <w:rFonts w:ascii="Arial" w:cs="Arial" w:eastAsia="Arial" w:hAnsi="Arial"/>
          <w:sz w:val="18"/>
          <w:szCs w:val="18"/>
          <w:i w:val="1"/>
          <w:iCs w:val="1"/>
          <w:color w:val="auto"/>
        </w:rPr>
        <w:t>Arimidex</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(anastrozole), </w:t>
      </w:r>
      <w:r>
        <w:rPr>
          <w:rFonts w:ascii="Arial" w:cs="Arial" w:eastAsia="Arial" w:hAnsi="Arial"/>
          <w:sz w:val="18"/>
          <w:szCs w:val="18"/>
          <w:i w:val="1"/>
          <w:iCs w:val="1"/>
          <w:color w:val="auto"/>
        </w:rPr>
        <w:t>Femara</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 xml:space="preserve"> (letrozole) and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which interfere with estrogen production. </w:t>
      </w:r>
      <w:r>
        <w:rPr>
          <w:rFonts w:ascii="Arial" w:cs="Arial" w:eastAsia="Arial" w:hAnsi="Arial"/>
          <w:sz w:val="18"/>
          <w:szCs w:val="18"/>
          <w:i w:val="1"/>
          <w:iCs w:val="1"/>
          <w:color w:val="auto"/>
        </w:rPr>
        <w:t>Aromasin</w:t>
      </w:r>
      <w:r>
        <w:rPr>
          <w:rFonts w:ascii="Arial" w:cs="Arial" w:eastAsia="Arial" w:hAnsi="Arial"/>
          <w:sz w:val="18"/>
          <w:szCs w:val="18"/>
          <w:color w:val="auto"/>
        </w:rPr>
        <w:t>, a steroidal aromatase inhibitor, is typically used as a second- or third-line treatment upon progression from first-line treatment with the non-steroidal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aromatase inhibitors </w:t>
      </w:r>
      <w:r>
        <w:rPr>
          <w:rFonts w:ascii="Arial" w:cs="Arial" w:eastAsia="Arial" w:hAnsi="Arial"/>
          <w:sz w:val="18"/>
          <w:szCs w:val="18"/>
          <w:i w:val="1"/>
          <w:iCs w:val="1"/>
          <w:color w:val="auto"/>
        </w:rPr>
        <w:t>Arimidex</w:t>
      </w:r>
      <w:r>
        <w:rPr>
          <w:rFonts w:ascii="Arial" w:cs="Arial" w:eastAsia="Arial" w:hAnsi="Arial"/>
          <w:sz w:val="18"/>
          <w:szCs w:val="18"/>
          <w:color w:val="auto"/>
        </w:rPr>
        <w:t xml:space="preserve"> and </w:t>
      </w:r>
      <w:r>
        <w:rPr>
          <w:rFonts w:ascii="Arial" w:cs="Arial" w:eastAsia="Arial" w:hAnsi="Arial"/>
          <w:sz w:val="18"/>
          <w:szCs w:val="18"/>
          <w:i w:val="1"/>
          <w:iCs w:val="1"/>
          <w:color w:val="auto"/>
        </w:rPr>
        <w:t>Femara</w:t>
      </w:r>
      <w:r>
        <w:rPr>
          <w:rFonts w:ascii="Arial" w:cs="Arial" w:eastAsia="Arial" w:hAnsi="Arial"/>
          <w:sz w:val="18"/>
          <w:szCs w:val="18"/>
          <w:color w:val="auto"/>
        </w:rPr>
        <w:t>.</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Recently the FDA approved </w:t>
      </w:r>
      <w:r>
        <w:rPr>
          <w:rFonts w:ascii="Arial" w:cs="Arial" w:eastAsia="Arial" w:hAnsi="Arial"/>
          <w:sz w:val="16"/>
          <w:szCs w:val="16"/>
          <w:i w:val="1"/>
          <w:iCs w:val="1"/>
          <w:color w:val="auto"/>
        </w:rPr>
        <w:t>Afinitor</w:t>
      </w:r>
      <w:r>
        <w:rPr>
          <w:rFonts w:ascii="Arial" w:cs="Arial" w:eastAsia="Arial" w:hAnsi="Arial"/>
          <w:sz w:val="10"/>
          <w:szCs w:val="10"/>
          <w:color w:val="auto"/>
        </w:rPr>
        <w:t>®</w:t>
      </w:r>
      <w:r>
        <w:rPr>
          <w:rFonts w:ascii="Arial" w:cs="Arial" w:eastAsia="Arial" w:hAnsi="Arial"/>
          <w:sz w:val="16"/>
          <w:szCs w:val="16"/>
          <w:color w:val="auto"/>
        </w:rPr>
        <w:t xml:space="preserve"> (everolimus), an inhibitor of mammalian target of rapamycin for the treatment of postmenopausal women with advanced HR+ and HER2-, breast cancer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after failure of treatment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or </w:t>
      </w:r>
      <w:r>
        <w:rPr>
          <w:rFonts w:ascii="Arial" w:cs="Arial" w:eastAsia="Arial" w:hAnsi="Arial"/>
          <w:sz w:val="16"/>
          <w:szCs w:val="16"/>
          <w:i w:val="1"/>
          <w:iCs w:val="1"/>
          <w:color w:val="auto"/>
        </w:rPr>
        <w:t>Arimidex</w:t>
      </w:r>
      <w:r>
        <w:rPr>
          <w:rFonts w:ascii="Arial" w:cs="Arial" w:eastAsia="Arial" w:hAnsi="Arial"/>
          <w:sz w:val="16"/>
          <w:szCs w:val="16"/>
          <w:color w:val="auto"/>
        </w:rPr>
        <w:t xml:space="preserve">. The approval was based on results from a randomized Phase 3 clinical trial of postmenopausal women with advanced estrogen receptor-positive, HER2-, breast cancer with recurrence or progression following prior therapy with </w:t>
      </w:r>
      <w:r>
        <w:rPr>
          <w:rFonts w:ascii="Arial" w:cs="Arial" w:eastAsia="Arial" w:hAnsi="Arial"/>
          <w:sz w:val="16"/>
          <w:szCs w:val="16"/>
          <w:i w:val="1"/>
          <w:iCs w:val="1"/>
          <w:color w:val="auto"/>
        </w:rPr>
        <w:t>Femara</w:t>
      </w:r>
      <w:r>
        <w:rPr>
          <w:rFonts w:ascii="Arial" w:cs="Arial" w:eastAsia="Arial" w:hAnsi="Arial"/>
          <w:sz w:val="16"/>
          <w:szCs w:val="16"/>
          <w:color w:val="auto"/>
        </w:rPr>
        <w:t xml:space="preserve"> or anastrozole. The median PFS was 7.8 months for patients receiving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and 3.2 months for patients receiving placebo. Based on these results,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has become a treatment option for patients refractory to aromatase inhibitor therapy. However,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did not confer an improvement in overall survival.</w:t>
      </w:r>
    </w:p>
    <w:p>
      <w:pPr>
        <w:spacing w:after="0" w:line="12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Earlier this year the FDA granted accelerated approval to </w:t>
      </w:r>
      <w:r>
        <w:rPr>
          <w:rFonts w:ascii="Arial" w:cs="Arial" w:eastAsia="Arial" w:hAnsi="Arial"/>
          <w:sz w:val="16"/>
          <w:szCs w:val="16"/>
          <w:i w:val="1"/>
          <w:iCs w:val="1"/>
          <w:color w:val="auto"/>
        </w:rPr>
        <w:t>Ibrance</w:t>
      </w:r>
      <w:r>
        <w:rPr>
          <w:rFonts w:ascii="Arial" w:cs="Arial" w:eastAsia="Arial" w:hAnsi="Arial"/>
          <w:sz w:val="10"/>
          <w:szCs w:val="10"/>
          <w:color w:val="auto"/>
        </w:rPr>
        <w:t>®</w:t>
      </w:r>
      <w:r>
        <w:rPr>
          <w:rFonts w:ascii="Arial" w:cs="Arial" w:eastAsia="Arial" w:hAnsi="Arial"/>
          <w:sz w:val="16"/>
          <w:szCs w:val="16"/>
          <w:color w:val="auto"/>
        </w:rPr>
        <w:t xml:space="preserve"> (palbociclib), a cyclin-dependent kinase 4 and 6 inhibitor for the treatment of breast cancer in the first-line setting in postmenopausal women with metastatic disease, in combination with </w:t>
      </w:r>
      <w:r>
        <w:rPr>
          <w:rFonts w:ascii="Arial" w:cs="Arial" w:eastAsia="Arial" w:hAnsi="Arial"/>
          <w:sz w:val="16"/>
          <w:szCs w:val="16"/>
          <w:i w:val="1"/>
          <w:iCs w:val="1"/>
          <w:color w:val="auto"/>
        </w:rPr>
        <w:t>Femara</w:t>
      </w:r>
      <w:r>
        <w:rPr>
          <w:rFonts w:ascii="Arial" w:cs="Arial" w:eastAsia="Arial" w:hAnsi="Arial"/>
          <w:sz w:val="16"/>
          <w:szCs w:val="16"/>
          <w:color w:val="auto"/>
        </w:rPr>
        <w:t>, an aromatase inhibitor.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approval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was based on the results of a randomized Phase 2 clinical trial of postmenopausal women with ER+, HER2- breast cancer, which demonstrated a 10 month increase in median PFS for the combination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and </w:t>
      </w:r>
      <w:r>
        <w:rPr>
          <w:rFonts w:ascii="Arial" w:cs="Arial" w:eastAsia="Arial" w:hAnsi="Arial"/>
          <w:sz w:val="16"/>
          <w:szCs w:val="16"/>
          <w:i w:val="1"/>
          <w:iCs w:val="1"/>
          <w:color w:val="auto"/>
        </w:rPr>
        <w:t>Femara</w:t>
      </w:r>
      <w:r>
        <w:rPr>
          <w:rFonts w:ascii="Arial" w:cs="Arial" w:eastAsia="Arial" w:hAnsi="Arial"/>
          <w:sz w:val="16"/>
          <w:szCs w:val="16"/>
          <w:color w:val="auto"/>
        </w:rPr>
        <w:t xml:space="preserve"> versus </w:t>
      </w:r>
      <w:r>
        <w:rPr>
          <w:rFonts w:ascii="Arial" w:cs="Arial" w:eastAsia="Arial" w:hAnsi="Arial"/>
          <w:sz w:val="16"/>
          <w:szCs w:val="16"/>
          <w:i w:val="1"/>
          <w:iCs w:val="1"/>
          <w:color w:val="auto"/>
        </w:rPr>
        <w:t>Femara</w:t>
      </w:r>
      <w:r>
        <w:rPr>
          <w:rFonts w:ascii="Arial" w:cs="Arial" w:eastAsia="Arial" w:hAnsi="Arial"/>
          <w:sz w:val="16"/>
          <w:szCs w:val="16"/>
          <w:color w:val="auto"/>
        </w:rPr>
        <w:t xml:space="preserve"> alone. A recently reported Phase 3 clinical trial showed that the combination of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and </w:t>
      </w:r>
      <w:r>
        <w:rPr>
          <w:rFonts w:ascii="Arial" w:cs="Arial" w:eastAsia="Arial" w:hAnsi="Arial"/>
          <w:sz w:val="16"/>
          <w:szCs w:val="16"/>
          <w:i w:val="1"/>
          <w:iCs w:val="1"/>
          <w:color w:val="auto"/>
        </w:rPr>
        <w:t>Faslodex</w:t>
      </w:r>
      <w:r>
        <w:rPr>
          <w:rFonts w:ascii="Arial" w:cs="Arial" w:eastAsia="Arial" w:hAnsi="Arial"/>
          <w:sz w:val="16"/>
          <w:szCs w:val="16"/>
          <w:color w:val="auto"/>
        </w:rPr>
        <w:t xml:space="preserve"> improved median PFS by approximately five months compared with </w:t>
      </w:r>
      <w:r>
        <w:rPr>
          <w:rFonts w:ascii="Arial" w:cs="Arial" w:eastAsia="Arial" w:hAnsi="Arial"/>
          <w:sz w:val="16"/>
          <w:szCs w:val="16"/>
          <w:i w:val="1"/>
          <w:iCs w:val="1"/>
          <w:color w:val="auto"/>
        </w:rPr>
        <w:t>Faslodex</w:t>
      </w:r>
      <w:r>
        <w:rPr>
          <w:rFonts w:ascii="Arial" w:cs="Arial" w:eastAsia="Arial" w:hAnsi="Arial"/>
          <w:sz w:val="16"/>
          <w:szCs w:val="16"/>
          <w:color w:val="auto"/>
        </w:rPr>
        <w:t xml:space="preserve"> alone in women with HR+, HER2- breast cancer. Overall survival has not been reported for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clinical trials to date. However, based on the significant PFS benefit observed with </w:t>
      </w:r>
      <w:r>
        <w:rPr>
          <w:rFonts w:ascii="Arial" w:cs="Arial" w:eastAsia="Arial" w:hAnsi="Arial"/>
          <w:sz w:val="16"/>
          <w:szCs w:val="16"/>
          <w:i w:val="1"/>
          <w:iCs w:val="1"/>
          <w:color w:val="auto"/>
        </w:rPr>
        <w:t>Ibrance</w:t>
      </w:r>
      <w:r>
        <w:rPr>
          <w:rFonts w:ascii="Arial" w:cs="Arial" w:eastAsia="Arial" w:hAnsi="Arial"/>
          <w:sz w:val="16"/>
          <w:szCs w:val="16"/>
          <w:color w:val="auto"/>
        </w:rPr>
        <w:t>, we believe</w:t>
      </w:r>
      <w:r>
        <w:rPr>
          <w:rFonts w:ascii="Arial" w:cs="Arial" w:eastAsia="Arial" w:hAnsi="Arial"/>
          <w:sz w:val="16"/>
          <w:szCs w:val="16"/>
          <w:i w:val="1"/>
          <w:iCs w:val="1"/>
          <w:color w:val="auto"/>
        </w:rPr>
        <w:t xml:space="preserve"> Ibrance </w:t>
      </w:r>
      <w:r>
        <w:rPr>
          <w:rFonts w:ascii="Arial" w:cs="Arial" w:eastAsia="Arial" w:hAnsi="Arial"/>
          <w:sz w:val="16"/>
          <w:szCs w:val="16"/>
          <w:color w:val="auto"/>
        </w:rPr>
        <w:t>will likely become the standard first-line therapy in this patient population either in combination with</w:t>
      </w:r>
      <w:r>
        <w:rPr>
          <w:rFonts w:ascii="Arial" w:cs="Arial" w:eastAsia="Arial" w:hAnsi="Arial"/>
          <w:sz w:val="16"/>
          <w:szCs w:val="16"/>
          <w:i w:val="1"/>
          <w:iCs w:val="1"/>
          <w:color w:val="auto"/>
        </w:rPr>
        <w:t xml:space="preserve"> Femara </w:t>
      </w:r>
      <w:r>
        <w:rPr>
          <w:rFonts w:ascii="Arial" w:cs="Arial" w:eastAsia="Arial" w:hAnsi="Arial"/>
          <w:sz w:val="16"/>
          <w:szCs w:val="16"/>
          <w:color w:val="auto"/>
        </w:rPr>
        <w:t>or</w:t>
      </w:r>
      <w:r>
        <w:rPr>
          <w:rFonts w:ascii="Arial" w:cs="Arial" w:eastAsia="Arial" w:hAnsi="Arial"/>
          <w:sz w:val="16"/>
          <w:szCs w:val="16"/>
          <w:i w:val="1"/>
          <w:iCs w:val="1"/>
          <w:color w:val="auto"/>
        </w:rPr>
        <w:t xml:space="preserve"> Faslodex</w:t>
      </w:r>
      <w:r>
        <w:rPr>
          <w:rFonts w:ascii="Arial" w:cs="Arial" w:eastAsia="Arial" w:hAnsi="Arial"/>
          <w:sz w:val="16"/>
          <w:szCs w:val="16"/>
          <w:color w:val="auto"/>
        </w:rPr>
        <w:t>.</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While the treatment of advanced HR+ breast cancer is evolving given the introduction of both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and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we believe physicians will welcome the introduction of a well-tolerated therapy that improves overall survival, which has not been demonstrated to date for either </w:t>
      </w:r>
      <w:r>
        <w:rPr>
          <w:rFonts w:ascii="Arial" w:cs="Arial" w:eastAsia="Arial" w:hAnsi="Arial"/>
          <w:sz w:val="18"/>
          <w:szCs w:val="18"/>
          <w:i w:val="1"/>
          <w:iCs w:val="1"/>
          <w:color w:val="auto"/>
        </w:rPr>
        <w:t>Ibrance</w:t>
      </w:r>
      <w:r>
        <w:rPr>
          <w:rFonts w:ascii="Arial" w:cs="Arial" w:eastAsia="Arial" w:hAnsi="Arial"/>
          <w:sz w:val="18"/>
          <w:szCs w:val="18"/>
          <w:color w:val="auto"/>
        </w:rPr>
        <w:t xml:space="preserve"> or </w:t>
      </w:r>
      <w:r>
        <w:rPr>
          <w:rFonts w:ascii="Arial" w:cs="Arial" w:eastAsia="Arial" w:hAnsi="Arial"/>
          <w:sz w:val="18"/>
          <w:szCs w:val="18"/>
          <w:i w:val="1"/>
          <w:iCs w:val="1"/>
          <w:color w:val="auto"/>
        </w:rPr>
        <w:t>Afinitor</w:t>
      </w:r>
      <w:r>
        <w:rPr>
          <w:rFonts w:ascii="Arial" w:cs="Arial" w:eastAsia="Arial" w:hAnsi="Arial"/>
          <w:sz w:val="18"/>
          <w:szCs w:val="18"/>
          <w:color w:val="auto"/>
        </w:rPr>
        <w:t xml:space="preserve"> in combination with hormone therapy. Current data suggest that entinostat could demonstrate a favorable benefit-risk profile and an improvement in overall survival, and thus may become a preferred treatment option for patients with advanced HR+ breast cancer.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of Entinostat in Advanced HR+ Breast Cancer</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completed a Phase 2b clinical trial, ENCORE 301, of entinostat in advanced HR+ breast cancer in 130 postmenopausal patients. The trial was a randomized, placebo-controlled clinical trial in which treatment with entinostat was observed to result in a significant advantage to patients when given in addition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therapy. Postmenopausal patients with advanced HR+ breast cancer progressing on a non-steroidal aromatase inhibitor were randomly assigned to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(25 mg daily) and entinostat (5 mg once per week) or to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(25 mg daily) and a placebo. The primary endpoint was PFS, with overall survival as an exploratory endpoint.</w:t>
      </w:r>
    </w:p>
    <w:p>
      <w:pPr>
        <w:spacing w:after="0" w:line="1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Kaplan-Meier plot is a graphical statistical method commonly used to describe survival characteristics. The following are explanations of the meanings of the various efficacy endpoints that we have used in describing the results of our Phase 2b clinical trial. Each is determined in accordance with Response Criteria in Solid Tumors measurement guidelines.</w:t>
      </w:r>
    </w:p>
    <w:p>
      <w:pPr>
        <w:spacing w:after="0" w:line="53" w:lineRule="exact"/>
        <w:rPr>
          <w:sz w:val="20"/>
          <w:szCs w:val="20"/>
          <w:color w:val="auto"/>
        </w:rPr>
      </w:pPr>
    </w:p>
    <w:p>
      <w:pPr>
        <w:ind w:left="1000" w:right="80" w:hanging="317"/>
        <w:spacing w:after="0" w:line="262"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P-value</w:t>
      </w:r>
      <w:r>
        <w:rPr>
          <w:rFonts w:ascii="Arial" w:cs="Arial" w:eastAsia="Arial" w:hAnsi="Arial"/>
          <w:sz w:val="18"/>
          <w:szCs w:val="18"/>
          <w:color w:val="auto"/>
        </w:rPr>
        <w:t>: a statistical measure that represents the probability that the difference that is observed between two treatment arms is due to random</w:t>
      </w:r>
      <w:r>
        <w:rPr>
          <w:rFonts w:ascii="Arial" w:cs="Arial" w:eastAsia="Arial" w:hAnsi="Arial"/>
          <w:sz w:val="18"/>
          <w:szCs w:val="18"/>
          <w:b w:val="1"/>
          <w:bCs w:val="1"/>
          <w:color w:val="auto"/>
        </w:rPr>
        <w:t xml:space="preserve"> </w:t>
      </w:r>
      <w:r>
        <w:rPr>
          <w:rFonts w:ascii="Arial" w:cs="Arial" w:eastAsia="Arial" w:hAnsi="Arial"/>
          <w:sz w:val="18"/>
          <w:szCs w:val="18"/>
          <w:color w:val="auto"/>
        </w:rPr>
        <w:t>chance and is not actually related to the treatments being compared. For example, p-value of 0.1 indicates there is a 10% chance the difference that is observed between the treatment arms is due to random chance.</w:t>
      </w:r>
    </w:p>
    <w:p>
      <w:pPr>
        <w:spacing w:after="0" w:line="51" w:lineRule="exact"/>
        <w:rPr>
          <w:rFonts w:ascii="Arial" w:cs="Arial" w:eastAsia="Arial" w:hAnsi="Arial"/>
          <w:sz w:val="18"/>
          <w:szCs w:val="18"/>
          <w:color w:val="auto"/>
        </w:rPr>
      </w:pPr>
    </w:p>
    <w:p>
      <w:pPr>
        <w:ind w:left="1000" w:right="120" w:hanging="317"/>
        <w:spacing w:after="0" w:line="262"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Confidence interval</w:t>
      </w:r>
      <w:r>
        <w:rPr>
          <w:rFonts w:ascii="Arial" w:cs="Arial" w:eastAsia="Arial" w:hAnsi="Arial"/>
          <w:sz w:val="18"/>
          <w:szCs w:val="18"/>
          <w:color w:val="auto"/>
        </w:rPr>
        <w:t>: a statistical measure that indicates a range, which is believed to include the true effect parameter with some level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confidence. For example, a 95% CI is the range at which one is 95% sure, with a 5% chance of being wrong, that the range given includes the true effect parameter.</w:t>
      </w:r>
    </w:p>
    <w:p>
      <w:pPr>
        <w:spacing w:after="0" w:line="51" w:lineRule="exact"/>
        <w:rPr>
          <w:rFonts w:ascii="Arial" w:cs="Arial" w:eastAsia="Arial" w:hAnsi="Arial"/>
          <w:sz w:val="18"/>
          <w:szCs w:val="18"/>
          <w:color w:val="auto"/>
        </w:rPr>
      </w:pPr>
    </w:p>
    <w:p>
      <w:pPr>
        <w:ind w:left="1000" w:right="20" w:hanging="317"/>
        <w:spacing w:after="0" w:line="262"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Hazard ratio</w:t>
      </w:r>
      <w:r>
        <w:rPr>
          <w:rFonts w:ascii="Arial" w:cs="Arial" w:eastAsia="Arial" w:hAnsi="Arial"/>
          <w:sz w:val="18"/>
          <w:szCs w:val="18"/>
          <w:color w:val="auto"/>
        </w:rPr>
        <w:t>: represents the chance of events occurring in the treatment arm relative to the chance of events occurring in the control arm. A hazard</w:t>
      </w:r>
      <w:r>
        <w:rPr>
          <w:rFonts w:ascii="Arial" w:cs="Arial" w:eastAsia="Arial" w:hAnsi="Arial"/>
          <w:sz w:val="18"/>
          <w:szCs w:val="18"/>
          <w:b w:val="1"/>
          <w:bCs w:val="1"/>
          <w:color w:val="auto"/>
        </w:rPr>
        <w:t xml:space="preserve"> </w:t>
      </w:r>
      <w:r>
        <w:rPr>
          <w:rFonts w:ascii="Arial" w:cs="Arial" w:eastAsia="Arial" w:hAnsi="Arial"/>
          <w:sz w:val="18"/>
          <w:szCs w:val="18"/>
          <w:color w:val="auto"/>
        </w:rPr>
        <w:t>ratio of one means that there is no difference in survival between the two groups. A hazard ratio of greater than one or less than one means that survival was better in one of the groups.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trial met the statistical criteria for a positive PFS endpoint using a pre-specified p-value of 0.10 from a one-sided test for statistical significance. The overall survival benefit observed in the entinostat/</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 (EE) group was also statistically significant versus the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(exemestane tablets)/placebo (EP) group. The results are summarized below along with the Kaplan-Meier plot for PFS and overall survival.</w:t>
      </w:r>
    </w:p>
    <w:p>
      <w:pPr>
        <w:spacing w:after="0" w:line="147" w:lineRule="exact"/>
        <w:rPr>
          <w:sz w:val="20"/>
          <w:szCs w:val="20"/>
          <w:color w:val="auto"/>
        </w:rPr>
      </w:pPr>
    </w:p>
    <w:p>
      <w:pPr>
        <w:ind w:left="1000" w:right="40" w:hanging="317"/>
        <w:spacing w:after="0" w:line="268"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Median PFS approximately doubled to 4.3 months in the EE group versus 2.3 months in the EP group, corresponding to a statistically significant hazard ratio of 0.73; 95% CI, 0.50 to 1.07; P2-sided=0.11; P1-sided=0.055.</w:t>
      </w:r>
    </w:p>
    <w:p>
      <w:pPr>
        <w:spacing w:after="0" w:line="50" w:lineRule="exact"/>
        <w:rPr>
          <w:rFonts w:ascii="Arial" w:cs="Arial" w:eastAsia="Arial" w:hAnsi="Arial"/>
          <w:sz w:val="18"/>
          <w:szCs w:val="18"/>
          <w:color w:val="auto"/>
        </w:rPr>
      </w:pPr>
    </w:p>
    <w:p>
      <w:pPr>
        <w:ind w:left="1000" w:hanging="317"/>
        <w:spacing w:after="0" w:line="268"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Median overall survival improved to 28.1 months in the EE group versus 19.8 months in the EP group, corresponding to a statistically significant hazard ratio of 0.59; 95% CI, 0.36 to 0.97; P2-sided=0.036; P1-sided=0.018.</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Fatigue and neutropenia were the most frequent Grade 3 and Grade 4 toxicities.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242570</wp:posOffset>
            </wp:positionV>
            <wp:extent cx="5874385" cy="21526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743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have utilized forest plots, which are a form of graphical display designed to illustrate the relative strength of treatment effects across multiple subgroups, to highlight the consistency of the clinical benefit of EE treatment across multiple subgroups for both the PFS and overall survival endpoints. In addition, we analyzed the post-study treatments that patients received to determine whether there were imbalances in the subsequent treatment that could account for the difference in overall survival observed between the EE and EP groups. The two groups were well-balanced for the first and all subsequent cancer therapies, which suggest that a favorable result for overall survival is unlikely due to differences in the therapies patients received after discontinuing study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122555</wp:posOffset>
            </wp:positionV>
            <wp:extent cx="5068570" cy="4244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068570" cy="424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Plot Legend</w:t>
      </w:r>
    </w:p>
    <w:p>
      <w:pPr>
        <w:spacing w:after="0" w:line="41"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NSAI</w:t>
      </w:r>
      <w:r>
        <w:rPr>
          <w:rFonts w:ascii="Arial" w:cs="Arial" w:eastAsia="Arial" w:hAnsi="Arial"/>
          <w:sz w:val="14"/>
          <w:szCs w:val="14"/>
          <w:color w:val="auto"/>
        </w:rPr>
        <w:t>: non-steroidal aromatase inhibitor.</w:t>
      </w:r>
    </w:p>
    <w:p>
      <w:pPr>
        <w:ind w:left="340" w:hanging="332"/>
        <w:spacing w:after="0" w:line="221"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Visceral involvement</w:t>
      </w:r>
      <w:r>
        <w:rPr>
          <w:rFonts w:ascii="Arial" w:cs="Arial" w:eastAsia="Arial" w:hAnsi="Arial"/>
          <w:sz w:val="14"/>
          <w:szCs w:val="14"/>
          <w:color w:val="auto"/>
        </w:rPr>
        <w:t>: refers to advanced HR+ breast cancer that has spread to any of the internal organs in the body.</w:t>
      </w:r>
    </w:p>
    <w:p>
      <w:pPr>
        <w:ind w:left="340" w:hanging="332"/>
        <w:spacing w:after="0"/>
        <w:tabs>
          <w:tab w:leader="none" w:pos="340" w:val="left"/>
        </w:tabs>
        <w:numPr>
          <w:ilvl w:val="0"/>
          <w:numId w:val="60"/>
        </w:numPr>
        <w:rPr>
          <w:rFonts w:ascii="Arial" w:cs="Arial" w:eastAsia="Arial" w:hAnsi="Arial"/>
          <w:sz w:val="12"/>
          <w:szCs w:val="12"/>
          <w:color w:val="auto"/>
        </w:rPr>
      </w:pPr>
      <w:r>
        <w:rPr>
          <w:rFonts w:ascii="Arial" w:cs="Arial" w:eastAsia="Arial" w:hAnsi="Arial"/>
          <w:sz w:val="12"/>
          <w:szCs w:val="12"/>
          <w:u w:val="single" w:color="auto"/>
          <w:color w:val="auto"/>
        </w:rPr>
        <w:t>NSAI sensitive</w:t>
      </w:r>
      <w:r>
        <w:rPr>
          <w:rFonts w:ascii="Arial" w:cs="Arial" w:eastAsia="Arial" w:hAnsi="Arial"/>
          <w:sz w:val="12"/>
          <w:szCs w:val="12"/>
          <w:color w:val="auto"/>
        </w:rPr>
        <w:t>: indicates a complete response, partial response or stable disease greater than six months on prior non-steroidal aromatase inhibitor therapy; all other patients considered NSAI resistant.</w:t>
      </w:r>
    </w:p>
    <w:p>
      <w:pPr>
        <w:spacing w:after="0" w:line="10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Safety was assessed by utilizing the NCI’s Common Terminology Criteria for Adverse Events—Version 3. When entinostat was added to </w:t>
      </w:r>
      <w:r>
        <w:rPr>
          <w:rFonts w:ascii="Arial" w:cs="Arial" w:eastAsia="Arial" w:hAnsi="Arial"/>
          <w:sz w:val="16"/>
          <w:szCs w:val="16"/>
          <w:i w:val="1"/>
          <w:iCs w:val="1"/>
          <w:color w:val="auto"/>
        </w:rPr>
        <w:t>Aromasin</w:t>
      </w:r>
      <w:r>
        <w:rPr>
          <w:rFonts w:ascii="Arial" w:cs="Arial" w:eastAsia="Arial" w:hAnsi="Arial"/>
          <w:sz w:val="16"/>
          <w:szCs w:val="16"/>
          <w:color w:val="auto"/>
        </w:rPr>
        <w:t>, the adverse event, or AE, profile was consistent with previous clinical experience with entinostat treatment. Overall, the EE group had a higher rate of AEs versus the EP group at 95% and 85%, respectively, with the most common AEs in the EE group being fatigue, gastrointestinal disturbances, such as nausea, vomiting and diarrhea, and hematologic toxicities, such as uncomplicated neutropenia, thrombocytopenia and anemia. The EE group had more AEs leading to dose modification (35% versus 6%), and more AEs leading to study discontinuation (11% versus 2%), irrespective of study drug relationship.</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For hematological toxicities, thrombocytopenia was managed by dose modification during entinostat treatment, with all cases being non-severe and none requiring drug discontinuation. In approximately half of the patients who experienced Grade 3 neutropenia, it was managed by dose modification, with only one case leading to entinostat discontinuation. Additional reasons leading to EE discontinuation included two patients owing to nausea and vomiting and one patient each owing to weakness in extremities, hypoxia/radiation pneumonitis, fatigue and mucositis.</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incidence of serious AEs was similar between the EE and EP groups at 16% and 12%, respectively, with four EE patients each experiencing a Grade 4 AE, including fatigue, leucopenia, neutropenia and hypercalcemia. One fatal AE occurred in each treatment arm with the EE event considered related to disease progression. We did not observe significant cardiovascular effects in this trial, which have been reported with other HDAC inhibitors.</w:t>
      </w:r>
    </w:p>
    <w:p>
      <w:pPr>
        <w:spacing w:after="0" w:line="10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 xml:space="preserve">Following positive results from our Phase 2b clinical trial,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was granted breakthrough therapy designation by the FDA in advanced HR+ breast cancer and is currently being evaluated in a Phase 3 clinical trial for advanced HR+ breast cancer.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E2112: Ongoing Pivotal Phase 3 Clinical Trial</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order to confirm the PFS and overall survival benefits observed in the Phase 2b clinical trial, we have partnered with ECOG-ACRIN to develop and conduct the Phase 3 clinical trial. ECOG-ACRIN is conducting the trial under sponsorship and funding support from the NCI. We are providing financial and operational support for the Phase 3 clinical trial under a Cooperative Research and Development Agreement, or CRADA, with the NCI and a separate agreement with ECOG-ACRIN. The trial is a randomized, double-blind, placebo-controlled trial of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compared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a placebo. The protocol for the Phase 3 clinical trial was reviewed and agreed upon by the FDA under a SPA agreement with the NCI in January 2014. The trial initiated enrollment of 600 patients in the second quarter of 2014. Based on information received from ECOG-ACRIN to date, we expect that the trial will require at least 40 months to fully enroll patients with primary PFS endpoint data expected to be no sooner than the second half of 2017. Since we are not responsible for the conduct of the E2112 clinical trial, we cannot provide assurance that this trial will be completed or that data will be received on the timeline indicated.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The primary objective of the trial is to evaluate whether the addition of entinostat to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improves PFS, overall survival or both PFS and overall survival in patients with advanced HR+, HER2- breast cancer who have previously progressed after treatment with standard of care hormonal agents such as NSAIs or </w:t>
      </w:r>
      <w:r>
        <w:rPr>
          <w:rFonts w:ascii="Arial" w:cs="Arial" w:eastAsia="Arial" w:hAnsi="Arial"/>
          <w:sz w:val="16"/>
          <w:szCs w:val="16"/>
          <w:i w:val="1"/>
          <w:iCs w:val="1"/>
          <w:color w:val="auto"/>
        </w:rPr>
        <w:t>Faslodex</w:t>
      </w:r>
      <w:r>
        <w:rPr>
          <w:rFonts w:ascii="Arial" w:cs="Arial" w:eastAsia="Arial" w:hAnsi="Arial"/>
          <w:sz w:val="16"/>
          <w:szCs w:val="16"/>
          <w:color w:val="auto"/>
        </w:rPr>
        <w:t>. The NCI and ECOG-ACRIN, in collaboration with us, have designed the trial to have two primary endpoints of PFS and overall survival. If data are positive, we expect that either endpoint may serve as the basis for submitting an NDA. The Phase 3 clinical trial also contains secondary patient-reported outcomes, or PRO, endpoints to evaluate differences between arms in treatment toxicities, reduced symptom burden as an indicator of treatment response, and overall health-related quality of life. PRO measures are common in ECOG-ACRIN therapeutic trials due to the scientific aims of its Cancer Control &amp; Outcomes Program, which seeks to increase understanding, from the patient perspective, about how novel therapies impact quality of life. Secondary objectives of the trial include assessments of safety, response rate and biomarker analysis.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the trial design are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139700</wp:posOffset>
            </wp:positionV>
            <wp:extent cx="4853940" cy="20840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8539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enrollment size of 600 patients in the trial is adequate for achieving a statistically significant difference in median PFS with a p-value less than 0.002 and in median overall survival with a p-value less than 0.048 based on the trial supporting a hypothesized hazard ratio of 0.58 for PFS and 0.75 for overall survival. If the hypothesized hazard ratio for PFS is true, the PFS endpoint has an 88.5% chance of success. Similarly, if the hypothesized hazard ratio of overall survival is true, the overall survival endpoint has an 80% chance of success.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primary analysis of PFS will be conducted when 247 PFS events occur out of the initial 360 patients enrolled. At the time of the primary PFS analysis, the first interim analysis of overall survival will also be conducted. Stopping rules based upon the interim analyses of overall survival have been outlined such that enrollment may terminate early if the statistical boundary for overall survival is met. Because of the smaller numbers of patients and limited length of follow-up at the time of the first interim analysis of overall survival, we do not expect to meet the criteria for early stopping at that time.</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absence of early stopping, the results of the primary analysis of PFS will be made available to us when all 600 patients have entered the trial, which is anticipated to be no sooner than the second half of 2017. If the PFS endpoint is met, interim overall survival results will be released to us at that time as well. If the overall survival data demonstrate a positive trend, we expect they will be used to supplement an NDA submission based on meeting the primary PFS endpoint.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analysis of overall survival data represents another opportunity for submission of an NDA to the FDA for potential approval. The primary analysis of overall survival will occur when 410 deaths from among the 600 patients enrolled have occurred. Based on information received from ECOG-ACRIN to date, we expect this analysis to occur no sooner than the second half of 2019.</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In addition to these analyses, if the primary analysis of PFS fails to achieve statistical significance, a positive overall survival outcome at any interim analysis during the conduct of the trial will also be a potential approval pathway. ECOG-ACRIN will perform up to seven interim analyses of overall survival approximately every six months to assess the potential superiority of the combination of entinostat and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relative to the combination of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and a placebo. The 410 deaths required for the primary analysis of overall survival takes into consideration any statistical impact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various interim analyses on the analysis of the overall survival endpoint. If the interim analyses do not demonstrate a statistically significant overall survival benefit, ECOG-ACRIN will not release the results of such interim analyses to us.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Development Activities of Entinostat</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currently collaborating with the NCI and investigators on combination trials of entinostat with other therapies across additional multiple tumor types such as HER2+ breast cancer, NSCLC and acute myeloid leukemia. Each of these trials is being funded either by the NCI or as investigator-initiated studies funded through grants and sponsoring institutions. Since we are not responsible for the conduct of these clinical trials, we cannot provide assurance that they will be completed or that data will be received on the timeline indicated.</w:t>
      </w:r>
    </w:p>
    <w:p>
      <w:pPr>
        <w:spacing w:after="0" w:line="178" w:lineRule="exact"/>
        <w:rPr>
          <w:sz w:val="20"/>
          <w:szCs w:val="20"/>
          <w:color w:val="auto"/>
        </w:rPr>
      </w:pPr>
    </w:p>
    <w:p>
      <w:pPr>
        <w:ind w:left="1000" w:right="80" w:hanging="317"/>
        <w:spacing w:after="0" w:line="293"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NCI-8871: HER2+ Breast Cancer</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are collaborating with investigators at MD Anderson Cancer Center to determine whether the addition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entinostat to a second HER2 targeted therapy can overcome the resistance that had developed in response to prior HER2 targeted therapy. A Phase 1 dose escalation trial of entinostat with </w:t>
      </w:r>
      <w:r>
        <w:rPr>
          <w:rFonts w:ascii="Arial" w:cs="Arial" w:eastAsia="Arial" w:hAnsi="Arial"/>
          <w:sz w:val="16"/>
          <w:szCs w:val="16"/>
          <w:i w:val="1"/>
          <w:iCs w:val="1"/>
          <w:color w:val="auto"/>
        </w:rPr>
        <w:t>Tykerb</w:t>
      </w:r>
      <w:r>
        <w:rPr>
          <w:rFonts w:ascii="Arial" w:cs="Arial" w:eastAsia="Arial" w:hAnsi="Arial"/>
          <w:sz w:val="10"/>
          <w:szCs w:val="10"/>
          <w:color w:val="auto"/>
        </w:rPr>
        <w:t>®</w:t>
      </w:r>
      <w:r>
        <w:rPr>
          <w:rFonts w:ascii="Arial" w:cs="Arial" w:eastAsia="Arial" w:hAnsi="Arial"/>
          <w:sz w:val="16"/>
          <w:szCs w:val="16"/>
          <w:color w:val="auto"/>
        </w:rPr>
        <w:t xml:space="preserve"> (lapatinib), a small molecule dual inhibitor of HER2 and EGFR signaling, has established the feasibility and safety of that combination. A second Phase 1 clinical trial studying entinostat in combination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0"/>
          <w:szCs w:val="10"/>
          <w:color w:val="auto"/>
        </w:rPr>
        <w:t>®</w:t>
      </w:r>
      <w:r>
        <w:rPr>
          <w:rFonts w:ascii="Arial" w:cs="Arial" w:eastAsia="Arial" w:hAnsi="Arial"/>
          <w:sz w:val="16"/>
          <w:szCs w:val="16"/>
          <w:color w:val="auto"/>
        </w:rPr>
        <w:t xml:space="preserve"> (trastuzumab), a monoclonal antibody inhibitor of HER2 signaling, is currently enrolling patients. The primary objective of the Phase 1 portion of the trial is to determine the RP2D for entinostat in combination with </w:t>
      </w:r>
      <w:r>
        <w:rPr>
          <w:rFonts w:ascii="Arial" w:cs="Arial" w:eastAsia="Arial" w:hAnsi="Arial"/>
          <w:sz w:val="16"/>
          <w:szCs w:val="16"/>
          <w:i w:val="1"/>
          <w:iCs w:val="1"/>
          <w:color w:val="auto"/>
        </w:rPr>
        <w:t>Tykerb</w:t>
      </w:r>
      <w:r>
        <w:rPr>
          <w:rFonts w:ascii="Arial" w:cs="Arial" w:eastAsia="Arial" w:hAnsi="Arial"/>
          <w:sz w:val="16"/>
          <w:szCs w:val="16"/>
          <w:color w:val="auto"/>
        </w:rPr>
        <w:t xml:space="preserve"> and </w:t>
      </w:r>
      <w:r>
        <w:rPr>
          <w:rFonts w:ascii="Arial" w:cs="Arial" w:eastAsia="Arial" w:hAnsi="Arial"/>
          <w:sz w:val="16"/>
          <w:szCs w:val="16"/>
          <w:i w:val="1"/>
          <w:iCs w:val="1"/>
          <w:color w:val="auto"/>
        </w:rPr>
        <w:t>Herceptin</w:t>
      </w:r>
      <w:r>
        <w:rPr>
          <w:rFonts w:ascii="Arial" w:cs="Arial" w:eastAsia="Arial" w:hAnsi="Arial"/>
          <w:sz w:val="16"/>
          <w:szCs w:val="16"/>
          <w:color w:val="auto"/>
        </w:rPr>
        <w:t xml:space="preserve"> in patients who have previously received </w:t>
      </w:r>
      <w:r>
        <w:rPr>
          <w:rFonts w:ascii="Arial" w:cs="Arial" w:eastAsia="Arial" w:hAnsi="Arial"/>
          <w:sz w:val="16"/>
          <w:szCs w:val="16"/>
          <w:i w:val="1"/>
          <w:iCs w:val="1"/>
          <w:color w:val="auto"/>
        </w:rPr>
        <w:t>Herceptin</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00" w:right="280" w:hanging="317"/>
        <w:spacing w:after="0" w:line="262"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NCI-9253: Epigenetic Priming to Chemotherapy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NCI-sponsored Phase 2 clinical trial is currently enrolling up to 165 patients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advanced NSCLC and is designed to test the ability of epigenetic therapy—a combination of entinostat and </w:t>
      </w:r>
      <w:r>
        <w:rPr>
          <w:rFonts w:ascii="Arial" w:cs="Arial" w:eastAsia="Arial" w:hAnsi="Arial"/>
          <w:sz w:val="18"/>
          <w:szCs w:val="18"/>
          <w:i w:val="1"/>
          <w:iCs w:val="1"/>
          <w:color w:val="auto"/>
        </w:rPr>
        <w:t>Vidaza</w:t>
      </w:r>
      <w:r>
        <w:rPr>
          <w:rFonts w:ascii="Arial" w:cs="Arial" w:eastAsia="Arial" w:hAnsi="Arial"/>
          <w:sz w:val="18"/>
          <w:szCs w:val="18"/>
          <w:color w:val="auto"/>
        </w:rPr>
        <w:t>—to enhance the response of NSCLC patients to chemotherapy.</w:t>
      </w:r>
    </w:p>
    <w:p>
      <w:pPr>
        <w:spacing w:after="0" w:line="51" w:lineRule="exact"/>
        <w:rPr>
          <w:rFonts w:ascii="Arial" w:cs="Arial" w:eastAsia="Arial" w:hAnsi="Arial"/>
          <w:sz w:val="18"/>
          <w:szCs w:val="18"/>
          <w:color w:val="auto"/>
        </w:rPr>
      </w:pPr>
    </w:p>
    <w:p>
      <w:pPr>
        <w:ind w:left="1000" w:hanging="317"/>
        <w:spacing w:after="0" w:line="301" w:lineRule="auto"/>
        <w:tabs>
          <w:tab w:leader="none" w:pos="1000" w:val="left"/>
        </w:tabs>
        <w:numPr>
          <w:ilvl w:val="0"/>
          <w:numId w:val="61"/>
        </w:numPr>
        <w:rPr>
          <w:rFonts w:ascii="Arial" w:cs="Arial" w:eastAsia="Arial" w:hAnsi="Arial"/>
          <w:sz w:val="16"/>
          <w:szCs w:val="16"/>
          <w:color w:val="auto"/>
        </w:rPr>
      </w:pPr>
      <w:r>
        <w:rPr>
          <w:rFonts w:ascii="Arial" w:cs="Arial" w:eastAsia="Arial" w:hAnsi="Arial"/>
          <w:sz w:val="16"/>
          <w:szCs w:val="16"/>
          <w:b w:val="1"/>
          <w:bCs w:val="1"/>
          <w:color w:val="auto"/>
        </w:rPr>
        <w:t xml:space="preserve">NA-00038036: Acute Myeloid Leukemia. </w:t>
      </w:r>
      <w:r>
        <w:rPr>
          <w:rFonts w:ascii="Arial" w:cs="Arial" w:eastAsia="Arial" w:hAnsi="Arial"/>
          <w:sz w:val="16"/>
          <w:szCs w:val="16"/>
          <w:color w:val="auto"/>
        </w:rPr>
        <w:t>We are collaborating with investigators at The Cleveland Clinic and Celgene Corporation to conduct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investigator-sponsored Phase 2 clinical trial of entinostat in combination with </w:t>
      </w:r>
      <w:r>
        <w:rPr>
          <w:rFonts w:ascii="Arial" w:cs="Arial" w:eastAsia="Arial" w:hAnsi="Arial"/>
          <w:sz w:val="16"/>
          <w:szCs w:val="16"/>
          <w:i w:val="1"/>
          <w:iCs w:val="1"/>
          <w:color w:val="auto"/>
        </w:rPr>
        <w:t>Vidaza</w:t>
      </w:r>
      <w:r>
        <w:rPr>
          <w:rFonts w:ascii="Arial" w:cs="Arial" w:eastAsia="Arial" w:hAnsi="Arial"/>
          <w:sz w:val="16"/>
          <w:szCs w:val="16"/>
          <w:color w:val="auto"/>
        </w:rPr>
        <w:t xml:space="preserve"> in up to 108 elderly patients with acute myeloid leukemia, or AML. The primary objective is to estimate the response rate in elderly patients with AML, with de novo or secondary AML and who have declined or are ineligible for cytotoxic chemotherapy, or in patients who have relapsed leukemia despite one prior standard chemotherapy regimen.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Clinical Trials in Support of the NDA</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parallel with the pivotal Phase 3 clinical trial, we intend to conduct a number of required clinical pharmacology trials required for the submission of an NDA for entinostat. In 2015, we conducted a Phase 1 clinical trial to determine how much entinostat is absorbed by patients, how it is distributed in the body and how it is metabolized and excreted. Results of this clinical trial are pending. We will also conduct a Phase 1 clinical trial to determine whether entinostat interferes with the pharmacological properties of </w:t>
      </w:r>
      <w:r>
        <w:rPr>
          <w:rFonts w:ascii="Arial" w:cs="Arial" w:eastAsia="Arial" w:hAnsi="Arial"/>
          <w:sz w:val="18"/>
          <w:szCs w:val="18"/>
          <w:i w:val="1"/>
          <w:iCs w:val="1"/>
          <w:color w:val="auto"/>
        </w:rPr>
        <w:t>Aromasin</w:t>
      </w:r>
      <w:r>
        <w:rPr>
          <w:rFonts w:ascii="Arial" w:cs="Arial" w:eastAsia="Arial" w:hAnsi="Arial"/>
          <w:sz w:val="18"/>
          <w:szCs w:val="18"/>
          <w:color w:val="auto"/>
        </w:rPr>
        <w:t xml:space="preserve"> (drug-drug interaction trial) and a Phase 1 clinical trial to confirm previous findings that there are no cardiac safety signals associated with entinostat treatment.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Collaborations in Immuno-Oncology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MSD International GmbH</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In March 2015, we entered into a clinical trial collaboration and supply agreement with MSD International GmbH, an affiliate of Merck, under which we will conduct a clinical trial evaluating entinostat in combination with Merck’s drug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in patients with NSCLC and melanoma. We are the sponsor of the clinical trial. Merck will supply </w:t>
      </w:r>
      <w:r>
        <w:rPr>
          <w:rFonts w:ascii="Arial" w:cs="Arial" w:eastAsia="Arial" w:hAnsi="Arial"/>
          <w:sz w:val="16"/>
          <w:szCs w:val="16"/>
          <w:i w:val="1"/>
          <w:iCs w:val="1"/>
          <w:color w:val="auto"/>
        </w:rPr>
        <w:t>Keytruda</w:t>
      </w:r>
      <w:r>
        <w:rPr>
          <w:rFonts w:ascii="Arial" w:cs="Arial" w:eastAsia="Arial" w:hAnsi="Arial"/>
          <w:sz w:val="16"/>
          <w:szCs w:val="16"/>
          <w:color w:val="auto"/>
        </w:rPr>
        <w:t xml:space="preserve"> for use in the clinical trial. Neither party will have any obligation to reimburse any costs incurred by the other party, except that a party may be required to reimburse the manufacturing costs of the other party upon certain early termination events.</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To the extent any inventions arise from the clinical trial, each party will solely own inventions relating to its drug alone, and the parties will jointly own any inventions relating to the combination of the two drugs. In most cases, clinical data from the trial will be jointly owned. However, each party will separately analyze clinical samples obtained from trial participants, and each party will solely own the sample analysis data that it generates.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Either party may terminate the agreement for the other party’s uncured material breach. In addition, either party may terminate the agreement if it believes that there is imminent danger to patients in the clinical trial, or if a regulatory authority takes an action that prevent such party from supplying its drug, or if such party decides to discontinue development of its drug. Merck may terminate the agreement if we fail to make any changes to the clinical trial protocol that are reasonably requested by Merck to address a perceived safety issue or if we undergo a change of control with a company that is clinically developing or marketing a drug having the same mechanism of action as </w:t>
      </w:r>
      <w:r>
        <w:rPr>
          <w:rFonts w:ascii="Arial" w:cs="Arial" w:eastAsia="Arial" w:hAnsi="Arial"/>
          <w:sz w:val="16"/>
          <w:szCs w:val="16"/>
          <w:i w:val="1"/>
          <w:iCs w:val="1"/>
          <w:color w:val="auto"/>
        </w:rPr>
        <w:t>Keytruda</w:t>
      </w:r>
      <w:r>
        <w:rPr>
          <w:rFonts w:ascii="Arial" w:cs="Arial" w:eastAsia="Arial" w:hAnsi="Arial"/>
          <w:sz w:val="16"/>
          <w:szCs w:val="16"/>
          <w:color w:val="auto"/>
        </w:rPr>
        <w: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Genentech, Inc.</w:t>
      </w:r>
    </w:p>
    <w:p>
      <w:pPr>
        <w:spacing w:after="0" w:line="171"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In August 2015, we entered into a combination study collaboration agreement with Genentech under which we will conduct a clinical trial evaluating entinostat in combination with Genentech’s drug atezolizumab in patients with TNBC. We will be the sponsor of the clinical trial. Genentech will supply atezolizumab for use in the clinical trial. Each party will perform its obligations under the agreement at its own expense, including its internal costs.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any inventions arise from the clinical trial, each party will solely own inventions relating to its drug alone, and the parties will jointly own any inventions relating to the combination of the two drugs. In most cases, data from the trial will be jointly owned. However, each party will solely own certain sample analysis data generated from clinical samples obtained from trial participants.</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Either party may terminate the agreement for the other party’s uncured material breach. In addition, either party may terminate the agreement if it determines that the trial may unreasonably affect patient safety, or if a regulatory authority withdraws the approval to conduct the trial or takes an action that prevent such party from supplying its drug, or if the other party or its employees are sanctioned under certain healthcare-related laws, or if such party decides to discontinue development of its drug.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NCI and Investigator Collaborations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collaborated with a limited number of third parties on the clinical development of entinostat. For example, we have supplied entinostat for use in investigator-sponsored clinical trials conducted at JHU and we may enter into similar arrangements with other hospitals and medical centers in the future. Investigator-sponsored clinical trials are generally performed under an IND application filed by the investigator or his or her institution. The investigator or institution generally also fully funds these clinical trials. To date, our sole obligation with respect to these investigator-sponsored clinical trials has been to supply entinostat for use in the trials. Additionally, we have an ongoing collaboration with the NCI for the clinical development of entinostat. As part of this collaboration, the NCI sponsors and funds clinical studies on entinostat that are conducted by other groups or institutions, such as JHU and ECOG-ACRIN. Under a separate agreement with ECOG-ACRIN, we have agreed to make additional payments directly to ECOG-ACRIN to support its performance of an NCI-sponsored pivotal Phase 3 clinical trial of entinostat.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Collaborative Research and Development Agreement with the NCI</w:t>
      </w:r>
    </w:p>
    <w:p>
      <w:pPr>
        <w:spacing w:after="0" w:line="171"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collaboration with the NCI is governed by a CRADA between us and the NCI. The CRADA was originally signed by Mitsui Pharmaceuticals, Inc., or Mitsui, and was then assigned to Schering AG following Schering AG’s acquisition of Mitsui. In 2007, Schering AG (then known as Bayer Schering Pharma AG) agreed to assign the CRADA to us in connection with the execution of a license, development and commercialization agreement, or the Bayer license agreement, with Bayer.</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Under the CRADA, as amended, the NCI sponsors clinical studies on entinostat using researchers at the NCI as well as NCI-funded researchers at other institutions, including ECOG-ACRIN and JHU. In return, we receive access to the data generated in these clinical studies, and we are obligated to supply the clinical trial sites with sufficient quantities of entinostat. Additionally, we are required to make an annual payment to a particular NCI laboratory to help support certain research studies related to this and other clinical trial. We have no other payment obligations under the CRADA.</w:t>
      </w:r>
    </w:p>
    <w:p>
      <w:pPr>
        <w:spacing w:after="0" w:line="113" w:lineRule="exact"/>
        <w:rPr>
          <w:sz w:val="20"/>
          <w:szCs w:val="20"/>
          <w:color w:val="auto"/>
        </w:rPr>
      </w:pPr>
    </w:p>
    <w:p>
      <w:pPr>
        <w:ind w:right="360" w:firstLine="456"/>
        <w:spacing w:after="0" w:line="255" w:lineRule="auto"/>
        <w:rPr>
          <w:sz w:val="20"/>
          <w:szCs w:val="20"/>
          <w:color w:val="auto"/>
        </w:rPr>
      </w:pPr>
      <w:r>
        <w:rPr>
          <w:rFonts w:ascii="Arial" w:cs="Arial" w:eastAsia="Arial" w:hAnsi="Arial"/>
          <w:sz w:val="18"/>
          <w:szCs w:val="18"/>
          <w:color w:val="auto"/>
        </w:rPr>
        <w:t>We own any intellectual property generated in the course of the collaboration with the NCI, or Collaboration IP, to the extent that Collaboration IP is generated by our employees. We also have an exclusive option to obtain an exclusive or non-exclusive commercialization license under Collaboration IP generated by the NCI. With respect to any Collaboration IP that is owned by or licensed to us, we have agreed to grant the United States government a non-exclusive license to practice or have practiced this Collaboration IP throughout the world by or on behalf of the government for research or other government purposes.</w:t>
      </w:r>
    </w:p>
    <w:p>
      <w:pPr>
        <w:spacing w:after="0" w:line="14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Either party may terminate the CRADA either by mutual consent or unilaterally upon advance written notice to the other party. Absent such early termination, the CRADA will expire on May 21, 2017. As we have in the past, we expect to renew the CRADA at that time.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Agreement with Eastern Cooperative Oncology Group</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March 2014, we entered into a clinical trial agreement with Eastern Cooperative Oncology Group, a contracting entity for ECOG-ACRIN, which describes the parties’ obligations with respect to the NCI-sponsored pivotal Phase 3 clinical trial of entinostat. Under the terms of the clinical trial agreement, ECOG-ACRIN will perform this clinical trial in accordance with the clinical trial protocol and a mutually agreed scope of work. In February 2015, we amended the agreement to provide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additional patient site reimbursement funds, which will be paid based on milestone-based payments. We will provide a fixed level of financial support for the clinical trial through an upfront payment of $695,000 and a series of time- and milestone-based payments of up to $970,000, and we are obligated to supply entinostat and placebo to ECOG-ACRIN for use in the clinical trial. Our aggregate payment obligations under this agreement are approximately $20.6 million. We have agreed to provide this additional financial support to fund the additional activities required to ensure that the E2112 clinical trial will satisfy FDA registration requirements.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Data and inventions from the Phase 3 clinical trial are owned by ECOG-ACRIN. We have access to the data generated in the clinical trial, both directly from ECOG-ACRIN under the clinical trial agreement, as well as from the NCI through our agreement with it. Additionally, ECOG-ACRIN has granted us a non-exclusive license to any inventions or discoveries that are derived from entinostat as a result of its use during the clinical trial, along with a first right to negotiate an exclusive license to any of these inventions or discoveries.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Either party may terminate the clinical trial agreement in the event of an uncured material breach by the other party or if the FDA or NCI withdraws the authorization to perform the clinical trial in the United States. The parties may jointly terminate the clinical trial agreement if the parties agree that safety-related issues support termination.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2014, we entered into a license, development and commercialization agreement with Kyowa Hakko Kirin, or KHK, under which KHK received an exclusive license under our intellectual property rights to develop and commercialize entinostat in Japan and Korea. This license includes a sublicense under the rights we received under the Bayer license agreement. If we acquire or develop any other anti-cancer drug that, like entinostat, is a selective inhibitor of Class 1 HDAC, such drug will be included in this license as well. We will manufacture and supply entinostat to KHK during the term of the agreement, and such obligation may continue for a longer period if KHK continues to sell entinostat following expiration of the agreement or termination of the agreement for our breach. During the term of the agreement, subject to certain exceptions, each party is prohibited from commercializing in the Japan and Korea any other selective inhibitor of Class 1 HDACs for the same indication as entinostat, with all forms of cancer being treated as the same indication.</w:t>
      </w:r>
    </w:p>
    <w:p>
      <w:pPr>
        <w:spacing w:after="0" w:line="118"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received an upfront license fee of $17.5 million, and KHK purchased 670,062 shares of our Series B-1 Preferred Stock for an aggregate price of approximately $7.5 million. We are eligible to receive up to $50 million in development and regulatory milestone payments and up to $25 million in sales milestone payments. KHK will pay us a transfer price for the supply of entinostat as well as royalties on net sales of entinostat above a specified threshold each calendar year by KHK, its affiliates and sublicensees in the low single digits. Royalty payment obligations will be payable in each country in the KHK territory until the later to occur of (i) the date that all valid claims of the last effective license patent in such country expires or is abandoned, withheld or otherwise invalidated and (ii) 15 years from the date of first commercial sale of entinostat in such country. Any payments owed to Bayer as a result of KHK’s development and commercialization of entinostat in the KHK territory will be made by us out of the payments we receive from KHK.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agreement with KHK will expire with respect to each country in the KHK territory upon the expiration of all royalty payment obligations in such country. In addition, we may terminate the agreement in its entirety upon written notice to KHK if KHK or any affiliate commences any action or proceeding that challenges the validity, enforceability or scope of any licensed patent in the KHK territory. KHK may terminate the agreement in its entirety for convenience at any time upon advance notice to us. Either party may terminate the agreement for the other party’s uncured material breach, or bankruptcy or related actions or proceedings. If we commit an uncured material breach of certain provisions of the agreement, KHK may, instead of terminating the agreement, elect to continue the agreement in full force and effect except certain payments to us will be reduced.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intend to build a commercial infrastructure to support sales of entinostat in the United States. Our targeted sales force will focus on a well-defined group of medical oncologists, primarily in the non-hospital and academic settings, who are responsible for the care and treatment of cancer patients. We expect to manage sales, marketing and distribution through internal resources and third-party relationships. While we may commit significant financial and management resources to commercial activities, we would also consider collaborating with one or more pharmaceutical companies to enhance our commercial capabilities. Outside the United States, we plan to rely on our current partners and may seek additional pharmaceutical partners for sales and marketing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do not own or operate manufacturing facilities for the production of entinostat, and we do not have plans to develop our own manufacturing operations in the foreseeable future. We currently rely on third-party contract manufacturers for all of our required raw materials, active pharmaceutical ingredients and finished product for our preclinical research and clinical trials. We do not have long-term agreements with any of these third parties. We also do not have any current contractual relationship for the manufacture of commercial supplies. If entinostat is approved by any regulatory agency, we intend to enter into agreements with a third-party contract manufacturer and one or more backup manufacturers for the commercial production of entinostat. Development and commercial quantities of any products that we develop will need to be manufactured in facilities, and by processes, that comply with the requirements of the FDA and the regulatory agencies of other jurisdictions in which we are seeking approval.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pharmacologic treatment of NSCLC, melanoma and TNBC patients currently consists of chemotherapies, therapies targeting specific gene mutations and, more recently, immune checkpoint inhibitors. There are currently no approved combination immunotherapies although numerous drugs are undergoing active clinical investigation. We believe that if entinostat in combination with </w:t>
      </w:r>
      <w:r>
        <w:rPr>
          <w:rFonts w:ascii="Arial" w:cs="Arial" w:eastAsia="Arial" w:hAnsi="Arial"/>
          <w:sz w:val="18"/>
          <w:szCs w:val="18"/>
          <w:i w:val="1"/>
          <w:iCs w:val="1"/>
          <w:color w:val="auto"/>
        </w:rPr>
        <w:t>Keytruda</w:t>
      </w:r>
      <w:r>
        <w:rPr>
          <w:rFonts w:ascii="Arial" w:cs="Arial" w:eastAsia="Arial" w:hAnsi="Arial"/>
          <w:sz w:val="18"/>
          <w:szCs w:val="18"/>
          <w:color w:val="auto"/>
        </w:rPr>
        <w:t xml:space="preserve"> or atezolizumab were approved for the treatment of NSCLC, melanoma or TNBC, it would face competition from these standard-of-care approaches and other investigational drugs being tested in combination with any of these approaches.</w:t>
      </w:r>
    </w:p>
    <w:p>
      <w:pPr>
        <w:spacing w:after="0" w:line="143"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 xml:space="preserve">If entinostat in combination with </w:t>
      </w:r>
      <w:r>
        <w:rPr>
          <w:rFonts w:ascii="Arial" w:cs="Arial" w:eastAsia="Arial" w:hAnsi="Arial"/>
          <w:sz w:val="16"/>
          <w:szCs w:val="16"/>
          <w:i w:val="1"/>
          <w:iCs w:val="1"/>
          <w:color w:val="auto"/>
        </w:rPr>
        <w:t>Aromasin</w:t>
      </w:r>
      <w:r>
        <w:rPr>
          <w:rFonts w:ascii="Arial" w:cs="Arial" w:eastAsia="Arial" w:hAnsi="Arial"/>
          <w:sz w:val="16"/>
          <w:szCs w:val="16"/>
          <w:color w:val="auto"/>
        </w:rPr>
        <w:t xml:space="preserve"> were approved for treatment of advanced HR+ breast cancer, it could face competition from other therapies recently approved for use in combination with hormone therapy in this population, including </w:t>
      </w:r>
      <w:r>
        <w:rPr>
          <w:rFonts w:ascii="Arial" w:cs="Arial" w:eastAsia="Arial" w:hAnsi="Arial"/>
          <w:sz w:val="16"/>
          <w:szCs w:val="16"/>
          <w:i w:val="1"/>
          <w:iCs w:val="1"/>
          <w:color w:val="auto"/>
        </w:rPr>
        <w:t>Ibrance</w:t>
      </w:r>
      <w:r>
        <w:rPr>
          <w:rFonts w:ascii="Arial" w:cs="Arial" w:eastAsia="Arial" w:hAnsi="Arial"/>
          <w:sz w:val="16"/>
          <w:szCs w:val="16"/>
          <w:color w:val="auto"/>
        </w:rPr>
        <w:t xml:space="preserve"> developed by Pfizer, </w:t>
      </w:r>
      <w:r>
        <w:rPr>
          <w:rFonts w:ascii="Arial" w:cs="Arial" w:eastAsia="Arial" w:hAnsi="Arial"/>
          <w:sz w:val="16"/>
          <w:szCs w:val="16"/>
          <w:i w:val="1"/>
          <w:iCs w:val="1"/>
          <w:color w:val="auto"/>
        </w:rPr>
        <w:t>Afinitor</w:t>
      </w:r>
      <w:r>
        <w:rPr>
          <w:rFonts w:ascii="Arial" w:cs="Arial" w:eastAsia="Arial" w:hAnsi="Arial"/>
          <w:sz w:val="16"/>
          <w:szCs w:val="16"/>
          <w:color w:val="auto"/>
        </w:rPr>
        <w:t xml:space="preserve"> developed by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Novartis, and other therapies currently in Phase 3 clinical development such as abemaciclib being developed by Eli Lilly and Company, and ribociclib and buparlisib both of which are being developed by Novartis.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Many of our existing or potential competitors have substantially greater financial, technical and human resources than we do and significantly greater experience in the discovery and development of product candidates, obtaining FDA and other regulatory approvals of products and the commercialization of those products. Our competitors may be more successful than we may be in obtaining FDA approval for drugs and achieving widespread market acceptance. Our competitors’ drugs may be more effective, or more effectively marketed and sold, than any drug we may commercialize and may render our product candidates obsolete or non-competitive before we can recover the expenses of developing and commercializing any of our product candidates. Our competitors may also obtain FDA or other regulatory approval for their products more rapidly than we may obtain approval for ours. We anticipate that we will face intense and increasing competition as new drugs enter the market and advanced technologies become available.</w:t>
      </w:r>
    </w:p>
    <w:p>
      <w:pPr>
        <w:spacing w:after="0" w:line="118" w:lineRule="exact"/>
        <w:rPr>
          <w:sz w:val="20"/>
          <w:szCs w:val="20"/>
          <w:color w:val="auto"/>
        </w:rPr>
      </w:pPr>
    </w:p>
    <w:p>
      <w:pPr>
        <w:ind w:right="960" w:firstLine="456"/>
        <w:spacing w:after="0" w:line="332" w:lineRule="auto"/>
        <w:rPr>
          <w:sz w:val="20"/>
          <w:szCs w:val="20"/>
          <w:color w:val="auto"/>
        </w:rPr>
      </w:pPr>
      <w:r>
        <w:rPr>
          <w:rFonts w:ascii="Arial" w:cs="Arial" w:eastAsia="Arial" w:hAnsi="Arial"/>
          <w:sz w:val="16"/>
          <w:szCs w:val="16"/>
          <w:color w:val="auto"/>
        </w:rPr>
        <w:t>We expect any treatments that we develop and commercialize to compete on the basis of, among other things, efficacy, safety, convenience of administration and delivery, price and the availability of reimbursement from government and other third-party payors.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Property Rights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Through licensed intellectual property and our owned intellectual property, we seek patent protection in the United States and internationally for entinostat, its methods of use and processes for its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Entinostat Patent Portfolio</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also strive to protect entinostat with multiple layers of patents. As of August 24, 2015, our portfolio included three owned U.S. provisional patent applications and four owned pending U.S. non-provisional patent applications and one owned pending Patent Cooperation Treaty, or PCT, application directed to feeding regimens in conjunction with administration of entinostat that will enter national filing phase in November 2015. Also, we have filed national phase applications in the Eurasia Regional Patent Office, Ukraine and Georgia based on our owned PCT application directed to treatment of</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color w:val="auto"/>
        </w:rPr>
        <w:t xml:space="preserve">selected breast cancer patients with a combination of entinostat and </w:t>
      </w:r>
      <w:r>
        <w:rPr>
          <w:rFonts w:ascii="Arial" w:cs="Arial" w:eastAsia="Arial" w:hAnsi="Arial"/>
          <w:sz w:val="15"/>
          <w:szCs w:val="15"/>
          <w:i w:val="1"/>
          <w:iCs w:val="1"/>
          <w:color w:val="auto"/>
        </w:rPr>
        <w:t>Aromasin</w:t>
      </w:r>
      <w:r>
        <w:rPr>
          <w:rFonts w:ascii="Arial" w:cs="Arial" w:eastAsia="Arial" w:hAnsi="Arial"/>
          <w:sz w:val="15"/>
          <w:szCs w:val="15"/>
          <w:color w:val="auto"/>
        </w:rPr>
        <w:t xml:space="preserve">. We have assigned our rights to the application we filed in the Eurasia Regional Patent Office to Domain Russia Investments Limited, or DRI. We have also assigned our rights to the applications we filed in Ukraine and Georgia to NovaMedica LLC, or NovaMedica. We have also filed national phase applications based on our owned PCT application directed to treatment of selected breast cancer patients with the combination of entinostat and </w:t>
      </w:r>
      <w:r>
        <w:rPr>
          <w:rFonts w:ascii="Arial" w:cs="Arial" w:eastAsia="Arial" w:hAnsi="Arial"/>
          <w:sz w:val="15"/>
          <w:szCs w:val="15"/>
          <w:i w:val="1"/>
          <w:iCs w:val="1"/>
          <w:color w:val="auto"/>
        </w:rPr>
        <w:t>Aromasin</w:t>
      </w:r>
      <w:r>
        <w:rPr>
          <w:rFonts w:ascii="Arial" w:cs="Arial" w:eastAsia="Arial" w:hAnsi="Arial"/>
          <w:sz w:val="15"/>
          <w:szCs w:val="15"/>
          <w:color w:val="auto"/>
        </w:rPr>
        <w:t xml:space="preserve"> in the USPTO, the European Patent Office, or EPO, China, India, Australia, Canada, Japan, South Korea, South Africa, Brazil and Mexico. Our owned entinostat patent portfolio includes pending U.S. patent applications directed to methods of treating cancer patients by administration of entinostat according to selected dosing regimens, methods of treating cancer patients by administration of entinostat in combination with an HER2 inhibitor and methods of treating lung cancer patients by administration of entinostat in combination with an EGFR inhibitor. Our owned pending U.S. provisional applications relate to treatments with entinostat combined with anti PD-1 or anti PDL-1 antibodies. If issued, patents based on our owned pending U.S. applications and non-U.S. filings based on our owned PCT application would expire between November 2028 and June 2036.</w:t>
      </w:r>
    </w:p>
    <w:p>
      <w:pPr>
        <w:spacing w:after="0" w:line="108"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patent portfolio we licensed from Bayer contains a number of issued U.S. and foreign patents as well as patent applications pending outside the United States. A number of the patents and patent applications we licensed from Bayer are directed to entinostat while other patents and patent applications are directed to compounds other than entinostat. As of August 24, 2015, the portfolio we licensed from Bayer included seven issued U.S. patents, 59 granted non-U.S. patents and 21 patent applications pending in non-U.S. patent offices. For example, the portfolio we licensed from Bayer includes reissue U.S. Patent RE39,754, which covers a genus of benzamide compounds including entinostat or SNDX-275. RE39,754 is a composition of matter patent having an initial term expiring in 2017.</w:t>
      </w:r>
    </w:p>
    <w:p>
      <w:pPr>
        <w:spacing w:after="0" w:line="10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portfolio we licensed from Bayer also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expires in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2029 expiration date.</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Of the 59 foreign granted patents we licensed from Bayer, 26 are foreign counterparts of the ‘166 patent (now RE45,499) that cover crystalline polymorph B, the granted European patent comprises 37 national countries that all been validated, and the granted Eurasian patent comprises nine countries that have all been validated. Likewise, 16 of the 21 pending foreign applications are counterparts of the ‘166 crystalline polymorph B patent. Other patents and patent applications in the licensed Bayer portfolio cover methods of treatment by administration of entinostat. For example, U.S. Patent 7,317,028, which expires in 2017, covers methods of treating selected cancers by administration of entinostat; U.S. Patent 7,687,525, which also expires in 2017, covers methods of treating autoimmune disease by administration of entinostat; U.S. Patent 6,320,078, which expires in 2019,</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covers methods of manufacturing entinostat; U.S. Patent No. 8,026,239, which expires in 2017, covers methods of treating certain malignant tumors by administration of a compound within a subgenus of benzamide compounds including entinostat; U.S. Patent RE40,703, which expires in 2017, covers a subgenus of benzamide compounds that does not include entinostat; and U.S. Patent 6,794,392, which expires in 2017, covers a subgenus of benzamide compounds that does not include entinostat.</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term of individual patents depends upon the legal term of the patents in the countries in which they are obtained. In most countries in which we file, the patent term is 20 years from the date of filing the non-provisional application or PCT application.</w:t>
      </w:r>
    </w:p>
    <w:p>
      <w:pPr>
        <w:spacing w:after="0" w:line="13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the United States, a patent’s term may be lengthened by patent term adjustment, which compensates a patentee for administrative delays by the U.S. Patent and Trademark Office, or USPTO, in granting a patent, or may 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expect to seek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In-Licensed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Development and Commercialization Agreement with Bayer</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March 2007, we entered into the Bayer license agreement pursuant to which we obtained a worldwide, exclusive license to develop and commercialize entinostat and any other products containing the same active ingredient. The Bayer license agreement, as amended, permits us to use entinostat or other licensed products for the treatment of any human disease, and we are obligated to use commercially reasonable efforts to develop, manufacture and commercialize licensed products for all commercially reasonable indications. Initially, Bayer manufactured and supplied our requirements of entinostat, but effective May 2012, manufacturing rights and responsibility for entinostat was transferred to us, by mutual agreement of the parties.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execution of the Bayer license agreement, we were obligated to pay Bayer an upfront license fee of $2 million. We are also obligated to pay up to approximately $50 million in the aggregate upon obtaining certain milestones in the development and marketing approval of entinostat, assuming that we pursue at least two different indications for entinostat or any other licensed product. In June 2014, we achieved a research and development milestone, and in accordance with the terms of the Bayer license agreement, we paid $2 million to Bayer.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We are also obligated to pay Bayer $100 million in aggregate sales milestones, and a tiered single-digit royalty on net sales by us, our affiliates and sublicensees of entinostat and any other licensed products under the Bayer license agreement. We are obligated to pay Bayer these royalties on a country-by-country basis for the life of the relevant licensed patents covering such product or 15 years after the first commercial sale of such product in such country, whichever is longer. We cannot determine the date on which our royalty payment obligations to Bayer would expire because no commercial sales of entinostat have occurred and the last-to-expire relevant patent covering entinostat in a given country may change in the future.</w:t>
      </w:r>
    </w:p>
    <w:p>
      <w:pPr>
        <w:spacing w:after="0" w:line="1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Bayer license agreement will remain in effect until the expiration of our royalty obligations under the agreement in all countries. Upon expiration of the agreement our licenses become fully paid-up and irrevocable. Either party may terminate the Bayer license agreement in its entirety or with respect to certain countries in the event of an uncured material breach by the other party. Either party may terminate the Bayer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Bayer may terminate the Bayer license agreement if we seek to revoke or challenge the validity of any patent licensed to us by Bayer under the Bayer license agreement or if we procure or assist a third party to take any such action.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w:t>
      </w:r>
    </w:p>
    <w:p>
      <w:pPr>
        <w:spacing w:after="0" w:line="14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Government Regulation</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or delay regulatory approval of any product candidates, product or manufacturing changes, additional disease indications, or label changes. We cannot predict the likelihood, nature or extent of government regulation that might arise from future legislative or administrative action.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Failure to comply with the applicable United States regulatory requirements at any time during the product development process, approval process or after approval may subject an applicant to administrative or judicial enforcement actions. These actions could include the suspension or termination of clinical trials by the FDA, the FDA’s refusal to approve pending applications or supplemental applications, withdrawal of an approval, warning or untitled letters, product recalls, product seizures, total or partial suspension of production or distribution, import detention, injunctions, fines, civil penalties or criminal prosecution. Any such administrative or judicial action could have a material adverse effect on us.</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this discussion focuses on regulation in the United States, we anticipate seeking approval for and marketing of our product candidates in other countries. Generally, our product candidates will be subject to regulation in other countries that is similar in nature and scope as those imposed in the United States, although there can be important differences. In Europe, for example, some significant aspects of regulation are addressed in a centralized way through the European Medicines Agency, but country-specific regulation remains essential in many respects.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Drug Development Process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process required by the FDA before drugs may be marketed in the United States generally involves the following:</w:t>
      </w:r>
    </w:p>
    <w:p>
      <w:pPr>
        <w:spacing w:after="0" w:line="212" w:lineRule="exact"/>
        <w:rPr>
          <w:sz w:val="20"/>
          <w:szCs w:val="20"/>
          <w:color w:val="auto"/>
        </w:rPr>
      </w:pPr>
    </w:p>
    <w:p>
      <w:pPr>
        <w:ind w:left="1000" w:right="580" w:hanging="317"/>
        <w:spacing w:after="0" w:line="268" w:lineRule="auto"/>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in accordance with applicable regulations, including the FDA’s good laboratory practice, or GLP regulations;</w:t>
      </w:r>
    </w:p>
    <w:p>
      <w:pPr>
        <w:spacing w:after="0" w:line="50" w:lineRule="exact"/>
        <w:rPr>
          <w:rFonts w:ascii="Arial" w:cs="Arial" w:eastAsia="Arial" w:hAnsi="Arial"/>
          <w:sz w:val="18"/>
          <w:szCs w:val="18"/>
          <w:color w:val="auto"/>
        </w:rPr>
      </w:pPr>
    </w:p>
    <w:p>
      <w:pPr>
        <w:ind w:left="1000" w:hanging="31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submission of an IND application which must become effective before clinical trials may begin;</w:t>
      </w:r>
    </w:p>
    <w:p>
      <w:pPr>
        <w:spacing w:after="0" w:line="90" w:lineRule="exact"/>
        <w:rPr>
          <w:rFonts w:ascii="Arial" w:cs="Arial" w:eastAsia="Arial" w:hAnsi="Arial"/>
          <w:sz w:val="18"/>
          <w:szCs w:val="18"/>
          <w:color w:val="auto"/>
        </w:rPr>
      </w:pPr>
    </w:p>
    <w:p>
      <w:pPr>
        <w:ind w:left="1000" w:right="340" w:hanging="317"/>
        <w:spacing w:after="0" w:line="332" w:lineRule="auto"/>
        <w:tabs>
          <w:tab w:leader="none" w:pos="10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in accordance with applicable regulations, including the FDA’s current good clinical practice, or GCP, regulations to establish the safety and efficacy of the proposed drug for its intended use or uses;</w:t>
      </w:r>
    </w:p>
    <w:p>
      <w:pPr>
        <w:spacing w:after="0" w:line="4" w:lineRule="exact"/>
        <w:rPr>
          <w:rFonts w:ascii="Arial" w:cs="Arial" w:eastAsia="Arial" w:hAnsi="Arial"/>
          <w:sz w:val="16"/>
          <w:szCs w:val="16"/>
          <w:color w:val="auto"/>
        </w:rPr>
      </w:pPr>
    </w:p>
    <w:p>
      <w:pPr>
        <w:ind w:left="1000" w:hanging="31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submission to the FDA of an NDA for a new drug product;</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accept the NDA for filing and review;</w:t>
      </w:r>
    </w:p>
    <w:p>
      <w:pPr>
        <w:spacing w:after="0" w:line="90" w:lineRule="exact"/>
        <w:rPr>
          <w:rFonts w:ascii="Arial" w:cs="Arial" w:eastAsia="Arial" w:hAnsi="Arial"/>
          <w:sz w:val="18"/>
          <w:szCs w:val="18"/>
          <w:color w:val="auto"/>
        </w:rPr>
      </w:pPr>
    </w:p>
    <w:p>
      <w:pPr>
        <w:ind w:left="1000" w:right="40" w:hanging="317"/>
        <w:spacing w:after="0" w:line="357" w:lineRule="auto"/>
        <w:tabs>
          <w:tab w:leader="none" w:pos="10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satisfactory completion of an FDA inspection of the manufacturing facility or facilities where the drug is produced to assess compliance with the FDA’s cGMP regulations to assure that the facilities, methods and controls are adequate to preserve the drug’s identity, strength, quality and purity;</w:t>
      </w:r>
    </w:p>
    <w:p>
      <w:pPr>
        <w:ind w:left="1000" w:hanging="31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potential FDA audit of the preclinical and/or clinical trial sites that generated the data in support of the NDA;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FDA review and approval of the NDA prior to any commercial marketing or sale of the drug in the United States.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Testing</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Before testing any compounds with potential therapeutic value in humans, the drug candidate enters the preclinical testing stage. Preclinical tests include laboratory evaluations of product chemistry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and formulation, as well as animal studies to assess the potential safety, toxicity profile and activity of the drug candidate. The conduct of the preclinical tests must comply with federal regulations and requirements including GLPs.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 Application</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Human clinical trials are typically conducted in three sequential phases that may overlap:</w:t>
      </w:r>
    </w:p>
    <w:p>
      <w:pPr>
        <w:spacing w:after="0" w:line="212" w:lineRule="exact"/>
        <w:rPr>
          <w:sz w:val="20"/>
          <w:szCs w:val="20"/>
          <w:color w:val="auto"/>
        </w:rPr>
      </w:pPr>
    </w:p>
    <w:p>
      <w:pPr>
        <w:ind w:left="1000" w:right="660" w:hanging="317"/>
        <w:spacing w:after="0" w:line="357" w:lineRule="auto"/>
        <w:tabs>
          <w:tab w:leader="none" w:pos="10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Phase 1—The drug is initially given to healthy human subjects or patients and tested for safety, dosage tolerance, absorption, metabolism, distribution and excretion, the side effects associated with increasing doses, and if possible, to gain early evidence on effectiveness.</w:t>
      </w:r>
    </w:p>
    <w:p>
      <w:pPr>
        <w:ind w:left="1000" w:right="280" w:hanging="317"/>
        <w:spacing w:after="0" w:line="357" w:lineRule="auto"/>
        <w:tabs>
          <w:tab w:leader="none" w:pos="1000" w:val="left"/>
        </w:tabs>
        <w:numPr>
          <w:ilvl w:val="0"/>
          <w:numId w:val="63"/>
        </w:numPr>
        <w:rPr>
          <w:rFonts w:ascii="Arial" w:cs="Arial" w:eastAsia="Arial" w:hAnsi="Arial"/>
          <w:sz w:val="15"/>
          <w:szCs w:val="15"/>
          <w:color w:val="auto"/>
        </w:rPr>
      </w:pPr>
      <w:r>
        <w:rPr>
          <w:rFonts w:ascii="Arial" w:cs="Arial" w:eastAsia="Arial" w:hAnsi="Arial"/>
          <w:sz w:val="15"/>
          <w:szCs w:val="15"/>
          <w:color w:val="auto"/>
        </w:rPr>
        <w:t>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w:t>
      </w:r>
    </w:p>
    <w:p>
      <w:pPr>
        <w:ind w:left="1000" w:right="60" w:hanging="317"/>
        <w:spacing w:after="0" w:line="259"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FDCA permits the FDA and an IND sponsor to agree in writing on the design and size of clinical studies intended to form the primary basis of a claim of effectiveness in an NDA. This process is known as a Special Protocol Assessment, or SPA. An SPA agreement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 sponsor when requesting an SPA agreement change, are found to be false statements or misstatements, or are found to omit relevant facts. An SPA agreement may not be changed by the sponsor or the FDA after the trial begins except with the written agreement of the sponsor and the FDA, or if the FDA determines that a substantial scientific issue essential to determining the safety or effectiveness of the drug was identified after the testing began.</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Phase 1, Phase 2 and Phase 3 clinical trials may fail to be completed successfully within any specified period, if at all. The FDA, the IRB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Additionally, some clinical trials are overseen by an independent group of qualified experts organized by the clinical trial sponsor, known as a data monitoring board or committee. This group provides authorization for whether or not a trial may move forward at designated checkpoints based on access to certain data from the study. A sponsor may also suspend or terminate a clinical trial based on evolving business objectives and/or competitive climate.</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drug product. Additionally, appropriate packaging must be selected and tested and stability studies must be conducted to demonstrate that the drug candidate does not undergo unacceptable deterioration over its shelf life.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Review and Approval Processes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If it is not, the FDA may refuse to file the NDA and request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which case the application must be resubmitted with the supplemental information, and review of the application is delayed.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filing of an NDA,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 Whether priority or standard review applies, an additional 60 days is added to the target date for FDA action for new molecular entities.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sites to assure compliance with GCP.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the NDA must submit a proposed REMS, and the FDA will not approve the NDA without an approved REMS, if required. Depending on the FDA’s evaluation of a</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drug’s risks, a REMS may include medication guides, physician communication plans, or elements to assure safe use, such as restricted distribution requirements, patient registries and other risk minimization tools. Following approval of an NDA with a REMS, the sponsor is responsible for marketing the drug in compliance with the REMS and must submit periodic REMS assessments to the FDA.</w:t>
      </w:r>
    </w:p>
    <w:p>
      <w:pPr>
        <w:spacing w:after="0" w:line="14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Further, even after regulatory approval is obtained, later discovery of previously unknown problems with a product may result in restrictions on the product or even complete withdrawal of the product from the market. In addition, we cannot predict what adverse governmental regulations may arise from future U.S. or foreign governmental 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Expedited Review Programs</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For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Drug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product receiving accelerated approval perform adequate and well-controlled post-marketing clinical studies. In addition, the FDA requires as a condition for accelerated approval pre-approval of promotional materials, which could adversely impact the timing of the commercial launch of the product.</w:t>
      </w:r>
    </w:p>
    <w:p>
      <w:pPr>
        <w:spacing w:after="0" w:line="11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FDA may also expedite the review of a drug designated as a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The designation of a drug as a breakthrough therapy provides the same benefits as are available under the Fast Track program, as well as intensive FDA guidance on the product’s development program. If the FDA designates a drug as a breakthrough therapy, it must take actions appropriate to expedite the development and review of the application,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review process.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Hatch-Waxman Act</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Under the Drug Price Competition and Patent Term Restoration Act of 1984, known as the “Hatch-Waxman Act,” Congress created an abbreviated FDA review process for generic versions of approved pioneer (brand name) NDA products. In considering whether to approve such a generic drug product submitted under an Abbreviated New Drug Application, or ANDA, the FDA generally requires that an ANDA applicant demonstrate that the proposed generic drug product’s active ingredient, strength, dosage form, and route of administration are the same as that of the reference product, that the two drugs are bioequivalent, that any impurities in the proposed product do not affect the product’s safety or effectiveness, and that its manufacturing processes and methods ensure the consistent potency and purity of its proposed product. Similarly, section 505(b)(2) of the Federal Food, Drug, and Cosmetic Act provides a reduced burden of demonstrating safety and effectiveness for an NDA for a product that is similar, but not identical, to the pioneer product.</w:t>
      </w:r>
    </w:p>
    <w:p>
      <w:pPr>
        <w:spacing w:after="0" w:line="11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Hatch Waxman Act requires NDA applicants and NDA holders to provide certain information about patents related to the drug for listing in its publication Approved Drug Products with Therapeutic Equivalence Evaluations, referred to as the Orange Book. ANDA and 505(b)(2) applicants who seek to reference a pioneer drug must then certify regarding each of the patents listed with the FDA for the reference product. A certification that a listed patent is invalid or will not be infringed by the marketing of the applicant’s product is called a “Paragraph IV certification.”</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Hatch Waxman Act also provides periods of regulatory exclusivity for certain pioneer products during which FDA review or approval of an ANDA or 505(b)(2) application is precluded. If the pioneer product is a New Chemical Entity, or NCE, the FDA is precluded for a period of five years from accepting for review an ANDA or 505(b)(2) application for the same chemical entity. Under NCE exclusivity, the FDA may accept an ANDA or 505(b)(2) application for review after four years, however, if that application contains a Paragraph IV certification challenging one of the pioneer’s listed patents.</w:t>
      </w:r>
    </w:p>
    <w:p>
      <w:pPr>
        <w:spacing w:after="0" w:line="113" w:lineRule="exact"/>
        <w:rPr>
          <w:sz w:val="20"/>
          <w:szCs w:val="20"/>
          <w:color w:val="auto"/>
        </w:rPr>
      </w:pPr>
    </w:p>
    <w:p>
      <w:pPr>
        <w:ind w:right="820" w:firstLine="456"/>
        <w:spacing w:after="0" w:line="332" w:lineRule="auto"/>
        <w:rPr>
          <w:sz w:val="20"/>
          <w:szCs w:val="20"/>
          <w:color w:val="auto"/>
        </w:rPr>
      </w:pPr>
      <w:r>
        <w:rPr>
          <w:rFonts w:ascii="Arial" w:cs="Arial" w:eastAsia="Arial" w:hAnsi="Arial"/>
          <w:sz w:val="16"/>
          <w:szCs w:val="16"/>
          <w:color w:val="auto"/>
        </w:rPr>
        <w:t>The Hatch Waxman Act also provides three years of exclusivity for applications containing the results of new clinical investigations (other than bioavailability studies) essential to the FDA’s approval of new uses of approved products, such as new indications, dosage forms, strengths,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conditions of use. During this three-year exclusivity period, the FDA may review but not approve an ANDA or 505(b)(2) application for a product with the same conditions of use as supported by those new clinical investigations. This exclusivity will not necessarily prohibit the FDA from accepting or approving ANDAs or 505(b)(2) applications for other products containing the same active ingredient.</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an ANDA or 505(b)(2) application containing a Paragraph IV certification is accepted for filing by the FDA, the applicant must within 20 days provide notice to the NDA holder and patent owner that the application has been submitted and provide the factual and legal basis for the applicant’s opinion that the patent is invalid or not infringed. The NDA holder or patent owner may then file suit against the ANDA or 505(b)(2) applicant for patent infringement. If a suit is filed within 45 days of receiving notice of the Paragraph IV certification, the FDA is precluded from approving the ANDA or 505(b)(2) application for a period of 30 months. The 30-month stay generally begins on the date of the receipt of notice by the NDA holder or patent owner. If the pioneer product has NCE exclusivity and the pioneer files suit against the ANDA or 505(b)(2) application during the fifth year of exclusivity, however, the 30-month stay will not be triggered until five years from the date of the reference drug’s approval.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If and when approved, any products manufactured or distributed by us or on our behalf will be subject to continuing regulation by the FDA, including requirements for record-keeping, reporting of adverse experiences and submitting annual reports.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 Manufacturing Practices</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shut down manufacturing operations or withdraw approval of the NDA for that drug, or we may recall the drug from distribution. Noncompliance with cGMP or other requirements can result in issuance of warning letters, civil and criminal penalties, seizures and injunctive action.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and Promotion</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FDA closely regulates the labeling, marketing and promotion of drugs. While doctors are free to prescribe any drug approved by the FDA for any use, a company can only make claims relating to safety and efficacy of a drug that are consistent with FDA approval, and the company is allowed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both domestic and foreign markets, sales of any products for which we may receive regulatory approval will depend in part upon the availability of coverage and adequate reimbursement to healthcare providers from third-party payors. Such third-party payors include government health programs, such as Medicare and Medicaid, as well as managed care providers,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any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United States, the European Union and other potentially significant markets for our product candidates, government authorities and third party payors are increasingly attempting to limit or regulate the price of medical products and services, particularly for new and innovative products and therapies.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w:t>
      </w:r>
    </w:p>
    <w:p>
      <w:pPr>
        <w:spacing w:after="0" w:line="120"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market for any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323" w:lineRule="auto"/>
        <w:rPr>
          <w:sz w:val="20"/>
          <w:szCs w:val="20"/>
          <w:color w:val="auto"/>
        </w:rPr>
      </w:pPr>
      <w:r>
        <w:rPr>
          <w:rFonts w:ascii="Arial" w:cs="Arial" w:eastAsia="Arial" w:hAnsi="Arial"/>
          <w:sz w:val="15"/>
          <w:szCs w:val="15"/>
          <w:color w:val="auto"/>
        </w:rPr>
        <w:t>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our product candidates will be considered cost-effective. This process could delay the market acceptance of any product candidates for which we may receive approval and could have a negative effect on our future revenues and operating results.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Fraud and Abuse and Data Privacy and Security Laws and Regulations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federal Anti-Kickback Statute prohibits persons and entities from, among other things, knowingly and willfully offering, paying, soliciting or receiving remuneration to induce or in return for purchasing, leasing, ordering or arranging for or recommending the purchase, lease or order of any item or service reimbursable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some common activities from prosecution, the exemptions and safe harbors are drawn narrowly. Practices that involve remuneration that may be alleged to be intended to induce prescribing, purchases or recommendations may be subject to scrutiny if they do not qualify for an exemption or safe harbor. Several courts have interpreted the statute’s intent requirement to mean that if any one purpose of an arrangement involving remuneration is to induce referrals of federal healthcare covered business, the statute has been violated.</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reach of the Anti-Kickback Statute was also broadened by the Patient Protection and Affordable Care Act, as amended by the Health Care and Education Reconciliation Act of 2010, or collectively the Affordable Care Act, which, among other things, amended the intent requirement of the federal Anti-Kickback Statute such that a person or entity no longer needs to have actual knowledge of this statute or specific intent to violate it in order to have committed a violation. In addition, the Affordable Care Act provides that the government may assert that a claim including items or services resulting from a violation of the federal Anti-Kickback Statute constitutes a false or fraudulent claim for purposes of the civil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federal False Claims Act prohibits any person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federal Health Insurance Portability and Accountability Act of</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40"/>
          </w:cols>
          <w:pgMar w:left="240" w:top="459" w:right="3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1996, as amended by the Health Information Technology for Economic and Clinical Health Act, and their respective implementing regulations, or HIPAA, created federal criminal laws that prohibit knowingly and willfully executing a scheme to defraud any healthcare benefit program, including private third 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1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Many states have similar fraud and abuse statutes or regulations, including, without limitation, laws analogous to the federal Anti-Kickback Statute and the federal False Claims Act, that apply to items and services reimbursed under Medicaid and other state programs, or, in several states, apply regardless of the payor. Some of these state laws apply to a broader range of conduct and may not have the same exceptions as analogous federal laws. Accordingly, our business will be subject to these provisions as well in the states in which we do business.</w:t>
      </w:r>
    </w:p>
    <w:p>
      <w:pPr>
        <w:spacing w:after="0" w:line="113" w:lineRule="exact"/>
        <w:rPr>
          <w:sz w:val="20"/>
          <w:szCs w:val="20"/>
          <w:color w:val="auto"/>
        </w:rPr>
      </w:pPr>
    </w:p>
    <w:p>
      <w:pPr>
        <w:jc w:val="both"/>
        <w:ind w:right="180" w:firstLine="456"/>
        <w:spacing w:after="0" w:line="294" w:lineRule="auto"/>
        <w:rPr>
          <w:sz w:val="20"/>
          <w:szCs w:val="20"/>
          <w:color w:val="auto"/>
        </w:rPr>
      </w:pPr>
      <w:r>
        <w:rPr>
          <w:rFonts w:ascii="Arial" w:cs="Arial" w:eastAsia="Arial" w:hAnsi="Arial"/>
          <w:sz w:val="16"/>
          <w:szCs w:val="16"/>
          <w:color w:val="auto"/>
        </w:rPr>
        <w:t>The federal Physician Payments Sunshine Act, enacted as part of the Affordable Care Act requires applicable manufacturers of drugs, devices, biologics and medical supplies for which payment is available under Medicare, Medicaid, or the Children’s Health Insurance Program, with specific exceptions, to track and annually report to CMS payments and other transfers of value provided to physicians and teaching hospitals and certain ownership and investment interests held by physicians or their immediate family members. If our operations are found to be in violation of any of such laws we may be subject to penalties, which could adversely affect our ability to operate our business and our financial results.</w:t>
      </w:r>
    </w:p>
    <w:p>
      <w:pPr>
        <w:spacing w:after="0" w:line="116"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5"/>
          <w:szCs w:val="15"/>
          <w:color w:val="auto"/>
        </w:rPr>
        <w:t>In addition, we may be subject to data privacy and data security regulation by both the federal government and the states in which we conduct our business. HIPAA imposes specified requirements relating to the privacy, security and transmission of certain individually identifiable health information. HIPAA applies to certain covered entity health care providers, health plans and health care clearinghouses as well as their business associates, which are entities that create, receive, maintain or transmit protected health information in connection with providing a service to or performing an activity for or on behalf of a covered entity.</w:t>
      </w:r>
    </w:p>
    <w:p>
      <w:pPr>
        <w:spacing w:after="0" w:line="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Violations of HIPAA may result in civil and/or criminal penalties and state attorneys general have authority to file civil actions for damages or injunctions in federal courts to enforce HIPAA and seek attorney’s fees and costs associated with pursuing federal civil actions. Even if we are not directly subject to HIPAA, we could be subject to criminal penalties if we knowingly obtain or disclose individually identifiable health information maintained by a HIPAA covered entity in a manner not authorized or permitted by HIPAA. In addition, state laws govern the privacy and security of health information in certain circumstances, many of which differ from each other in significant ways and often are not preempted by HIPAA, thus complicating compliance efforts. We may also be subject to federal and state laws that govern the privacy and security of other personal information, including federal and state consumer protection laws, state data security laws, and data breach notification laws. A data breach affecting sensitive personal information, including health information, could result in significant legal and financial exposure and reputational damages.</w:t>
      </w:r>
    </w:p>
    <w:p>
      <w:pPr>
        <w:spacing w:after="0" w:line="12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that apply to us, we may be subject to significant civil, criminal, and administrative penalties, including, without limitation, damages, fines, imprisonment, exclusion from participation in government healthcare programs, and the curtailment or restructuring of our operations, any of which could adversely affect our ability to operate our business and our results of operations. 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EU Directive 95/46/EC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71" w:lineRule="exact"/>
        <w:rPr>
          <w:sz w:val="20"/>
          <w:szCs w:val="20"/>
          <w:color w:val="auto"/>
        </w:rPr>
      </w:pPr>
    </w:p>
    <w:p>
      <w:pPr>
        <w:ind w:right="240" w:firstLine="456"/>
        <w:spacing w:after="0" w:line="288"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In March 2010, the President signed into law the Affordable Care Act, which substantially changes the way healthcare will be financed by both governmental and private insurers, and significantly impacts the pharmaceutical industry. Among the provisions of the Affordable Care Act of importance to our business, including, without limitation, our ability to commercialize, and the prices we may obtain for, any of our product candidates that are approved for sale, are the following:</w:t>
      </w:r>
    </w:p>
    <w:p>
      <w:pPr>
        <w:spacing w:after="0" w:line="160" w:lineRule="exact"/>
        <w:rPr>
          <w:sz w:val="20"/>
          <w:szCs w:val="20"/>
          <w:color w:val="auto"/>
        </w:rPr>
      </w:pPr>
    </w:p>
    <w:p>
      <w:pPr>
        <w:ind w:left="1000" w:right="180" w:hanging="317"/>
        <w:spacing w:after="0" w:line="357" w:lineRule="auto"/>
        <w:tabs>
          <w:tab w:leader="none" w:pos="10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 annual, nondeductible fee on any entity that manufactures or imports branded prescription drugs and biologic agents, apportioned among these entities according to their sales of branded prescription drugs under certain government healthcare programs, such as Medicare and Medicaid;</w:t>
      </w:r>
    </w:p>
    <w:p>
      <w:pPr>
        <w:ind w:left="1000" w:right="580" w:hanging="317"/>
        <w:spacing w:after="0" w:line="357" w:lineRule="auto"/>
        <w:tabs>
          <w:tab w:leader="none" w:pos="10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increases in the statutory minimum rebates a manufacturer must pay as a condition to having covered drugs available for payment under the Medicare Part B and Medicaid programs to 23.1% and 13% of the average manufacturer price for branded and generic drugs, respectively;</w:t>
      </w:r>
    </w:p>
    <w:p>
      <w:pPr>
        <w:ind w:left="1000" w:right="320" w:hanging="317"/>
        <w:spacing w:after="0" w:line="26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federal False Claims Act and the federal Anti-Kickback Statute, and the addition of new government investigative powers and enhanced penalties for non-compliance;</w:t>
      </w:r>
    </w:p>
    <w:p>
      <w:pPr>
        <w:spacing w:after="0" w:line="50" w:lineRule="exact"/>
        <w:rPr>
          <w:rFonts w:ascii="Arial" w:cs="Arial" w:eastAsia="Arial" w:hAnsi="Arial"/>
          <w:sz w:val="18"/>
          <w:szCs w:val="18"/>
          <w:color w:val="auto"/>
        </w:rPr>
      </w:pPr>
    </w:p>
    <w:p>
      <w:pPr>
        <w:ind w:left="1000" w:right="480" w:hanging="317"/>
        <w:spacing w:after="0" w:line="26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50" w:lineRule="exact"/>
        <w:rPr>
          <w:rFonts w:ascii="Arial" w:cs="Arial" w:eastAsia="Arial" w:hAnsi="Arial"/>
          <w:sz w:val="18"/>
          <w:szCs w:val="18"/>
          <w:color w:val="auto"/>
        </w:rPr>
      </w:pPr>
    </w:p>
    <w:p>
      <w:pPr>
        <w:ind w:left="1000" w:right="160" w:hanging="317"/>
        <w:spacing w:after="0" w:line="259"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a participating manufacturer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59" w:lineRule="exact"/>
        <w:rPr>
          <w:rFonts w:ascii="Arial" w:cs="Arial" w:eastAsia="Arial" w:hAnsi="Arial"/>
          <w:sz w:val="18"/>
          <w:szCs w:val="18"/>
          <w:color w:val="auto"/>
        </w:rPr>
      </w:pPr>
    </w:p>
    <w:p>
      <w:pPr>
        <w:ind w:left="1000" w:right="100" w:hanging="317"/>
        <w:spacing w:after="0" w:line="268"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eligibility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categories for certain individuals with income at or below 133% of the federal poverty level beginning in 2014;</w:t>
      </w:r>
    </w:p>
    <w:p>
      <w:pPr>
        <w:spacing w:after="0" w:line="90" w:lineRule="exact"/>
        <w:rPr>
          <w:sz w:val="20"/>
          <w:szCs w:val="20"/>
          <w:color w:val="auto"/>
        </w:rPr>
      </w:pPr>
    </w:p>
    <w:p>
      <w:pPr>
        <w:ind w:left="1000" w:right="240" w:hanging="317"/>
        <w:spacing w:after="0" w:line="26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 known as the 340B drug pricing program;</w:t>
      </w:r>
    </w:p>
    <w:p>
      <w:pPr>
        <w:spacing w:after="0" w:line="50" w:lineRule="exact"/>
        <w:rPr>
          <w:rFonts w:ascii="Arial" w:cs="Arial" w:eastAsia="Arial" w:hAnsi="Arial"/>
          <w:sz w:val="18"/>
          <w:szCs w:val="18"/>
          <w:color w:val="auto"/>
        </w:rPr>
      </w:pPr>
    </w:p>
    <w:p>
      <w:pPr>
        <w:ind w:left="1000" w:right="60" w:hanging="317"/>
        <w:spacing w:after="0" w:line="287"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new requirements under the federal Open Payments program created as part of the Physician Payments Sunshine Act under Section 6002 of the Affordable Care Act and its implementing regulations, which requires manufacturers of drugs, devices, biologics and medical supplies for which payment is available under Medicare, Medicaid or the Children’s Health Insurance Program (with certain exceptions) to report annually to the U.S. Department of Health and Human Services information related to “payments or other transfers of value” made to physicians (defined to include doctors, dentists, optometrists, podiatrists and chiropractors) and teaching hospitals. Applicable manufacturers and applicable group purchasing organizations must also report annually to the U.S. Department of Health and Human Services ownership and investment interests held by physicians (as defined above) and their immediate family members. Data collection for these reporting requirements began on August 1, 2013, and manufacturers were required to submit reports to the U.S. Department of Health and Human Services by March 31, 2014. Beginning in 2015, manufacturers are required to submit data reports by the 90th day of each calendar year. The U.S. Department of Health and Human Services discloses the information on a public website;</w:t>
      </w:r>
    </w:p>
    <w:p>
      <w:pPr>
        <w:spacing w:after="0" w:line="41" w:lineRule="exact"/>
        <w:rPr>
          <w:rFonts w:ascii="Arial" w:cs="Arial" w:eastAsia="Arial" w:hAnsi="Arial"/>
          <w:sz w:val="16"/>
          <w:szCs w:val="16"/>
          <w:color w:val="auto"/>
        </w:rPr>
      </w:pPr>
    </w:p>
    <w:p>
      <w:pPr>
        <w:ind w:left="1000" w:hanging="317"/>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90" w:lineRule="exact"/>
        <w:rPr>
          <w:rFonts w:ascii="Arial" w:cs="Arial" w:eastAsia="Arial" w:hAnsi="Arial"/>
          <w:sz w:val="18"/>
          <w:szCs w:val="18"/>
          <w:color w:val="auto"/>
        </w:rPr>
      </w:pPr>
    </w:p>
    <w:p>
      <w:pPr>
        <w:ind w:left="1000" w:right="400" w:hanging="317"/>
        <w:spacing w:after="0" w:line="268"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Some of the reforms under the Affordable Care Act are slated for implementation in 2015. The effects of such reforms will be shaped significantly by implementing regulations that have yet to be finalized. In 2012, the Centers for Medicare and Medicaid Services, or CMS, issued proposed regulations to implement the changes to the Medicaid Drug Rebate Program under the ACA but has not yet issued final regulations. CMS is currently expected to release the final regulations later in 2015.</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Affordable Care Act also establishes an Independent Payment Advisory Board, or IPAB, to reduce the per capita rate of growth in Medicare spending. IPAB is mandated to propose recommendations to reduce the rate of Medicare spending growth if it is determined that the rate of growth of Medicare expenditures exceeds target growth rates. The IPAB has broad discretion to propose policies to reduce expenditures, which may have a negative impact on payment rates for medical products and services. A proposal made by the IPAB is required to be implemented by the U.S. government’s Centers for Medicare and Medicaid Services unless Congress adopts a proposal intended to supersede the IPAB’s recommendations or to discontinue the automatic implementation of the IPAB’s proposals. IPAB proposals could impact payments for physician and free-standing services, among other things, beginning in 2015 and for hospital services beginning in 2020. However, as of early August 2015, the IPAB members have yet to be selected.</w:t>
      </w:r>
    </w:p>
    <w:p>
      <w:pPr>
        <w:spacing w:after="0" w:line="118"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In addition, other legislative changes have been proposed and adopted since the Affordable Care Act was enacted. These changes include aggregate reductions to Medicare payments to providers of up to 2% per fiscal year, on average, through 2024, which went into effect in April 2013. In January 2013,</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President Obama signed into law the American Taxpayer Relief Act of 2012, which, among other things, reduced Medicare payments to several types of providers and increased the statute of limitations period for the government to recover overpayments to providers from three to five years. The full impact on our business of the Affordable Care Act and other new laws is uncertain but may result in additional reductions in Medicare and other healthcare funding. Nor is it clear whether other legislative changes will be adopted, if any, or how such changes would affect the demand for our drugs once commercialized.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Outside of the United States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For example, based on scientific advice from the European Medicines Agency, or the EMA, we believe our current clinical development plan is likely to be insufficient to receive regulatory approval in Europe. During the next year, we plan to work with the EMA to formulate a development plan that may be more acceptable, but may be unsuccessful in doing so or such plan may not be feasible.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August 24, 2015, we had 15 full-time employees and one part-time employee. Of the full-time employees, eight were primarily engaged in research and development activities and four have an M.D. or Ph.D. degree. None of our employees is represented by labor unions or covered by collective bargaining agreements. We consider our relationship with our employees to be good.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headquarters is currently located in Waltham, Massachusetts, and consists of 4,712 square feet of leased office space under a lease that expires on April 30,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 age and position of each of our directors and executive officers as of August 24,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4080" w:type="dxa"/>
            <w:vAlign w:val="bottom"/>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Age</w:t>
            </w: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Position</w:t>
            </w:r>
          </w:p>
        </w:tc>
        <w:tc>
          <w:tcPr>
            <w:tcW w:w="2920" w:type="dxa"/>
            <w:vAlign w:val="bottom"/>
          </w:tcPr>
          <w:p>
            <w:pPr>
              <w:spacing w:after="0"/>
              <w:rPr>
                <w:sz w:val="19"/>
                <w:szCs w:val="19"/>
                <w:color w:val="auto"/>
              </w:rPr>
            </w:pPr>
          </w:p>
        </w:tc>
      </w:tr>
      <w:tr>
        <w:trPr>
          <w:trHeight w:val="202"/>
        </w:trPr>
        <w:tc>
          <w:tcPr>
            <w:tcW w:w="454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Directors</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Dennis G. Podlesak</w:t>
            </w:r>
            <w:r>
              <w:rPr>
                <w:rFonts w:ascii="Arial" w:cs="Arial" w:eastAsia="Arial" w:hAnsi="Arial"/>
                <w:sz w:val="11"/>
                <w:szCs w:val="11"/>
                <w:color w:val="auto"/>
              </w:rPr>
              <w:t>(2)</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Henry Chen</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Fabrice Egros, Ph.D.</w:t>
            </w:r>
            <w:r>
              <w:rPr>
                <w:rFonts w:ascii="Arial" w:cs="Arial" w:eastAsia="Arial" w:hAnsi="Arial"/>
                <w:sz w:val="11"/>
                <w:szCs w:val="11"/>
                <w:color w:val="auto"/>
              </w:rPr>
              <w:t>(1)</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52</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Luke Evnin, Ph.D.</w:t>
            </w:r>
            <w:r>
              <w:rPr>
                <w:rFonts w:ascii="Arial" w:cs="Arial" w:eastAsia="Arial" w:hAnsi="Arial"/>
                <w:sz w:val="11"/>
                <w:szCs w:val="11"/>
                <w:color w:val="auto"/>
              </w:rPr>
              <w:t>(2)(3)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Kim P. Kamdar, Ph.D.</w:t>
            </w:r>
            <w:r>
              <w:rPr>
                <w:rFonts w:ascii="Arial" w:cs="Arial" w:eastAsia="Arial" w:hAnsi="Arial"/>
                <w:sz w:val="11"/>
                <w:szCs w:val="11"/>
                <w:color w:val="auto"/>
              </w:rPr>
              <w:t>(3)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Ivor Royston, M.D.</w:t>
            </w:r>
            <w:r>
              <w:rPr>
                <w:rFonts w:ascii="Arial" w:cs="Arial" w:eastAsia="Arial" w:hAnsi="Arial"/>
                <w:sz w:val="11"/>
                <w:szCs w:val="11"/>
                <w:color w:val="auto"/>
              </w:rPr>
              <w:t>(3)</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69</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Richard P. Shea</w:t>
            </w:r>
            <w:r>
              <w:rPr>
                <w:rFonts w:ascii="Arial" w:cs="Arial" w:eastAsia="Arial" w:hAnsi="Arial"/>
                <w:sz w:val="11"/>
                <w:szCs w:val="11"/>
                <w:color w:val="auto"/>
              </w:rPr>
              <w:t>(1)</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63</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George W. Sledge Jr., M.D.</w:t>
            </w:r>
            <w:r>
              <w:rPr>
                <w:rFonts w:ascii="Arial" w:cs="Arial" w:eastAsia="Arial" w:hAnsi="Arial"/>
                <w:sz w:val="11"/>
                <w:szCs w:val="11"/>
                <w:color w:val="auto"/>
              </w:rPr>
              <w:t>(1)(2)</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63</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i w:val="1"/>
                <w:iCs w:val="1"/>
                <w:color w:val="auto"/>
              </w:rPr>
              <w:t>Executive Officers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20" w:type="dxa"/>
            <w:vAlign w:val="bottom"/>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Briggs W. Morrison, M.D.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56</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Michael A. Metzger.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Michael L. Meyers, M.D., Ph.D.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65</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w w:val="89"/>
              </w:rPr>
              <w:t>Senior Vice President, Chief Development Officer</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John S. Pallies</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51</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w w:val="92"/>
              </w:rPr>
              <w:t>Chief Financial Officer, Treasurer and Secretary</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Peter Ordentlich, Ph.D.</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3760" w:type="dxa"/>
            <w:vAlign w:val="bottom"/>
            <w:gridSpan w:val="3"/>
          </w:tcPr>
          <w:p>
            <w:pPr>
              <w:ind w:left="220"/>
              <w:spacing w:after="0"/>
              <w:rPr>
                <w:sz w:val="20"/>
                <w:szCs w:val="20"/>
                <w:color w:val="auto"/>
              </w:rPr>
            </w:pPr>
            <w:r>
              <w:rPr>
                <w:rFonts w:ascii="Arial" w:cs="Arial" w:eastAsia="Arial" w:hAnsi="Arial"/>
                <w:sz w:val="18"/>
                <w:szCs w:val="18"/>
                <w:color w:val="auto"/>
              </w:rPr>
              <w:t>Chief Technology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includes a brief biography for each of our directors and executive officers. There are no family relationships among any of our directors or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71"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b w:val="1"/>
          <w:bCs w:val="1"/>
          <w:i w:val="1"/>
          <w:iCs w:val="1"/>
          <w:color w:val="auto"/>
        </w:rPr>
        <w:t xml:space="preserve">Dennis G. Podlesak </w:t>
      </w:r>
      <w:r>
        <w:rPr>
          <w:rFonts w:ascii="Arial" w:cs="Arial" w:eastAsia="Arial" w:hAnsi="Arial"/>
          <w:sz w:val="15"/>
          <w:szCs w:val="15"/>
          <w:color w:val="auto"/>
        </w:rPr>
        <w:t>has served as chairman of our board of directors since December 2008. Since November 2007, Mr. Podlesak has served as a partner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Domain Associates, LLC, a life science-focused venture capital firm. While at Domain, Mr. Podlesak has been the founder and the Chief Executive Officer of a number of companies, including Calixa Therapeutics, Inc., a privately held biopharmaceutical company which was acquired by Cubist Pharmaceuticals, Inc. in December 2009. Mr. Podlesak was also the Executive Chairman of Corthera, Inc., a privately held biopharmaceutical company, which was acquired by Novartis AG in January 2010. Prior to joining Domain, from 2005 to 2007, Mr. Podlesak served as the Founder and Chief Executive Officer of Cerexa, Inc., a privately held biotechnology company, which became a wholly owned subsidiary of Forest Laboratories, Inc. after being acquired by Forest in January 2007. From 2004 to 2005, Mr. Podlesak served as the Chief Executive Officer of Peninsula Pharmaceuticals Inc., a privately held pharmaceutical company, and in June 2005, he led the sale of Peninsula to Ortho-McNeil Pharmaceutical, Inc., a subsidiary of Johnson &amp; Johnson. Prior to joining Peninsula, Mr. Podlesak held various senior executive positions at Novartis AG, a publicly traded healthcare company, Allergan plc, a publicly traded healthcare company, and SmithKline Beecham (now GlaxoSmithKline plc, a publicly traded pharmaceutical company). Mr. Podlesak currently serves on the board of Tobira Therapeutics, Inc., a publicly traded</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biotechnology company, as well as on a number of private company boards. Until January 2015, Mr. Podlesak served on the board of Avanir Pharmaceuticals, Inc., a publicly traded biopharmaceutical company. Mr. Podlesak received a B.A. and an M.B.A. from Pepperdine University, and has completed postgraduate studies at the Wharton School, University of Pennsylvania. We believe that Mr. Podlesak’s experience in the venture capital industry, his experience as the Chief Executive Officer and Chairman of other successful companies in the biotechnology industry, his over 20 years of strategic, operational and commercial experience in the pharmaceutical industry, and his service as a director of other publicly traded and privately held life science companies give him the qualifications, skills and financial expertise to serve on our board of directors.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Henry Chen </w:t>
      </w:r>
      <w:r>
        <w:rPr>
          <w:rFonts w:ascii="Arial" w:cs="Arial" w:eastAsia="Arial" w:hAnsi="Arial"/>
          <w:sz w:val="16"/>
          <w:szCs w:val="16"/>
          <w:color w:val="auto"/>
        </w:rPr>
        <w:t>has served as a member of our board of directors since June 2015. Mr. Chen is the Managing Partner of Delos Capital Fund LP, a healthcare-focused venture capital fund. Prior to establishing Delos in 2014, Mr. Chen was a Partner and Co-Head of Asia at Permira Advisers LLP, a European private equity firm. Prior to joining Permira in 2008, Mr. Chen spent nine years in Investment Banking at Goldman Sachs &amp; Co., where he was a Managing Director and co-headed the General Industrials Group, Asia (excluding Japan), which covered the consumer retail, healthcare, industrials and transportation sectors. Prior to that, Mr. Chen was a corporate finance lawyer with Davis Polk &amp; Wardwell LLP in New York and Hong Kong. Mr. Chen received a B.A. and an M.A. from Harvard University and a J.D. from Harvard Law School. Mr. Chen’s experience in the venture capital industry and his experience in the investment banking and legal industries give him the qualifications, skills and financial expertise to serve on our board of directors.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b w:val="1"/>
          <w:bCs w:val="1"/>
          <w:i w:val="1"/>
          <w:iCs w:val="1"/>
          <w:color w:val="auto"/>
        </w:rPr>
        <w:t xml:space="preserve">Fabrice Egros, Ph.D. </w:t>
      </w:r>
      <w:r>
        <w:rPr>
          <w:rFonts w:ascii="Arial" w:cs="Arial" w:eastAsia="Arial" w:hAnsi="Arial"/>
          <w:sz w:val="16"/>
          <w:szCs w:val="16"/>
          <w:color w:val="auto"/>
        </w:rPr>
        <w:t>has served as a member of our board of directors since September 2013. Since November 2012, Dr. Egros has served as the Deputy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Officer/Chief Operating Officer of NovaMedica LLC, a privately held pharmaceutical company, and has been its Chief Operating Officer and a member of its board of directors since July 2012. From February 2011 to July 2012, Dr. Egros served as the Chief Operating Officer of Xanodyne Pharmaceuticals, Inc., a privately held pharmaceutical company. From September 2009 to February 2011, he served as the Senior Vice President, Corporate Business Development and Strategy of UCB, S.A., a publicly traded biopharmaceutical company. From August 2006 to August 2009, Dr. Egros served as the President of UCB, Inc., a subsidiary of UCB, S.A., and from September 2003 to August 2006, he served as the President of UCB Japan Co. Ltd., a subsidiary of UCB, S.A. Prior to joining UCB, Dr. Egros held various management and executive positions at Parke-Davis, Warner Lambert Company, a privately held pharmaceutical company, and Sanofi, formerly known as Sanofi-Aventis, a publicly traded pharmaceutical company. Dr. Egros received a B.S. in Pharmacokinetics and Metabolism from Schiller International University and a Pharm.D. and Ph.D. in Pharmaceutical Sciences from Chatenay Malabry University, and has participated in the Advanced Management Program at Harvard University. We believe that Dr. Egros’s experience as an executive officer of other successful companies in the pharmaceutical industry gives him the qualifications, skills and financial expertise to serve on our board of directors.</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Luke Evnin, Ph.D. </w:t>
      </w:r>
      <w:r>
        <w:rPr>
          <w:rFonts w:ascii="Arial" w:cs="Arial" w:eastAsia="Arial" w:hAnsi="Arial"/>
          <w:sz w:val="16"/>
          <w:szCs w:val="16"/>
          <w:color w:val="auto"/>
        </w:rPr>
        <w:t>has served as a member of our board of directors since May 2012. Dr. Evnin has served as a managing director at MPM Capital,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healthcare-focused venture capital firm, since he co-founded MPM’s asset management business in 1997. Prior to joining MPM, Dr. Evnin spent seven years at Accel Partners, a venture capital firm, including four years as general partner. Dr. Evnin currently serves on a number of private company boards, and has served as director of several public companies, including Enteromedics Inc, Epix Medical, Inc., Intercell AG, Metabasis Therapeutics, Inc. (acquired by Ligand Pharmaceuticals, Inc.), Oscient Pharmaceuticals Corp., Pacira Pharmaceuticals,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40"/>
          </w:cols>
          <w:pgMar w:left="240" w:top="459" w:right="3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Inc., Restore Medical, Inc. (acquired by Medtronic, Inc.), Sonic Innovations, Inc. and Signal Pharmaceuticals, Inc. (acquired by Celgene Corporation). Dr. Evnin received an A.B. in Molecular Biology from Princeton University and a Ph.D. in Biochemistry from the University of California, San Francisco. We believe that Dr. Evnin’s experience in the venture capital industry and his service as a director of other publicly traded and privately held life science companies give him the qualifications, skill and financial expertise to serve on our board of directors.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Kim P. Kamdar, Ph.D. </w:t>
      </w:r>
      <w:r>
        <w:rPr>
          <w:rFonts w:ascii="Arial" w:cs="Arial" w:eastAsia="Arial" w:hAnsi="Arial"/>
          <w:sz w:val="16"/>
          <w:szCs w:val="16"/>
          <w:color w:val="auto"/>
        </w:rPr>
        <w:t>has served as a member of our board of directors since September 2006. Dr. Kamdar joined Domain Associates, LLC, a life science-focused venture capital firm, in January 2005 and has served as a partner at Domain since January 2011. Prior to joining Domain, Dr. Kamdar spent two years as a Kauffman Fellow with MPM Capital, Inc., a healthcare-focused venture capital firm. She also served as a research director at Novartis AG, a publicly traded healthcare company, and founded Aryzun Pharmaceuticals, Inc., a privately held biotechnology company. Dr. Kamdar currently serves as director of Neothetics, Inc, a publicly traded pharmaceutical company, and also serves on a number of private company boards. Dr. Kamdar received a B.A. from Northwestern University and a Ph.D. from Emory University. We believe that Dr. Kamdar’s experience in the venture capital industry, and her service as a director of privately held life science companies give her the qualifications, skills and financial expertise to serve on our board of directors.</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i w:val="1"/>
          <w:iCs w:val="1"/>
          <w:color w:val="auto"/>
        </w:rPr>
        <w:t xml:space="preserve">Ivor Royston, M.D. </w:t>
      </w:r>
      <w:r>
        <w:rPr>
          <w:rFonts w:ascii="Arial" w:cs="Arial" w:eastAsia="Arial" w:hAnsi="Arial"/>
          <w:sz w:val="16"/>
          <w:szCs w:val="16"/>
          <w:color w:val="auto"/>
        </w:rPr>
        <w:t>has served as a member of our board of directors since September 2013. In 1990, Dr. Royston founded Forward Ventures,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science-focused venture capital firm, where he has served as a managing member. Prior to founding Forward Ventures, Dr. Royston spent 10 years as the founding President and Chief Executive Officer of the Sidney Kimmel Cancer Center, a non-profit organization, and 12 years on the faculty of the medical school and cancer center at the University of California, San Diego. Dr. Royston also co-founded IDEC Corporation, which merged with Biogen, Inc. to form Biogen Idec, Inc. (now Biogen, Inc.), a publicly traded biotechnology company, and Hybritech, Inc. which was acquired by Eli Lilly &amp; Company, a publicly traded company. Dr. Royston has served on a number of public and private company boards, and is currently a member of the board of directors of Biocept, Inc., a publicly traded molecular cancer diagnostic company, and MMRGlobal, Inc., a publicly traded health record company. Dr. Royston received a B.A. in Human Biology and an M.D. from Johns Hopkins University, and has completed post-doctoral training in Internal Medicine and Medical Oncology at Stanford University. We believe that Dr. Royston’s experience in the venture capital industry, his experience co-founding other successful companies in the pharmaceutical industry, and his service as a director of other publicly traded and privately held life science companies give him the qualifications, skills and financial expertise to serve on our board of directors.</w:t>
      </w:r>
    </w:p>
    <w:p>
      <w:pPr>
        <w:spacing w:after="0" w:line="12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Richard P. Shea </w:t>
      </w:r>
      <w:r>
        <w:rPr>
          <w:rFonts w:ascii="Arial" w:cs="Arial" w:eastAsia="Arial" w:hAnsi="Arial"/>
          <w:sz w:val="18"/>
          <w:szCs w:val="18"/>
          <w:color w:val="auto"/>
        </w:rPr>
        <w:t>has served as a member of our board of directors since January 2014. Since July 2007, Mr. Shea has served as Senior Vice President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Momenta Pharmaceuticals Inc., a publicly traded biotechnology company, and has been its Vice President and Chief Financial Officer since October 2003. Prior to joining Momenta, he served as Chief Operating Officer and Chief Financial Officer of Variagenics Inc., a publicly traded pharmacogenomics company, that was merged with Hyseq Pharmaceuticals Inc., and as Vice President, Finance of Genetics Institute, Inc., a publicly traded biotechnology company, which was acquired by Wyeth Pharmaceuticals, Inc., which was then acquired by Pfizer, Inc. Mr. Shea is a certified public accountant and received an A.B. from Princeton University and an M.B.A. from the Public Management Program at Boston University. We believe that Mr. Shea’s experience as an executive officer of other successful companies in the pharmaceutical industry gives him the qualifications, skills and financial expertise to serve on our board of directors.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8" w:lineRule="auto"/>
        <w:rPr>
          <w:sz w:val="20"/>
          <w:szCs w:val="20"/>
          <w:color w:val="auto"/>
        </w:rPr>
      </w:pPr>
      <w:r>
        <w:rPr>
          <w:rFonts w:ascii="Arial" w:cs="Arial" w:eastAsia="Arial" w:hAnsi="Arial"/>
          <w:sz w:val="15"/>
          <w:szCs w:val="15"/>
          <w:b w:val="1"/>
          <w:bCs w:val="1"/>
          <w:i w:val="1"/>
          <w:iCs w:val="1"/>
          <w:color w:val="auto"/>
        </w:rPr>
        <w:t xml:space="preserve">George W. Sledge Jr., M.D. </w:t>
      </w:r>
      <w:r>
        <w:rPr>
          <w:rFonts w:ascii="Arial" w:cs="Arial" w:eastAsia="Arial" w:hAnsi="Arial"/>
          <w:sz w:val="15"/>
          <w:szCs w:val="15"/>
          <w:color w:val="auto"/>
        </w:rPr>
        <w:t>has served as a member of our board of directors since January 2014. Since January 2013, Dr. Sledge has been Professor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of Medical Oncology at Stanford University Medical Center. Dr. Sledge served as a Co-director of the breast cancer program at the Indiana University Simon Cancer Center from 1989 to 2012, and was a Professor of Medicine and Pathology at the Indiana University School of Medicine from 1994 to 2013. From 2010 to 2011, Dr. Sledge served as the President of the American Society of Clinical Oncology, a professional organization representing oncologists. Dr. Sledge is currently Associate Editor of JAMA Oncology, and has served as a member of the External Advisory Committee for The Cancer Genome Atlas project, chairman of the Breast Committee of the Eastern Cooperative Oncology Group, chairman of the Education Committee of the American Society of Clinical Oncology, a member of the Department of Defense Breast Cancer Research Program’s Integration Panel, and a member of the Food and Drug Administration’s Oncology Drug Advisory Committee, and the NCI’s Clinical Trials Advisory Committee. Dr. Sledge received a B.A. from the University of Wisconsin and an M.D. from Tulane University. We believe that Dr. Sledge’s experience in the study and treatment of breast cancer and new drug development, his regulatory experience, and his experience as an executive officer of a professional organization gives him the qualifications, skills and financial expertise to serve on our board of directors.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Briggs W. Morrison, M.D. </w:t>
      </w:r>
      <w:r>
        <w:rPr>
          <w:rFonts w:ascii="Arial" w:cs="Arial" w:eastAsia="Arial" w:hAnsi="Arial"/>
          <w:sz w:val="16"/>
          <w:szCs w:val="16"/>
          <w:color w:val="auto"/>
        </w:rPr>
        <w:t>has served as our Chief Executive Officer since June 2015 and as a member of our board of directors since July 2015.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Morrison currently serves as a managing director of MPM Capital, a healthcare-focused venture capital firm, since June 2015. Prior to joining us, he served as Executive Vice President, Global Medicines Development and Chief Medical Officer at AstraZeneca plc, a publicly traded company, from January 2012 to June 2015, leading the company’s global, late-stage development organization and serving as a member of the AstraZeneca senior executive team. He previously held a number of positions at Pfizer Inc., a publicly traded company, from 2007 to January 2012 that culminated in his appointment as Head, Medical Affairs, Safety and Regulatory Affairs for Pfizer’s human health business, and also served in roles of increasing responsibility at Merck Research Laboratories, a division of Merck &amp; Co., Inc., from 1995 to 2007, ascending to the role of Vice President, Clinical Sciences, Oncology, responsible for clinical development of all novel anti-cancer drugs. Dr. Morrison was chairman of the board of TransCelerate BioPharma Inc., an industry-funded company charged with improving aspects of clinical trials, from 2014 to 2015, a member of the executive committee of the Clinical Trials Transformation Initiative (CTTI) sponsored by FDA, and is on the board of ACRES (Alliance for Clinical Research Excellence and Safety). Dr. Morrison received a B.S. in biology from Georgetown University and an M.D. from the University of Connecticut. We believe that Dr. Morrison’s experience as an executive officer of other successful companies in the pharmaceutical industry gives him the qualifications, skills and financial expertise to serve on our board of directors.</w:t>
      </w:r>
    </w:p>
    <w:p>
      <w:pPr>
        <w:spacing w:after="0" w:line="124"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b w:val="1"/>
          <w:bCs w:val="1"/>
          <w:i w:val="1"/>
          <w:iCs w:val="1"/>
          <w:color w:val="auto"/>
        </w:rPr>
        <w:t xml:space="preserve">Michael A. Metzger </w:t>
      </w:r>
      <w:r>
        <w:rPr>
          <w:rFonts w:ascii="Arial" w:cs="Arial" w:eastAsia="Arial" w:hAnsi="Arial"/>
          <w:sz w:val="15"/>
          <w:szCs w:val="15"/>
          <w:color w:val="auto"/>
        </w:rPr>
        <w:t>has served as our President and Chief Operating Officer since May 2015. Prior to joining us, Mr. Metzger was President and COO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from December 2013 to October 2014 and President and Chief Executive Officer and a member of the board of directors of Regado Biosciences, Inc., a former publicly traded company that merged with Tobira Therapeutics, Inc., from October 2014 to May 2015, where he oversaw the company’s successful merger with Tobira Therapeutics, Inc. in 2015. Previously, Mr. Metzger served as Executive Vice President and Chief Operating Officer at Mersana Therapeutics, Inc., a privately held biopharmaceutical company developing novel immunoconjugate therapies for cancer, from March 2011 to November 2013, and in senior business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development positions including leading mergers and acquisitions at Forest Laboratories, LLC, which was acquired by Allergan plc, a publicly traded company, from 2006 to February 2011. Prior to Forest, Mr. Metzger served as Vice President Corporate Development at Onconova Therapeutics, Inc., from 2001 until 2006, and was a Managing Director at MESA Partners, Inc., a venture capital firm, from 1997 to 2001. Mr. Metzger received a B.A. from George Washington University and an M.B.A. in Finance from the New York University Stern School of Business.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b w:val="1"/>
          <w:bCs w:val="1"/>
          <w:i w:val="1"/>
          <w:iCs w:val="1"/>
          <w:color w:val="auto"/>
        </w:rPr>
        <w:t xml:space="preserve">Michael L. Meyers, M.D., Ph.D. </w:t>
      </w:r>
      <w:r>
        <w:rPr>
          <w:rFonts w:ascii="Arial" w:cs="Arial" w:eastAsia="Arial" w:hAnsi="Arial"/>
          <w:sz w:val="16"/>
          <w:szCs w:val="16"/>
          <w:color w:val="auto"/>
        </w:rPr>
        <w:t>has served as our Senior Vice President, Chief Development Officer since August 2015. Prior to joining us, Dr. Meyers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a number of senior roles at Johnson &amp; Johnson, a publicly traded company, serving as Vice President, GU Oncology, Compound and Clinical Leader, and as Vice President, Oncology Scientific Innovation in Johnson and Johnson’s London Innovation Centre. Dr. Meyers also led the U.S. Oncology Medical Affairs team at Aventis Pharmaceuticals Inc., a privately held life sciences company, predecessor to Sanofi-Aventis U.S. LLC, and worked in oncology clinical development at the Schering-Plough Research Institute. Dr. Meyers served on the Memorial Sloan Kettering Cancer Center faculty, specializing in Clinical Immunology and melanoma. He received his M.D. and his Ph.D. in Microbiology and Immunology from Albert Einstein College of Medicine in New York and was elected to the American Osteopathic Association. Dr. Meyers completed his residency in Internal Medicine at Columbia Presbyterian Medical Center and his fellowship, where he served as Chief Fellow in Medical Oncology, at Memorial Sloan Kettering Cancer Center.</w:t>
      </w:r>
    </w:p>
    <w:p>
      <w:pPr>
        <w:spacing w:after="0" w:line="118"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i w:val="1"/>
          <w:iCs w:val="1"/>
          <w:color w:val="auto"/>
        </w:rPr>
        <w:t xml:space="preserve">John S. Pallies </w:t>
      </w:r>
      <w:r>
        <w:rPr>
          <w:rFonts w:ascii="Arial" w:cs="Arial" w:eastAsia="Arial" w:hAnsi="Arial"/>
          <w:sz w:val="16"/>
          <w:szCs w:val="16"/>
          <w:color w:val="auto"/>
        </w:rPr>
        <w:t>has served as our Chief Financial Officer since November 2013, as our Treasurer since November 2010 and as our Secretary since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2015. Mr. Pallies previously served as our Vice President, Finance and Administration from January 2012 to October 2013, our Executive Director of Finance and Controller from January 2011 to December 2011, and our Controller and Director of Finance from October 2007 to December 2010. Prior to joining us,</w:t>
      </w:r>
    </w:p>
    <w:p>
      <w:pPr>
        <w:spacing w:after="0" w:line="1"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Mr. Pallies served as the Controller and Director of Finance at Cerimon Pharmaceuticals, Inc., a privately held biopharmaceutical company, and as Director of Financial Operations at Akamai Technologies, Inc., a publicly traded high-technology company. Mr. Pallies was also a management consultant at Arthur Andersen LLP. Mr. Pallies received a B.S. in Marketing from Boston College and an M.B.A. from The Carroll School of Management at Boston College.</w:t>
      </w:r>
    </w:p>
    <w:p>
      <w:pPr>
        <w:spacing w:after="0" w:line="109"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b w:val="1"/>
          <w:bCs w:val="1"/>
          <w:i w:val="1"/>
          <w:iCs w:val="1"/>
          <w:color w:val="auto"/>
        </w:rPr>
        <w:t xml:space="preserve">Peter Ordentlich, Ph.D. </w:t>
      </w:r>
      <w:r>
        <w:rPr>
          <w:rFonts w:ascii="Arial" w:cs="Arial" w:eastAsia="Arial" w:hAnsi="Arial"/>
          <w:sz w:val="15"/>
          <w:szCs w:val="15"/>
          <w:color w:val="auto"/>
        </w:rPr>
        <w:t>co-founded the company in October 2005 and has served as our Chief Technology Officer since November 2013. Dr. Ordentlich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previously served as our Vice President, Translational Medicine from January 2012 to October 2013, our Executive Director, Translational Science from January 2011 to December 2011, and our Director, Scientific Affairs and Strategic Alliances from January 2008 to December 2010. Prior to founding the company,</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Dr. Ordentlich was a scientist at the Salk Institute for Biological Studies, a biological research non-profit organization. He also spent five years as a research scientist at X-Ceptor Therapeutics, Inc., a drug discovery company, which was acquired by Exelixis, Inc. Dr. Ordentlich received a B.A. in Biochemistry and a Ph.D. in Immunology from the University of Pennsylvania.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7" w:lineRule="exact"/>
        <w:rPr>
          <w:sz w:val="20"/>
          <w:szCs w:val="20"/>
          <w:color w:val="auto"/>
        </w:rPr>
      </w:pPr>
    </w:p>
    <w:p>
      <w:pPr>
        <w:jc w:val="both"/>
        <w:ind w:right="560" w:firstLine="456"/>
        <w:spacing w:after="0" w:line="306" w:lineRule="auto"/>
        <w:rPr>
          <w:sz w:val="20"/>
          <w:szCs w:val="20"/>
          <w:color w:val="auto"/>
        </w:rPr>
      </w:pPr>
      <w:r>
        <w:rPr>
          <w:rFonts w:ascii="Arial" w:cs="Arial" w:eastAsia="Arial" w:hAnsi="Arial"/>
          <w:sz w:val="16"/>
          <w:szCs w:val="16"/>
          <w:color w:val="auto"/>
        </w:rPr>
        <w:t>Our amended and restated bylaws provide that the size of our board of directors will be determined from time to time by resolution of our board of directors. Our board of directors currently consists of nine directors, seven of whom qualify as independent directors under the rules and regulations of the Securities and Exchange Commission, or SEC, and The NASDAQ Stock Market, LLC, or NASDAQ.</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77" w:lineRule="exact"/>
        <w:rPr>
          <w:sz w:val="20"/>
          <w:szCs w:val="20"/>
          <w:color w:val="auto"/>
        </w:rPr>
      </w:pPr>
    </w:p>
    <w:p>
      <w:pPr>
        <w:jc w:val="both"/>
        <w:ind w:right="240" w:firstLine="456"/>
        <w:spacing w:after="0" w:line="323" w:lineRule="auto"/>
        <w:rPr>
          <w:sz w:val="20"/>
          <w:szCs w:val="20"/>
          <w:color w:val="auto"/>
        </w:rPr>
      </w:pPr>
      <w:r>
        <w:rPr>
          <w:rFonts w:ascii="Arial" w:cs="Arial" w:eastAsia="Arial" w:hAnsi="Arial"/>
          <w:sz w:val="15"/>
          <w:szCs w:val="15"/>
          <w:color w:val="auto"/>
        </w:rPr>
        <w:t>Immediately prior to the completion of this offering, our amended and restated certificate of incorporation will provide for a classified board of directors consisting of three classes of directors. We will have three directors in each of Class I, Class II and Class III, each serving a staggered three-year term. At each annual meeting of stockholders, our stockholders will elect successors to directors whose terms then expire to serve from the time of election and qualification until the third annual meeting following election. After the completion of this offering, our directors will be divided among the three classes as follows:</w:t>
      </w:r>
    </w:p>
    <w:p>
      <w:pPr>
        <w:spacing w:after="0" w:line="138" w:lineRule="exact"/>
        <w:rPr>
          <w:sz w:val="20"/>
          <w:szCs w:val="20"/>
          <w:color w:val="auto"/>
        </w:rPr>
      </w:pPr>
    </w:p>
    <w:p>
      <w:pPr>
        <w:ind w:left="1000" w:hanging="317"/>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Class I directors will be Mr. Chen and Drs. Egros and Kamdar, and their terms will expire at the annual meeting of stockholders to be held in 2016;</w:t>
      </w:r>
    </w:p>
    <w:p>
      <w:pPr>
        <w:spacing w:after="0" w:line="113" w:lineRule="exact"/>
        <w:rPr>
          <w:rFonts w:ascii="Arial" w:cs="Arial" w:eastAsia="Arial" w:hAnsi="Arial"/>
          <w:sz w:val="16"/>
          <w:szCs w:val="16"/>
          <w:color w:val="auto"/>
        </w:rPr>
      </w:pPr>
    </w:p>
    <w:p>
      <w:pPr>
        <w:ind w:left="1000" w:hanging="317"/>
        <w:spacing w:after="0"/>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Class II directors will be Drs. Evnin, Sledge and Royston, and their terms will expire at the annual meeting of stockholders to be held in 2017; and</w:t>
      </w:r>
    </w:p>
    <w:p>
      <w:pPr>
        <w:spacing w:after="0" w:line="113" w:lineRule="exact"/>
        <w:rPr>
          <w:rFonts w:ascii="Arial" w:cs="Arial" w:eastAsia="Arial" w:hAnsi="Arial"/>
          <w:sz w:val="16"/>
          <w:szCs w:val="16"/>
          <w:color w:val="auto"/>
        </w:rPr>
      </w:pPr>
    </w:p>
    <w:p>
      <w:pPr>
        <w:ind w:left="1000" w:right="80" w:hanging="317"/>
        <w:spacing w:after="0" w:line="268"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Class III directors will be Dr. Morrison and Messrs. Podlesak and Shea, and their terms will expire at the annual meeting of stockholders to be held in 2018.</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control of our company. We expect that additional directorships resulting from an increase in the number of directors, if any, will be distributed among the three classes so that, as nearly as possible, each class will consist of one-third of the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 and Board Committees</w:t>
      </w:r>
    </w:p>
    <w:p>
      <w:pPr>
        <w:spacing w:after="0" w:line="1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Rule 5605 of the NASDAQ Marketplace Rules, or the NASDAQ Listing Rules, requires that independent directors compose a majority of a listed company’s board of directors.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Under NASDAQ Listing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In addition to satisfying general independence requirements under the NASDAQ Listing Rules, members of the compensation committee must also satisfy additional independence requirements set forth in NASDAQ Listing Rule 5605(d)(2). In order to be considered independent for purposes of NASDAQ Listing Rule 5605(d)(2), a member of a compensation committee of a listed company may not, other than in his or her capacity as a member of the compensation committee, the board of directors or any other board committee, accept, directly or indirectly, any consulting, advisory or other compensatory fee from the listed company or any of its subsidiaries. Additionally, the board of directors of the listed company must consider whether the compensation committee member is an affiliated person of the listed company or any of its subsidiaries and, if so, must determine whether such affiliation would impair the director’s judgment as a member of the compensation committee.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In August 2015,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and other relationships, including those relationships described under “Certain Relationships and Related Party Transactions,” our board of directors determined that none of our directors other than Dr. Morrison has a relationship that would interfere with the exercise of independent judgment in carrying out the responsibilities of a director and that each of these directors is “independent” as that term is defined under Rule 5605(a)(2) of the NASDAQ Listing Rules.</w:t>
      </w:r>
    </w:p>
    <w:p>
      <w:pPr>
        <w:spacing w:after="0" w:line="2"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Dr. Morrison is not considered independent because he currently serves as our Chief Executive Officer. Our board of directors also determined that each member of the audit, compensation, and nominating and corporate governance committees satisfies the independence standards for such committees established by the SEC and the NASDAQ Listing Rules, as applicable. In making these determinations on the independence of our directors, our board of directors considered the relationships that each such non-employee director has with our company and all other facts and circumstances our board of directors deemed relevant in determining independence, including the beneficial ownership of our capital stock by each non-employee director.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the Role of the Board in Risk Oversight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 positions of our chairman of the board and Chief Executive Officer are separated. Separating these positions allows our Chief Executive Officer to focus on our day-to-day business, while allowing the chairman of the board to lead our board of directors in its fundamental role of providing advice to and independent oversight of management. Our board of directors recognizes the time, effort and energy that the Chief Executive Officer must devote to his position in the current business environment, as well as the commitment required to serve as our chairman, particularly as our board of directors’ oversight responsibilities continue to grow. Our board of directors also believes that this structure ensures a greater role for the independent directors in the oversight of the company and active participation of the independent directors in setting agendas and establishing priorities and procedures for the work of our board of directors.</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Although our amended and restated bylaws that will be in effect immediately prior to the completion of this offering will not require that we separate the chairman of the board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chairman of the board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1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Our independent directors will meet alone in executive session at least quarterly each year. The purpose of these executive sessions is to promote open and candid discussion among the independent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face a number of risks, including those described in the section titled “Risk Factors” contained elsewhere in this prospectus. Our board of directors believes that risk management is an important part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380"/>
          </w:cols>
          <w:pgMar w:left="240" w:top="459" w:right="2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of establishing, updating and executing on the company’s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audit committee, as part of its responsibilities, oversees the company’s significant financial and operational risk exposures, including but not limited to accounting matters, liquidity and credit risks, corporate tax positions, insurance coverage, and cash investment strategy and results. The audit committee is also responsible for overseeing the management of risks relating to the performance of the company’s internal audit function (if required) and its independent registered accounting firm, as well as the company’s systems of internal controls and disclosure controls and procedures. The compensation committee is responsible for overseeing the company’s major compensation-related risk exposures, including risks related to executive compensation and overall compensation and benefit strategies, plans, arrangements, practices and policies. The nominating and corporate governance committee oversees the company’s major legal compliance risk exposures, including the company’s procedures and any related policies with respect to risk assessment and risk management. These committees provide regular reports to the full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has a standing audit committee, compensation committee and nominating and corporate governance committee. The composition and responsibilities of each committee are described below. Members serve on these committees until their resignation or until otherwise determined by our board of directors.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audit committee is responsible for assisting our board of directors in its oversight of the integrity of our financial statements, the qualifications and independence of our independent auditors, and our internal financial and accounting controls. The audit committee has direct responsibility for the appointment, compensation, retention (including termination) and oversight of our independent auditors, and our independent auditors report directly to the audit committee. The audit committee also prepares the audit committee report that the SEC requires to be included in our annual proxy statement.</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members of the audit committee are Mr. Shea and Drs. Egros and Sledge, and Mr. Shea serves as chair of the audit committee. Each member of the audit committee qualifies as an independent director under the corporate governance standards of the NASDAQ Listing Rules and the independence requirements of Rule 10A-3 of the Exchange Act. Our board of directors has determined that Mr. Shea qualifies as an “audit committee financial expert” as such term is currently defined in Item 407(d)(5) of Regulation S-K. The audit committee has adopted a written charter that satisfies the applicable standards of the SEC and the NASDAQ Listing Rules, which we will post on our website upon completion of this offering.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compensation committee approves the compensation objectives for the company, approves the compensation of the Chief Executive Officer and approves or recommends to our board of directors for approval the compensation for other executives. The compensation committee reviews all compensation components, including base salary, bonus, benefits and other perquisites.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members of the compensation committee are Drs. Evnin and Sledge and Mr. Podlesak, and Dr. Evnin serves as chair of the compensation committee. Each member of the compensation committee is a non-employee director within the meaning of Rule 16b-3 of the rules promulgated under the Exchange Act and an outside director as defined by Section 162(m) of the U.S. Internal Revenue Code of 1986, as amended, or the Code, and each is an independent director as defined by the NASDAQ Listing Rules, including NASDAQ Listing Rule 5605(d)(2). The compensation committee has adopted a written charter that satisfies the applicable standards of the SEC and the NASDAQ Listing Rules, which we will post on our website upon completion of this offering.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right="380" w:firstLine="456"/>
        <w:spacing w:after="0" w:line="256"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structure and composition of our board and the board committees. In addition, the nominating and corporate governance committee is responsible for developing and recommending to our board corporate governance guidelines applicable to the company and advising our board on corporate governance matters.</w:t>
      </w:r>
    </w:p>
    <w:p>
      <w:pPr>
        <w:spacing w:after="0" w:line="14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members of the nominating and corporate governance committee are Drs. Evnin, Kamdar and Royston, and Dr. Kamdar serves as chair of the nominating and corporate governance committee. Each member of the nominating and corporate governance committee is a non-employee director within the meaning of Rule 16b-3 of the rules promulgated under the Exchange Act, and each is an independent director as defined by the NASDAQ Listing Rules. The nominating and corporate governance committee has adopted a written charter that satisfies the applicable standards of the NASDAQ Listing Rules, which we will post on our website upon completion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7" w:lineRule="exact"/>
        <w:rPr>
          <w:sz w:val="20"/>
          <w:szCs w:val="20"/>
          <w:color w:val="auto"/>
        </w:rPr>
      </w:pPr>
    </w:p>
    <w:p>
      <w:pPr>
        <w:ind w:right="520" w:firstLine="456"/>
        <w:spacing w:after="0" w:line="306" w:lineRule="auto"/>
        <w:rPr>
          <w:sz w:val="20"/>
          <w:szCs w:val="20"/>
          <w:color w:val="auto"/>
        </w:rPr>
      </w:pPr>
      <w:r>
        <w:rPr>
          <w:rFonts w:ascii="Arial" w:cs="Arial" w:eastAsia="Arial" w:hAnsi="Arial"/>
          <w:sz w:val="16"/>
          <w:szCs w:val="16"/>
          <w:color w:val="auto"/>
        </w:rPr>
        <w:t>We adopted a code of business conduct and ethics that applies to all of our employees, officers and directors including those officers responsible for financial reporting. Upon completion of this offering, we will post the code of business conduct and ethics on our website. We intend to disclose future amendments to the code or any waivers of its requirements on our website to the extent permitted by the applicable rules and exchange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None of the members of our compensation committee has ever been an officer or employee of the company. None of our executive officers serves, or has served during the last three years, as a member of our board of directors, compensation committee or other board committee performing equivalent functions of any entity that has one or more executive officers serving as one of our directors or on our compensation committee.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for the last completed fiscal year regarding compensation awarded to or earned by our named executive officers.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22"/>
                <w:szCs w:val="22"/>
                <w:b w:val="1"/>
                <w:bCs w:val="1"/>
                <w:color w:val="auto"/>
                <w:vertAlign w:val="superscript"/>
              </w:rPr>
              <w:t>(1)</w:t>
            </w:r>
          </w:p>
        </w:tc>
        <w:tc>
          <w:tcPr>
            <w:tcW w:w="940" w:type="dxa"/>
            <w:vAlign w:val="bottom"/>
            <w:gridSpan w:val="2"/>
          </w:tcPr>
          <w:p>
            <w:pPr>
              <w:jc w:val="center"/>
              <w:ind w:right="244"/>
              <w:spacing w:after="0"/>
              <w:rPr>
                <w:sz w:val="20"/>
                <w:szCs w:val="20"/>
                <w:color w:val="auto"/>
              </w:rPr>
            </w:pPr>
            <w:r>
              <w:rPr>
                <w:rFonts w:ascii="Arial" w:cs="Arial" w:eastAsia="Arial" w:hAnsi="Arial"/>
                <w:sz w:val="14"/>
                <w:szCs w:val="14"/>
                <w:b w:val="1"/>
                <w:bCs w:val="1"/>
                <w:color w:val="auto"/>
                <w:w w:val="88"/>
              </w:rPr>
              <w:t>Option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5640" w:type="dxa"/>
            <w:vAlign w:val="bottom"/>
            <w:vMerge w:val="restart"/>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vMerge w:val="continue"/>
          </w:tcPr>
          <w:p>
            <w:pPr>
              <w:spacing w:after="0"/>
              <w:rPr>
                <w:sz w:val="14"/>
                <w:szCs w:val="14"/>
                <w:color w:val="auto"/>
              </w:rPr>
            </w:pPr>
          </w:p>
        </w:tc>
        <w:tc>
          <w:tcPr>
            <w:tcW w:w="940" w:type="dxa"/>
            <w:vAlign w:val="bottom"/>
            <w:gridSpan w:val="2"/>
          </w:tcPr>
          <w:p>
            <w:pPr>
              <w:jc w:val="center"/>
              <w:ind w:right="244"/>
              <w:spacing w:after="0" w:line="163" w:lineRule="exact"/>
              <w:rPr>
                <w:sz w:val="20"/>
                <w:szCs w:val="20"/>
                <w:color w:val="auto"/>
              </w:rPr>
            </w:pPr>
            <w:r>
              <w:rPr>
                <w:rFonts w:ascii="Arial" w:cs="Arial" w:eastAsia="Arial" w:hAnsi="Arial"/>
                <w:sz w:val="12"/>
                <w:szCs w:val="12"/>
                <w:b w:val="1"/>
                <w:bCs w:val="1"/>
                <w:color w:val="auto"/>
                <w:w w:val="96"/>
              </w:rPr>
              <w:t>Awards</w:t>
            </w:r>
            <w:r>
              <w:rPr>
                <w:rFonts w:ascii="Arial" w:cs="Arial" w:eastAsia="Arial" w:hAnsi="Arial"/>
                <w:sz w:val="18"/>
                <w:szCs w:val="18"/>
                <w:b w:val="1"/>
                <w:bCs w:val="1"/>
                <w:color w:val="auto"/>
                <w:w w:val="96"/>
                <w:vertAlign w:val="superscript"/>
              </w:rPr>
              <w:t>(2)</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gridSpan w:val="2"/>
            <w:vMerge w:val="continue"/>
          </w:tcPr>
          <w:p>
            <w:pPr>
              <w:spacing w:after="0"/>
              <w:rPr>
                <w:sz w:val="14"/>
                <w:szCs w:val="14"/>
                <w:color w:val="auto"/>
              </w:rPr>
            </w:pPr>
          </w:p>
        </w:tc>
        <w:tc>
          <w:tcPr>
            <w:tcW w:w="5640" w:type="dxa"/>
            <w:vAlign w:val="bottom"/>
            <w:vMerge w:val="continue"/>
          </w:tcPr>
          <w:p>
            <w:pPr>
              <w:spacing w:after="0"/>
              <w:rPr>
                <w:sz w:val="14"/>
                <w:szCs w:val="14"/>
                <w:color w:val="auto"/>
              </w:rPr>
            </w:pP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4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60" w:type="dxa"/>
            <w:vAlign w:val="bottom"/>
          </w:tcPr>
          <w:p>
            <w:pPr>
              <w:jc w:val="right"/>
              <w:ind w:right="160"/>
              <w:spacing w:after="0" w:line="14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660" w:type="dxa"/>
            <w:vAlign w:val="bottom"/>
          </w:tcPr>
          <w:p>
            <w:pPr>
              <w:jc w:val="right"/>
              <w:ind w:right="180"/>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4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Arlene M. Morris</w:t>
            </w:r>
            <w:r>
              <w:rPr>
                <w:rFonts w:ascii="Arial" w:cs="Arial" w:eastAsia="Arial" w:hAnsi="Arial"/>
                <w:sz w:val="11"/>
                <w:szCs w:val="11"/>
                <w:color w:val="auto"/>
              </w:rPr>
              <w:t>(4)</w:t>
            </w: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2014</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424,360</w:t>
            </w: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144,282</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394,967</w:t>
            </w:r>
          </w:p>
        </w:tc>
        <w:tc>
          <w:tcPr>
            <w:tcW w:w="300" w:type="dxa"/>
            <w:vAlign w:val="bottom"/>
            <w:tcBorders>
              <w:top w:val="single" w:sz="8" w:color="CCEEFF"/>
            </w:tcBorders>
            <w:shd w:val="clear" w:color="auto" w:fill="CCEEFF"/>
          </w:tcPr>
          <w:p>
            <w:pPr>
              <w:jc w:val="right"/>
              <w:ind w:right="104"/>
              <w:spacing w:after="0"/>
              <w:rPr>
                <w:sz w:val="20"/>
                <w:szCs w:val="20"/>
                <w:color w:val="auto"/>
              </w:rPr>
            </w:pPr>
            <w:r>
              <w:rPr>
                <w:rFonts w:ascii="Arial" w:cs="Arial" w:eastAsia="Arial" w:hAnsi="Arial"/>
                <w:sz w:val="11"/>
                <w:szCs w:val="11"/>
                <w:color w:val="auto"/>
                <w:w w:val="88"/>
              </w:rPr>
              <w:t>(3)</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963,609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4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Former President and Chief Executive Officer</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400" w:type="dxa"/>
            <w:vAlign w:val="bottom"/>
            <w:gridSpan w:val="3"/>
          </w:tcPr>
          <w:p>
            <w:pPr>
              <w:spacing w:after="0"/>
              <w:rPr>
                <w:sz w:val="20"/>
                <w:szCs w:val="20"/>
                <w:color w:val="auto"/>
              </w:rPr>
            </w:pPr>
            <w:r>
              <w:rPr>
                <w:rFonts w:ascii="Arial" w:cs="Arial" w:eastAsia="Arial" w:hAnsi="Arial"/>
                <w:sz w:val="18"/>
                <w:szCs w:val="18"/>
                <w:color w:val="auto"/>
              </w:rPr>
              <w:t>Robert S. Goodenow, Ph.D.</w:t>
            </w:r>
            <w:r>
              <w:rPr>
                <w:rFonts w:ascii="Arial" w:cs="Arial" w:eastAsia="Arial" w:hAnsi="Arial"/>
                <w:sz w:val="11"/>
                <w:szCs w:val="11"/>
                <w:color w:val="auto"/>
              </w:rPr>
              <w:t>(4)</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329,518</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56,018</w:t>
            </w:r>
          </w:p>
        </w:tc>
        <w:tc>
          <w:tcPr>
            <w:tcW w:w="940" w:type="dxa"/>
            <w:vAlign w:val="bottom"/>
            <w:gridSpan w:val="2"/>
          </w:tcPr>
          <w:p>
            <w:pPr>
              <w:jc w:val="right"/>
              <w:ind w:right="104"/>
              <w:spacing w:after="0"/>
              <w:rPr>
                <w:sz w:val="20"/>
                <w:szCs w:val="20"/>
                <w:color w:val="auto"/>
              </w:rPr>
            </w:pPr>
            <w:r>
              <w:rPr>
                <w:rFonts w:ascii="Arial" w:cs="Arial" w:eastAsia="Arial" w:hAnsi="Arial"/>
                <w:sz w:val="18"/>
                <w:szCs w:val="18"/>
                <w:color w:val="auto"/>
                <w:w w:val="96"/>
              </w:rPr>
              <w:t>154,233</w:t>
            </w:r>
            <w:r>
              <w:rPr>
                <w:rFonts w:ascii="Arial" w:cs="Arial" w:eastAsia="Arial" w:hAnsi="Arial"/>
                <w:sz w:val="11"/>
                <w:szCs w:val="11"/>
                <w:color w:val="auto"/>
                <w:w w:val="96"/>
              </w:rPr>
              <w:t>(3)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539,769</w:t>
            </w:r>
          </w:p>
        </w:tc>
        <w:tc>
          <w:tcPr>
            <w:tcW w:w="0" w:type="dxa"/>
            <w:vAlign w:val="bottom"/>
          </w:tcPr>
          <w:p>
            <w:pPr>
              <w:spacing w:after="0"/>
              <w:rPr>
                <w:sz w:val="1"/>
                <w:szCs w:val="1"/>
                <w:color w:val="auto"/>
              </w:rPr>
            </w:pPr>
          </w:p>
        </w:tc>
      </w:tr>
      <w:tr>
        <w:trPr>
          <w:trHeight w:val="222"/>
        </w:trPr>
        <w:tc>
          <w:tcPr>
            <w:tcW w:w="7400" w:type="dxa"/>
            <w:vAlign w:val="bottom"/>
            <w:gridSpan w:val="3"/>
          </w:tcPr>
          <w:p>
            <w:pPr>
              <w:ind w:left="220"/>
              <w:spacing w:after="0"/>
              <w:rPr>
                <w:sz w:val="20"/>
                <w:szCs w:val="20"/>
                <w:color w:val="auto"/>
              </w:rPr>
            </w:pPr>
            <w:r>
              <w:rPr>
                <w:rFonts w:ascii="Arial" w:cs="Arial" w:eastAsia="Arial" w:hAnsi="Arial"/>
                <w:sz w:val="18"/>
                <w:szCs w:val="18"/>
                <w:i w:val="1"/>
                <w:iCs w:val="1"/>
                <w:color w:val="auto"/>
              </w:rPr>
              <w:t>Former Chief Business Officer</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S. Pallies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267,800</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45,526</w:t>
            </w:r>
          </w:p>
        </w:tc>
        <w:tc>
          <w:tcPr>
            <w:tcW w:w="94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w w:val="96"/>
              </w:rPr>
              <w:t>257,783</w:t>
            </w:r>
            <w:r>
              <w:rPr>
                <w:rFonts w:ascii="Arial" w:cs="Arial" w:eastAsia="Arial" w:hAnsi="Arial"/>
                <w:sz w:val="11"/>
                <w:szCs w:val="11"/>
                <w:color w:val="auto"/>
                <w:w w:val="96"/>
              </w:rPr>
              <w:t>(3)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571,109</w:t>
            </w:r>
          </w:p>
        </w:tc>
        <w:tc>
          <w:tcPr>
            <w:tcW w:w="0" w:type="dxa"/>
            <w:vAlign w:val="bottom"/>
          </w:tcPr>
          <w:p>
            <w:pPr>
              <w:spacing w:after="0"/>
              <w:rPr>
                <w:sz w:val="1"/>
                <w:szCs w:val="1"/>
                <w:color w:val="auto"/>
              </w:rPr>
            </w:pPr>
          </w:p>
        </w:tc>
      </w:tr>
      <w:tr>
        <w:trPr>
          <w:trHeight w:val="238"/>
        </w:trPr>
        <w:tc>
          <w:tcPr>
            <w:tcW w:w="7400" w:type="dxa"/>
            <w:vAlign w:val="bottom"/>
            <w:gridSpan w:val="3"/>
            <w:shd w:val="clear" w:color="auto" w:fill="CCEEFF"/>
          </w:tcPr>
          <w:p>
            <w:pPr>
              <w:ind w:left="220"/>
              <w:spacing w:after="0"/>
              <w:rPr>
                <w:sz w:val="20"/>
                <w:szCs w:val="20"/>
                <w:color w:val="auto"/>
              </w:rPr>
            </w:pPr>
            <w:r>
              <w:rPr>
                <w:rFonts w:ascii="Arial" w:cs="Arial" w:eastAsia="Arial" w:hAnsi="Arial"/>
                <w:sz w:val="18"/>
                <w:szCs w:val="18"/>
                <w:i w:val="1"/>
                <w:iCs w:val="1"/>
                <w:color w:val="auto"/>
              </w:rPr>
              <w:t>Chief Financial Officer, Treasurer and Secretary</w:t>
            </w: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5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05"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Amounts reflect amounts earned in 2014, which were paid during 2015, based on the achievement of company and individual performance goals and other factors deemed relevant by our board of directors and compensation committee. For 2014, the compensation committee determined that Ms. Morris,</w:t>
      </w:r>
    </w:p>
    <w:p>
      <w:pPr>
        <w:ind w:left="460"/>
        <w:spacing w:after="0"/>
        <w:rPr>
          <w:rFonts w:ascii="Arial" w:cs="Arial" w:eastAsia="Arial" w:hAnsi="Arial"/>
          <w:sz w:val="15"/>
          <w:szCs w:val="15"/>
          <w:color w:val="auto"/>
        </w:rPr>
      </w:pPr>
      <w:r>
        <w:rPr>
          <w:rFonts w:ascii="Arial" w:cs="Arial" w:eastAsia="Arial" w:hAnsi="Arial"/>
          <w:sz w:val="18"/>
          <w:szCs w:val="18"/>
          <w:color w:val="auto"/>
        </w:rPr>
        <w:t>Dr. Goodenow and Mr. Pallies were each entitled to approximately 85% of each executive’s target bonus.</w:t>
      </w:r>
    </w:p>
    <w:p>
      <w:pPr>
        <w:spacing w:after="0" w:line="9" w:lineRule="exact"/>
        <w:rPr>
          <w:rFonts w:ascii="Arial" w:cs="Arial" w:eastAsia="Arial" w:hAnsi="Arial"/>
          <w:sz w:val="15"/>
          <w:szCs w:val="15"/>
          <w:color w:val="auto"/>
        </w:rPr>
      </w:pPr>
    </w:p>
    <w:p>
      <w:pPr>
        <w:ind w:left="460" w:right="100" w:hanging="452"/>
        <w:spacing w:after="0" w:line="300"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Amounts reflect the grant date fair value of option awards determined in accordance with ASC 718. For information regarding assumptions underlying the value of equity awards, see note 12 to our audited consolidated financial statements and the discussion under the section titled “Management’s Discussion and Analysis of Financial Condition and Results of Operations—Critical Accounting Policies—Stock-Based Compensation,” included elsewhere in this prospectus. These amounts do not correspond to the actual value the named executive officer may realize upon exercise of these option awards.</w:t>
      </w:r>
    </w:p>
    <w:p>
      <w:pPr>
        <w:spacing w:after="0" w:line="1" w:lineRule="exact"/>
        <w:rPr>
          <w:rFonts w:ascii="Arial" w:cs="Arial" w:eastAsia="Arial" w:hAnsi="Arial"/>
          <w:sz w:val="15"/>
          <w:szCs w:val="15"/>
          <w:color w:val="auto"/>
        </w:rPr>
      </w:pPr>
    </w:p>
    <w:p>
      <w:pPr>
        <w:ind w:left="460" w:right="8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Includes the grant date fair value in the amount of $272,414, $92,734 and $222,646 for Ms. Morris, Dr. Goodenow and Mr. Pallies, respectively, for option grants that were subsequently cancelled and reissued pursuant to an option exchange program that we implemented in 2014.</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Ms. Morris and Dr. Goodenow resigned from the company effective May 12, 2015 and June 5, 2015,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Fiscal Year-End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regarding equity awards held by the named executive officers that were outstanding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20" w:type="dxa"/>
            <w:vAlign w:val="bottom"/>
            <w:gridSpan w:val="2"/>
          </w:tcPr>
          <w:p>
            <w:pPr>
              <w:jc w:val="center"/>
              <w:ind w:right="884"/>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880" w:type="dxa"/>
            <w:vAlign w:val="bottom"/>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360" w:type="dxa"/>
            <w:vAlign w:val="bottom"/>
          </w:tcPr>
          <w:p>
            <w:pPr>
              <w:spacing w:after="0"/>
              <w:rPr>
                <w:sz w:val="11"/>
                <w:szCs w:val="11"/>
                <w:color w:val="auto"/>
              </w:rPr>
            </w:pPr>
          </w:p>
        </w:tc>
        <w:tc>
          <w:tcPr>
            <w:tcW w:w="1340" w:type="dxa"/>
            <w:vAlign w:val="bottom"/>
            <w:gridSpan w:val="3"/>
          </w:tcPr>
          <w:p>
            <w:pPr>
              <w:jc w:val="center"/>
              <w:ind w:right="860"/>
              <w:spacing w:after="0" w:line="129" w:lineRule="exact"/>
              <w:rPr>
                <w:sz w:val="20"/>
                <w:szCs w:val="20"/>
                <w:color w:val="auto"/>
              </w:rPr>
            </w:pPr>
            <w:r>
              <w:rPr>
                <w:rFonts w:ascii="Arial" w:cs="Arial" w:eastAsia="Arial" w:hAnsi="Arial"/>
                <w:sz w:val="14"/>
                <w:szCs w:val="14"/>
                <w:b w:val="1"/>
                <w:bCs w:val="1"/>
                <w:color w:val="auto"/>
                <w:w w:val="88"/>
              </w:rPr>
              <w:t>Option</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20" w:type="dxa"/>
            <w:vAlign w:val="bottom"/>
            <w:gridSpan w:val="2"/>
          </w:tcPr>
          <w:p>
            <w:pPr>
              <w:jc w:val="center"/>
              <w:ind w:right="884"/>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18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Underlying Unexercised</w:t>
            </w:r>
          </w:p>
        </w:tc>
        <w:tc>
          <w:tcPr>
            <w:tcW w:w="3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2"/>
                <w:szCs w:val="12"/>
                <w:color w:val="auto"/>
              </w:rPr>
            </w:pPr>
          </w:p>
        </w:tc>
        <w:tc>
          <w:tcPr>
            <w:tcW w:w="2320" w:type="dxa"/>
            <w:vAlign w:val="bottom"/>
            <w:gridSpan w:val="2"/>
          </w:tcPr>
          <w:p>
            <w:pPr>
              <w:jc w:val="center"/>
              <w:ind w:right="864"/>
              <w:spacing w:after="0" w:line="149" w:lineRule="exact"/>
              <w:rPr>
                <w:sz w:val="20"/>
                <w:szCs w:val="20"/>
                <w:color w:val="auto"/>
              </w:rPr>
            </w:pPr>
            <w:r>
              <w:rPr>
                <w:rFonts w:ascii="Arial" w:cs="Arial" w:eastAsia="Arial" w:hAnsi="Arial"/>
                <w:sz w:val="14"/>
                <w:szCs w:val="14"/>
                <w:b w:val="1"/>
                <w:bCs w:val="1"/>
                <w:color w:val="auto"/>
                <w:w w:val="86"/>
              </w:rPr>
              <w:t>Options Exercisable</w:t>
            </w:r>
          </w:p>
        </w:tc>
        <w:tc>
          <w:tcPr>
            <w:tcW w:w="1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Options Unexercisable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148"/>
        </w:trPr>
        <w:tc>
          <w:tcPr>
            <w:tcW w:w="3800" w:type="dxa"/>
            <w:vAlign w:val="bottom"/>
            <w:gridSpan w:val="3"/>
            <w:vMerge w:val="continue"/>
          </w:tcPr>
          <w:p>
            <w:pPr>
              <w:spacing w:after="0"/>
              <w:rPr>
                <w:sz w:val="12"/>
                <w:szCs w:val="12"/>
                <w:color w:val="auto"/>
              </w:rPr>
            </w:pPr>
          </w:p>
        </w:tc>
        <w:tc>
          <w:tcPr>
            <w:tcW w:w="2160" w:type="dxa"/>
            <w:vAlign w:val="bottom"/>
            <w:gridSpan w:val="2"/>
          </w:tcPr>
          <w:p>
            <w:pPr>
              <w:jc w:val="center"/>
              <w:ind w:left="676"/>
              <w:spacing w:after="0" w:line="148" w:lineRule="exact"/>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2"/>
                <w:szCs w:val="12"/>
                <w:color w:val="auto"/>
              </w:rPr>
            </w:pPr>
          </w:p>
        </w:tc>
        <w:tc>
          <w:tcPr>
            <w:tcW w:w="1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3"/>
          </w:tcPr>
          <w:p>
            <w:pPr>
              <w:jc w:val="center"/>
              <w:ind w:right="840"/>
              <w:spacing w:after="0" w:line="148" w:lineRule="exact"/>
              <w:rPr>
                <w:sz w:val="20"/>
                <w:szCs w:val="20"/>
                <w:color w:val="auto"/>
              </w:rPr>
            </w:pPr>
            <w:r>
              <w:rPr>
                <w:rFonts w:ascii="Arial" w:cs="Arial" w:eastAsia="Arial" w:hAnsi="Arial"/>
                <w:sz w:val="14"/>
                <w:szCs w:val="14"/>
                <w:b w:val="1"/>
                <w:bCs w:val="1"/>
                <w:color w:val="auto"/>
                <w:w w:val="87"/>
              </w:rPr>
              <w:t>($/Sh)</w:t>
            </w: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Arlene M. Morris</w:t>
            </w:r>
          </w:p>
        </w:tc>
        <w:tc>
          <w:tcPr>
            <w:tcW w:w="7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32,084</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1"/>
                <w:szCs w:val="11"/>
                <w:color w:val="auto"/>
                <w:w w:val="74"/>
              </w:rPr>
              <w:t>(1)</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5.08</w:t>
            </w:r>
          </w:p>
        </w:tc>
        <w:tc>
          <w:tcPr>
            <w:tcW w:w="8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12/18/2024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68,253</w:t>
            </w:r>
            <w:r>
              <w:rPr>
                <w:rFonts w:ascii="Arial" w:cs="Arial" w:eastAsia="Arial" w:hAnsi="Arial"/>
                <w:sz w:val="11"/>
                <w:szCs w:val="11"/>
                <w:color w:val="auto"/>
              </w:rPr>
              <w:t>(1)</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285,357</w:t>
            </w:r>
            <w:r>
              <w:rPr>
                <w:rFonts w:ascii="Arial" w:cs="Arial" w:eastAsia="Arial" w:hAnsi="Arial"/>
                <w:sz w:val="11"/>
                <w:szCs w:val="11"/>
                <w:color w:val="auto"/>
              </w:rPr>
              <w:t>(1)</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5/9/2023</w:t>
            </w:r>
          </w:p>
        </w:tc>
        <w:tc>
          <w:tcPr>
            <w:tcW w:w="0" w:type="dxa"/>
            <w:vAlign w:val="bottom"/>
          </w:tcPr>
          <w:p>
            <w:pPr>
              <w:spacing w:after="0"/>
              <w:rPr>
                <w:sz w:val="1"/>
                <w:szCs w:val="1"/>
                <w:color w:val="auto"/>
              </w:rPr>
            </w:pPr>
          </w:p>
        </w:tc>
      </w:tr>
      <w:tr>
        <w:trPr>
          <w:trHeight w:val="316"/>
        </w:trPr>
        <w:tc>
          <w:tcPr>
            <w:tcW w:w="3800" w:type="dxa"/>
            <w:vAlign w:val="bottom"/>
            <w:gridSpan w:val="3"/>
          </w:tcPr>
          <w:p>
            <w:pPr>
              <w:spacing w:after="0"/>
              <w:rPr>
                <w:sz w:val="20"/>
                <w:szCs w:val="20"/>
                <w:color w:val="auto"/>
              </w:rPr>
            </w:pPr>
            <w:r>
              <w:rPr>
                <w:rFonts w:ascii="Arial" w:cs="Arial" w:eastAsia="Arial" w:hAnsi="Arial"/>
                <w:sz w:val="18"/>
                <w:szCs w:val="18"/>
                <w:color w:val="auto"/>
              </w:rPr>
              <w:t>Robert S. Goodenow, Ph.D.</w:t>
            </w:r>
          </w:p>
        </w:tc>
        <w:tc>
          <w:tcPr>
            <w:tcW w:w="3080" w:type="dxa"/>
            <w:vAlign w:val="bottom"/>
            <w:gridSpan w:val="3"/>
          </w:tcPr>
          <w:p>
            <w:pPr>
              <w:jc w:val="right"/>
              <w:ind w:right="744"/>
              <w:spacing w:after="0"/>
              <w:rPr>
                <w:sz w:val="20"/>
                <w:szCs w:val="20"/>
                <w:color w:val="auto"/>
              </w:rPr>
            </w:pPr>
            <w:r>
              <w:rPr>
                <w:rFonts w:ascii="Arial" w:cs="Arial" w:eastAsia="Arial" w:hAnsi="Arial"/>
                <w:sz w:val="18"/>
                <w:szCs w:val="18"/>
                <w:color w:val="auto"/>
              </w:rPr>
              <w:t>10,922</w:t>
            </w:r>
            <w:r>
              <w:rPr>
                <w:rFonts w:ascii="Arial" w:cs="Arial" w:eastAsia="Arial" w:hAnsi="Arial"/>
                <w:sz w:val="11"/>
                <w:szCs w:val="11"/>
                <w:color w:val="auto"/>
              </w:rPr>
              <w:t>(2)</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5.08</w:t>
            </w:r>
          </w:p>
        </w:tc>
        <w:tc>
          <w:tcPr>
            <w:tcW w:w="8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12/18/2024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80" w:type="dxa"/>
            <w:vAlign w:val="bottom"/>
            <w:gridSpan w:val="3"/>
          </w:tcPr>
          <w:p>
            <w:pPr>
              <w:jc w:val="right"/>
              <w:ind w:right="744"/>
              <w:spacing w:after="0"/>
              <w:rPr>
                <w:sz w:val="20"/>
                <w:szCs w:val="20"/>
                <w:color w:val="auto"/>
              </w:rPr>
            </w:pPr>
            <w:r>
              <w:rPr>
                <w:rFonts w:ascii="Arial" w:cs="Arial" w:eastAsia="Arial" w:hAnsi="Arial"/>
                <w:sz w:val="18"/>
                <w:szCs w:val="18"/>
                <w:color w:val="auto"/>
              </w:rPr>
              <w:t>33,335</w:t>
            </w:r>
            <w:r>
              <w:rPr>
                <w:rFonts w:ascii="Arial" w:cs="Arial" w:eastAsia="Arial" w:hAnsi="Arial"/>
                <w:sz w:val="11"/>
                <w:szCs w:val="11"/>
                <w:color w:val="auto"/>
              </w:rPr>
              <w:t>(2)</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8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3080" w:type="dxa"/>
            <w:vAlign w:val="bottom"/>
            <w:gridSpan w:val="3"/>
          </w:tcPr>
          <w:p>
            <w:pPr>
              <w:jc w:val="right"/>
              <w:ind w:right="744"/>
              <w:spacing w:after="0"/>
              <w:rPr>
                <w:sz w:val="20"/>
                <w:szCs w:val="20"/>
                <w:color w:val="auto"/>
              </w:rPr>
            </w:pPr>
            <w:r>
              <w:rPr>
                <w:rFonts w:ascii="Arial" w:cs="Arial" w:eastAsia="Arial" w:hAnsi="Arial"/>
                <w:sz w:val="18"/>
                <w:szCs w:val="18"/>
                <w:color w:val="auto"/>
              </w:rPr>
              <w:t>87,041</w:t>
            </w:r>
            <w:r>
              <w:rPr>
                <w:rFonts w:ascii="Arial" w:cs="Arial" w:eastAsia="Arial" w:hAnsi="Arial"/>
                <w:sz w:val="11"/>
                <w:szCs w:val="11"/>
                <w:color w:val="auto"/>
              </w:rPr>
              <w:t>(2)</w:t>
            </w:r>
          </w:p>
        </w:tc>
        <w:tc>
          <w:tcPr>
            <w:tcW w:w="18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2.46</w:t>
            </w:r>
          </w:p>
        </w:tc>
        <w:tc>
          <w:tcPr>
            <w:tcW w:w="8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5/9/2023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16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Pallies</w:t>
            </w:r>
          </w:p>
        </w:tc>
        <w:tc>
          <w:tcPr>
            <w:tcW w:w="3080" w:type="dxa"/>
            <w:vAlign w:val="bottom"/>
            <w:gridSpan w:val="3"/>
            <w:shd w:val="clear" w:color="auto" w:fill="CCEEFF"/>
          </w:tcPr>
          <w:p>
            <w:pPr>
              <w:jc w:val="right"/>
              <w:ind w:right="744"/>
              <w:spacing w:after="0"/>
              <w:rPr>
                <w:sz w:val="20"/>
                <w:szCs w:val="20"/>
                <w:color w:val="auto"/>
              </w:rPr>
            </w:pPr>
            <w:r>
              <w:rPr>
                <w:rFonts w:ascii="Arial" w:cs="Arial" w:eastAsia="Arial" w:hAnsi="Arial"/>
                <w:sz w:val="18"/>
                <w:szCs w:val="18"/>
                <w:color w:val="auto"/>
              </w:rPr>
              <w:t>6,924</w:t>
            </w:r>
            <w:r>
              <w:rPr>
                <w:rFonts w:ascii="Arial" w:cs="Arial" w:eastAsia="Arial" w:hAnsi="Arial"/>
                <w:sz w:val="11"/>
                <w:szCs w:val="11"/>
                <w:color w:val="auto"/>
              </w:rPr>
              <w:t>(3)</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12/18/2024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28,934</w:t>
            </w:r>
            <w:r>
              <w:rPr>
                <w:rFonts w:ascii="Arial" w:cs="Arial" w:eastAsia="Arial" w:hAnsi="Arial"/>
                <w:sz w:val="11"/>
                <w:szCs w:val="11"/>
                <w:color w:val="auto"/>
              </w:rPr>
              <w:t>(4)</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47,382</w:t>
            </w:r>
            <w:r>
              <w:rPr>
                <w:rFonts w:ascii="Arial" w:cs="Arial" w:eastAsia="Arial" w:hAnsi="Arial"/>
                <w:sz w:val="11"/>
                <w:szCs w:val="11"/>
                <w:color w:val="auto"/>
              </w:rPr>
              <w:t>(5)</w:t>
            </w:r>
          </w:p>
        </w:tc>
        <w:tc>
          <w:tcPr>
            <w:tcW w:w="1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8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5/9/2023</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60" w:hanging="452"/>
        <w:spacing w:after="0" w:line="254"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accordance with our general release and post-separation consulting agreement with Ms. Morris, all of her options fully vested as of May 14, 2015. The outstanding options expire on January 14, 2017.</w:t>
      </w:r>
    </w:p>
    <w:p>
      <w:pPr>
        <w:jc w:val="both"/>
        <w:ind w:left="460" w:right="2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accordance with our general release and separation agreement with Dr. Goodenow, all of his unvested options were forfeited on June 5, 2015, his date of resignation. Of the 131,298 options exercisable as of December 31, 2014, 83,970 remain outstanding and exercisable as of June 30, 2015. The outstanding options expire on September 3, 2015.</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25% of this option vested on December 18, 2014, the grant date, and the remainder has vested or will vest in equal monthly installments on the last day of each month over a three-year period of continuous service following the grant date. This option is immediately exercisable. Shares of common stock issued upon exercise of an unvested option that has been “early exercised” are subject to the company’s right of repurchase within 90 days of termination of employment.</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25% of this option vested on September 15, 2014, the grant date, and the remainder has vested or will vest in equal monthly installments on the last day of each month over a three-year period of continuous service following the grant date. This option is immediately exercisable. Shares of common stock issued upon exercise of an unvested option that has been “early exercised” are subject to the company’s right of repurchase within 90 days of termination of employment.</w:t>
      </w:r>
    </w:p>
    <w:p>
      <w:pPr>
        <w:spacing w:after="0" w:line="1" w:lineRule="exact"/>
        <w:rPr>
          <w:rFonts w:ascii="Arial" w:cs="Arial" w:eastAsia="Arial" w:hAnsi="Arial"/>
          <w:sz w:val="18"/>
          <w:szCs w:val="18"/>
          <w:color w:val="auto"/>
        </w:rPr>
      </w:pPr>
    </w:p>
    <w:p>
      <w:pPr>
        <w:ind w:left="460" w:right="20" w:hanging="452"/>
        <w:spacing w:after="0" w:line="302" w:lineRule="auto"/>
        <w:tabs>
          <w:tab w:leader="none" w:pos="4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25% of this option vested on May 9, 2013, the grant date, and the remainder has vested or will vest in equal monthly installments over a three-year period of continuous service following the grant date. This option is immediately exercisable. Shares of common stock issued upon exercise of an unvested option that has been “early exercised” are subject to the company’s right of repurchase within 90 days of termination of employment.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Below are descriptions of our offer letters and severance arrangements with our former executive officers as well as new employment agreements with certain of our current executive officers.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Current Executive Officers</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b w:val="1"/>
          <w:bCs w:val="1"/>
          <w:color w:val="auto"/>
        </w:rPr>
        <w:t xml:space="preserve">Briggs W. Morrison, M.D. </w:t>
      </w:r>
      <w:r>
        <w:rPr>
          <w:rFonts w:ascii="Arial" w:cs="Arial" w:eastAsia="Arial" w:hAnsi="Arial"/>
          <w:sz w:val="15"/>
          <w:szCs w:val="15"/>
          <w:color w:val="auto"/>
        </w:rPr>
        <w:t>We entered into a new employment agreement with Dr. Morrison, M.D. that becomes effective on the date of effectiveness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registration statement of which this prospectus is a part. Dr. Morrison’s employment agreement provides for his at-will employment as our Chief Executive Officer. Dr. Morrison’s annual base salary is $501,000, which may be increased from time to time based on the review by our compensation committee. Upon the</w:t>
      </w:r>
    </w:p>
    <w:p>
      <w:pPr>
        <w:spacing w:after="0" w:line="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completion of this offering, Dr. Morrison’s annual base salary will be increased to $ . Dr. Morrison’s employment agreement further provides that he is eligible to earn an annual target performance bonus of up to % of his annual base salary upon attainment of objectives to be determined by our board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directors or our compensation committee, which bonus for the 2015 calendar year, if applicable, will be pro-rated based on Dr. Morrison’s start date with us.</w:t>
      </w:r>
    </w:p>
    <w:p>
      <w:pPr>
        <w:spacing w:after="0" w:line="32" w:lineRule="exact"/>
        <w:rPr>
          <w:sz w:val="20"/>
          <w:szCs w:val="20"/>
          <w:color w:val="auto"/>
        </w:rPr>
      </w:pPr>
    </w:p>
    <w:p>
      <w:pPr>
        <w:spacing w:after="0"/>
        <w:tabs>
          <w:tab w:leader="none" w:pos="7920" w:val="left"/>
        </w:tabs>
        <w:rPr>
          <w:sz w:val="20"/>
          <w:szCs w:val="20"/>
          <w:color w:val="auto"/>
        </w:rPr>
      </w:pPr>
      <w:r>
        <w:rPr>
          <w:rFonts w:ascii="Arial" w:cs="Arial" w:eastAsia="Arial" w:hAnsi="Arial"/>
          <w:sz w:val="16"/>
          <w:szCs w:val="16"/>
          <w:color w:val="auto"/>
        </w:rPr>
        <w:t>Upon the completion of this offering, Dr. Morrison will be eligible to receive a one-time bonus equal to $</w:t>
      </w:r>
      <w:r>
        <w:rPr>
          <w:sz w:val="20"/>
          <w:szCs w:val="20"/>
          <w:color w:val="auto"/>
        </w:rPr>
        <w:tab/>
      </w:r>
      <w:r>
        <w:rPr>
          <w:rFonts w:ascii="Arial" w:cs="Arial" w:eastAsia="Arial" w:hAnsi="Arial"/>
          <w:sz w:val="14"/>
          <w:szCs w:val="14"/>
          <w:color w:val="auto"/>
        </w:rPr>
        <w:t>.</w:t>
      </w:r>
    </w:p>
    <w:p>
      <w:pPr>
        <w:spacing w:after="0" w:line="188"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Pursuant to his employment agreement, Dr. Morrison also is entitled to reimbursement for all necessary and reasonable business expenses incurred in connection with his duties in accordance with our generally applicable policies. Additionally, we have agreed to reimburse, or pay for, all reasonable expenses incurred by Dr. Morrison in connection with commuting between our Waltham office and his current principal residence, including Dr. Morrison’s actual and reasonable living expenses incurred in the Waltham area and his current principal residence. If Dr. Morrison decides to relocate his residence to Waltham, we have agreed to pay Dr. Morrison for ordinary and necessary expenses incurred by him as a result of his relocation.</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Dr. Morrison’s employment agreement further provides that in the event his employment is terminated without “cause,” as defined in his employment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agreement, or he terminates his employment for “good reason,” as defined in his employment agreement, he is entitled to (i) a lump sum severance payment equal</w:t>
      </w:r>
    </w:p>
    <w:p>
      <w:pPr>
        <w:spacing w:after="0" w:line="4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to months base salary, (ii) a portion of his annual target performance bonus in effect as of the termination based on the number of days Dr. Morrison was employed in the year of termination, (iii) payment on his behalf of up to 12 months of health insurance benefits continuation, (iv) with respect to equity awards granted to Dr. Morrison prior to the date of his termination, accelerated vesting and the lapse of any reacquisition or repurchase rights we hold with respect to such equity awards for the portion of such equity awards that would have otherwise vested within the 12-month period following the date of Dr. Morrison’s termination of employment without cause or for good reason were he to remain employed with us during such 12-month period and (v) an extension on the time period during which Dr. Morrison has to exercise any options that are held by him on the date of his termination of employment to the shorter of (A) 12 months or</w:t>
      </w:r>
    </w:p>
    <w:p>
      <w:pPr>
        <w:spacing w:after="0" w:line="4" w:lineRule="exact"/>
        <w:rPr>
          <w:sz w:val="20"/>
          <w:szCs w:val="20"/>
          <w:color w:val="auto"/>
        </w:rPr>
      </w:pPr>
    </w:p>
    <w:p>
      <w:pPr>
        <w:jc w:val="both"/>
        <w:ind w:right="300" w:firstLine="8"/>
        <w:spacing w:after="0" w:line="300" w:lineRule="auto"/>
        <w:tabs>
          <w:tab w:leader="none" w:pos="278"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remaining term of the option. If Dr. Morrison’s employment is terminated without cause or he terminates his employment for good reason within three months prior to or 12 months after a “change in control,” as defined in his employment agreement, he is instead entitled to (a) a lump sum severance payment</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equal to the sum of months base salary and 100% of the greater of (1) the average annual target performance bonus paid to him for the preceding three years or (2) his annual target performance bonus in effect as of the change in control, (b) payment on his behalf of up to 12 months of health insurance benefits continuation and (c) full accelerated vesting on all of his unvested options and the lapse of any reacquisition or repurchase rights we hold with respect to any other equity award granted to him pursuant to any of our equity incentive plans and (d) an extension on the time period during which Dr. Morrison has to exercise any options that are held by him on the date of his termination of employment to the shorter of (A) 12 months or (B) the remaining term of the option. In order to receive his severance benefits, Dr. Morrison must sign a general release of claims. Dr. Morrison’s employment agreement further provides that upon a “change in control,” as defined in his employment agreement, with an aggregate purchase price of at least $640 million, Dr. Morrison will be eligible to receive an additional one-time bonus equal to his then current annual base salary.</w:t>
      </w:r>
    </w:p>
    <w:p>
      <w:pPr>
        <w:spacing w:after="0" w:line="124"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In addition, Dr. Morrison’s employment agreement provides that in the event the severance and other benefits provided for or otherwise payable to</w:t>
      </w:r>
    </w:p>
    <w:p>
      <w:pPr>
        <w:spacing w:after="0" w:line="3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Dr. Morrison constitute “parachute payments” within the meaning of Section 280G of the Code and are subject to the excise tax imposed by Section 4999 of the Code, we will pay either (i) Dr. Morrison’s severance benefits under the employment agreement in full or (ii) only a part of Dr. Morrison’s severance benefits under the employment agreement such that Dr. Morrison receives the largest payment possible without the imposition of the excise tax, in each case, depending upon which alternative would result in Dr. Morrison receiving the greater net after-tax payment.</w:t>
      </w:r>
    </w:p>
    <w:p>
      <w:pPr>
        <w:spacing w:after="0" w:line="109" w:lineRule="exact"/>
        <w:rPr>
          <w:sz w:val="20"/>
          <w:szCs w:val="20"/>
          <w:color w:val="auto"/>
        </w:rPr>
      </w:pPr>
    </w:p>
    <w:p>
      <w:pPr>
        <w:ind w:right="40" w:firstLine="456"/>
        <w:spacing w:after="0" w:line="306" w:lineRule="auto"/>
        <w:rPr>
          <w:sz w:val="20"/>
          <w:szCs w:val="20"/>
          <w:color w:val="auto"/>
        </w:rPr>
      </w:pPr>
      <w:r>
        <w:rPr>
          <w:rFonts w:ascii="Arial" w:cs="Arial" w:eastAsia="Arial" w:hAnsi="Arial"/>
          <w:sz w:val="15"/>
          <w:szCs w:val="15"/>
          <w:b w:val="1"/>
          <w:bCs w:val="1"/>
          <w:color w:val="auto"/>
        </w:rPr>
        <w:t xml:space="preserve">Michael A. Metzger. </w:t>
      </w:r>
      <w:r>
        <w:rPr>
          <w:rFonts w:ascii="Arial" w:cs="Arial" w:eastAsia="Arial" w:hAnsi="Arial"/>
          <w:sz w:val="15"/>
          <w:szCs w:val="15"/>
          <w:color w:val="auto"/>
        </w:rPr>
        <w:t>We entered into a new employment agreement Michael A. Metzger that becomes effective on the date of effectiveness of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registration statement of which this prospectus is a part. Mr. Metzger’s employment agreement provides for his at-will employment as our President and Chief Operating Officer. Mr. Metzger’s annual base salary is $450,000, which may be increased from time to time based on the review by our compensation committee.</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Upon the completion of this offering, Mr. Metzger’s annual base salary will be increased to $ . Mr. Metzger’s employment agreement further provides that he is eligible to earn an annual target performance bonus of up to % of his annual base salary upon attainment of objectives to be determined by our board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directors or our compensation committee, which bonus for the 2015 calendar year, if applicable, will be pro-rated based on Mr. Metzger’s start date with us. Upon</w:t>
      </w:r>
    </w:p>
    <w:p>
      <w:pPr>
        <w:spacing w:after="0" w:line="394" w:lineRule="exact"/>
        <w:rPr>
          <w:sz w:val="20"/>
          <w:szCs w:val="20"/>
          <w:color w:val="auto"/>
        </w:rPr>
      </w:pPr>
    </w:p>
    <w:p>
      <w:pPr>
        <w:spacing w:after="0"/>
        <w:tabs>
          <w:tab w:leader="none" w:pos="7440" w:val="left"/>
        </w:tabs>
        <w:rPr>
          <w:sz w:val="20"/>
          <w:szCs w:val="20"/>
          <w:color w:val="auto"/>
        </w:rPr>
      </w:pPr>
      <w:r>
        <w:rPr>
          <w:rFonts w:ascii="Arial" w:cs="Arial" w:eastAsia="Arial" w:hAnsi="Arial"/>
          <w:sz w:val="16"/>
          <w:szCs w:val="16"/>
          <w:color w:val="auto"/>
        </w:rPr>
        <w:t>the completion of this offering, Mr. Metzger will be eligible to receive a one-time bonus equal to $</w:t>
      </w:r>
      <w:r>
        <w:rPr>
          <w:sz w:val="20"/>
          <w:szCs w:val="20"/>
          <w:color w:val="auto"/>
        </w:rPr>
        <w:tab/>
      </w:r>
      <w:r>
        <w:rPr>
          <w:rFonts w:ascii="Arial" w:cs="Arial" w:eastAsia="Arial" w:hAnsi="Arial"/>
          <w:sz w:val="14"/>
          <w:szCs w:val="14"/>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Pursuant to his employment agreement, Mr. Metzger also is entitled to reimbursement for all necessary and reasonable business expenses incurred in connection with his duties in accordance with our generally applicable policies. Additionally, we have agreed to reimburse, or pay for, all reasonable expenses incurred by Mr. Metzger in connection with commuting between our Waltham office and his current principal residence, including Mr. Metzger’s actual and reasonable living expenses incurred in the Waltham area and his current principal residence. If Mr. Metzger decides to relocate his residence to Waltham, we have</w:t>
      </w:r>
    </w:p>
    <w:p>
      <w:pPr>
        <w:spacing w:after="0" w:line="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agreed to pay Mr. Metzger up to $</w:t>
      </w:r>
      <w:r>
        <w:rPr>
          <w:sz w:val="20"/>
          <w:szCs w:val="20"/>
          <w:color w:val="auto"/>
        </w:rPr>
        <w:tab/>
      </w:r>
      <w:r>
        <w:rPr>
          <w:rFonts w:ascii="Arial" w:cs="Arial" w:eastAsia="Arial" w:hAnsi="Arial"/>
          <w:sz w:val="15"/>
          <w:szCs w:val="15"/>
          <w:color w:val="auto"/>
        </w:rPr>
        <w:t>for ordinary and necessary expenses incurred by him as a result of his relocation.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Mr. Metzger’s employment agreement further provides that in the event his employment is terminated without “cause,” as defined in his employment</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agreement, or he terminates his employment for “good reason,” as defined in his employment agreement, he is entitled to (i) a lump sum severance payment equal</w:t>
      </w:r>
    </w:p>
    <w:p>
      <w:pPr>
        <w:spacing w:after="0" w:line="44"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to months base salary, (ii) a portion of his annual target performance bonus in effect as of the termination based on the number of days Mr. Metzger was employed in the year of termination, (iii) payment on his behalf of up to 12 months of health insurance benefits continuation, (iv) with respect to equity awards granted to Mr. Metzger prior to the date of his termination, accelerated vesting and the lapse of any reacquisition or repurchase rights we hold with respect to such equity awards for the portion of such equity awards that would have otherwise vested within the 12-month period following the date of Mr. Metzger’s termination of employment without cause or for good reason were he to remain employed with us during such 12-month period and (v) an extension on the time period during which Mr. Metzger has to exercise any options that are held by him on the date of his termination of employment to the shorter of (A) 12 months or (B) the remaining term of the option. If Mr. Metzger’s employment is terminated without cause or he terminates his employment for good reason within three months prior to or 12 months after a “change in control,” as defined in his employment agreement, he is instead entitled to (a) a lump sum severance payment equal to the</w:t>
      </w:r>
    </w:p>
    <w:p>
      <w:pPr>
        <w:spacing w:after="0" w:line="4" w:lineRule="exact"/>
        <w:rPr>
          <w:sz w:val="20"/>
          <w:szCs w:val="20"/>
          <w:color w:val="auto"/>
        </w:rPr>
      </w:pPr>
    </w:p>
    <w:p>
      <w:pPr>
        <w:ind w:right="120"/>
        <w:spacing w:after="0" w:line="300" w:lineRule="auto"/>
        <w:rPr>
          <w:sz w:val="20"/>
          <w:szCs w:val="20"/>
          <w:color w:val="auto"/>
        </w:rPr>
      </w:pPr>
      <w:r>
        <w:rPr>
          <w:rFonts w:ascii="Arial" w:cs="Arial" w:eastAsia="Arial" w:hAnsi="Arial"/>
          <w:sz w:val="15"/>
          <w:szCs w:val="15"/>
          <w:color w:val="auto"/>
        </w:rPr>
        <w:t>sum of months base salary and 100% of the greater of (1) the average annual target performance bonus paid to him for the preceding three years or (2) his annual target performance bonus in effect as of the change in control, (b) payment on his behalf of up to 12 months of health insurance benefits continuation and</w:t>
      </w:r>
    </w:p>
    <w:p>
      <w:pPr>
        <w:spacing w:after="0" w:line="1" w:lineRule="exact"/>
        <w:rPr>
          <w:sz w:val="20"/>
          <w:szCs w:val="20"/>
          <w:color w:val="auto"/>
        </w:rPr>
      </w:pPr>
    </w:p>
    <w:p>
      <w:pPr>
        <w:ind w:left="240" w:hanging="232"/>
        <w:spacing w:after="0"/>
        <w:tabs>
          <w:tab w:leader="none" w:pos="2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full accelerated vesting on all of his unvested options and the lapse of any reacquisition or repurchase rights we hold with respect to any other equity award</w:t>
      </w:r>
    </w:p>
    <w:p>
      <w:pPr>
        <w:spacing w:after="0" w:line="32" w:lineRule="exact"/>
        <w:rPr>
          <w:rFonts w:ascii="Arial" w:cs="Arial" w:eastAsia="Arial" w:hAnsi="Arial"/>
          <w:sz w:val="16"/>
          <w:szCs w:val="16"/>
          <w:color w:val="auto"/>
        </w:rPr>
      </w:pPr>
    </w:p>
    <w:p>
      <w:pPr>
        <w:ind w:right="20"/>
        <w:spacing w:after="0" w:line="253" w:lineRule="auto"/>
        <w:rPr>
          <w:rFonts w:ascii="Arial" w:cs="Arial" w:eastAsia="Arial" w:hAnsi="Arial"/>
          <w:sz w:val="16"/>
          <w:szCs w:val="16"/>
          <w:color w:val="auto"/>
        </w:rPr>
      </w:pPr>
      <w:r>
        <w:rPr>
          <w:rFonts w:ascii="Arial" w:cs="Arial" w:eastAsia="Arial" w:hAnsi="Arial"/>
          <w:sz w:val="18"/>
          <w:szCs w:val="18"/>
          <w:color w:val="auto"/>
        </w:rPr>
        <w:t>granted to him pursuant to any of our equity incentive plans and (d) an extension on the time period during which Mr. Metzger has to exercise any options that are held by him on the date of his termination of employment to the shorter of (A) 12 months or (B) the remaining term of the option. In order to receive his severance benefits, Mr. Metzger must sign a general release of claims. Mr. Metzger’s employment agreement further provides that upon a “change in control,” as defined in his employment agreement, with an aggregate purchase price of at least $640 million, Mr. Metzger will be eligible to receive an additional one-time bonus equal to his then current annual base salary.</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Metzger employment agreement provides that in the event the severance and other benefits provided for or otherwise payable to</w:t>
      </w:r>
    </w:p>
    <w:p>
      <w:pPr>
        <w:spacing w:after="0" w:line="38"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Mr. Metzger constitute “parachute payments” within the meaning of Section 280G of the Code and are subject to the excise tax imposed by Section 4999 of the Code, we will pay either (i) Mr. Metzger’s severance benefits under the employment agreement in full or (ii) only a part of Mr. Metzger’s severance benefits under the employment agreement such that Mr. Metzger receives the largest payment possible without the imposition of the excise tax, in each case, depending upon which alternative would result in Mr. Metzger receiving the greater net after-tax payment.</w:t>
      </w:r>
    </w:p>
    <w:p>
      <w:pPr>
        <w:spacing w:after="0" w:line="109" w:lineRule="exact"/>
        <w:rPr>
          <w:sz w:val="20"/>
          <w:szCs w:val="20"/>
          <w:color w:val="auto"/>
        </w:rPr>
      </w:pPr>
    </w:p>
    <w:p>
      <w:pPr>
        <w:ind w:right="900" w:firstLine="456"/>
        <w:spacing w:after="0" w:line="275" w:lineRule="auto"/>
        <w:rPr>
          <w:sz w:val="20"/>
          <w:szCs w:val="20"/>
          <w:color w:val="auto"/>
        </w:rPr>
      </w:pPr>
      <w:r>
        <w:rPr>
          <w:rFonts w:ascii="Arial" w:cs="Arial" w:eastAsia="Arial" w:hAnsi="Arial"/>
          <w:sz w:val="18"/>
          <w:szCs w:val="18"/>
          <w:b w:val="1"/>
          <w:bCs w:val="1"/>
          <w:color w:val="auto"/>
        </w:rPr>
        <w:t xml:space="preserve">Michael L. Meyers, M.D., Ph.D. </w:t>
      </w:r>
      <w:r>
        <w:rPr>
          <w:rFonts w:ascii="Arial" w:cs="Arial" w:eastAsia="Arial" w:hAnsi="Arial"/>
          <w:sz w:val="18"/>
          <w:szCs w:val="18"/>
          <w:color w:val="auto"/>
        </w:rPr>
        <w:t>We entered into a new employment agreement with Michael L. Meyers that becomes effective on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effectiveness of the registration statement of which this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prospectus is a part. Dr. Meyers’ employment agreement provides for his at-will employment as our Senior Vice President, Chief Development Officer. Pursuant</w:t>
      </w:r>
    </w:p>
    <w:p>
      <w:pPr>
        <w:sectPr>
          <w:pgSz w:w="11900" w:h="16838" w:orient="portrait"/>
          <w:cols w:equalWidth="0" w:num="1">
            <w:col w:w="11400"/>
          </w:cols>
          <w:pgMar w:left="240" w:top="459" w:right="259" w:bottom="1440" w:gutter="0" w:footer="0" w:header="0"/>
        </w:sectPr>
      </w:pP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to Dr. Meyers’ employment agreement, Dr. Meyers’ annual base salary is $ , and may be increased from time to time based on the review of our compensation committee. Dr. Meyers’ employment agreement further provides that he is eligible to earn an annual target performance bonus of up to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of</w:t>
      </w:r>
    </w:p>
    <w:p>
      <w:pPr>
        <w:spacing w:after="0" w:line="38" w:lineRule="exact"/>
        <w:rPr>
          <w:sz w:val="20"/>
          <w:szCs w:val="20"/>
          <w:color w:val="auto"/>
        </w:rPr>
      </w:pPr>
    </w:p>
    <w:p>
      <w:pPr>
        <w:sectPr>
          <w:pgSz w:w="11900" w:h="16838" w:orient="portrait"/>
          <w:cols w:equalWidth="0" w:num="2">
            <w:col w:w="10600" w:space="280"/>
            <w:col w:w="520"/>
          </w:cols>
          <w:pgMar w:left="240" w:top="459" w:right="259" w:bottom="1440" w:gutter="0" w:footer="0" w:header="0"/>
          <w:type w:val="continuous"/>
        </w:sectPr>
      </w:pPr>
    </w:p>
    <w:p>
      <w:pPr>
        <w:ind w:right="560"/>
        <w:spacing w:after="0" w:line="302" w:lineRule="auto"/>
        <w:rPr>
          <w:sz w:val="20"/>
          <w:szCs w:val="20"/>
          <w:color w:val="auto"/>
        </w:rPr>
      </w:pPr>
      <w:r>
        <w:rPr>
          <w:rFonts w:ascii="Arial" w:cs="Arial" w:eastAsia="Arial" w:hAnsi="Arial"/>
          <w:sz w:val="16"/>
          <w:szCs w:val="16"/>
          <w:color w:val="auto"/>
        </w:rPr>
        <w:t>his annual base salary upon attainment of objectives to be determined by our board of directors or our compensation committee, which bonus for the 2015 calendar year, if applicable, will be pro-rated based on Dr. Meyers’ start date with us. Dr. Meyers also is entitled to reimbursement for all necessary and reasonable business expenses incurred in connection with his duties in accordance with our generally applicable policies.</w:t>
      </w:r>
    </w:p>
    <w:p>
      <w:pPr>
        <w:spacing w:after="0" w:line="109"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Dr. Meyers’ employment agreement further provides that in the event his employment is terminated without “cause,” as defined in his employment agreement, or he terminates his employment for “good reason,” as defined in his employment agreement, he is entitled to (i) a lump sum severance payment equal</w:t>
      </w:r>
    </w:p>
    <w:p>
      <w:pPr>
        <w:ind w:right="80"/>
        <w:spacing w:after="0" w:line="281" w:lineRule="auto"/>
        <w:rPr>
          <w:sz w:val="20"/>
          <w:szCs w:val="20"/>
          <w:color w:val="auto"/>
        </w:rPr>
      </w:pPr>
      <w:r>
        <w:rPr>
          <w:rFonts w:ascii="Arial" w:cs="Arial" w:eastAsia="Arial" w:hAnsi="Arial"/>
          <w:sz w:val="16"/>
          <w:szCs w:val="16"/>
          <w:color w:val="auto"/>
        </w:rPr>
        <w:t>to months base salary and (ii) payment on his behalf of up to 12 months of health insurance benefits continuation. If Dr. Meyers’ employment is terminated without cause or he terminates his employment for good reason within three months prior to or months after a “change in control” of us, as defined in his employment agreement, he is instead entitled to (a) a lump sum severance payment equal to the sum of months base salary and 100% of the greater of</w:t>
      </w:r>
    </w:p>
    <w:p>
      <w:pPr>
        <w:spacing w:after="0" w:line="2" w:lineRule="exact"/>
        <w:rPr>
          <w:sz w:val="20"/>
          <w:szCs w:val="20"/>
          <w:color w:val="auto"/>
        </w:rPr>
      </w:pPr>
    </w:p>
    <w:p>
      <w:pPr>
        <w:jc w:val="both"/>
        <w:ind w:right="80" w:firstLine="8"/>
        <w:spacing w:after="0" w:line="295" w:lineRule="auto"/>
        <w:tabs>
          <w:tab w:leader="none" w:pos="249"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average annual target performance bonus paid to him for the preceding three years or (2) his annual target performance bonus in effect as of the change in control, (b) payment on his behalf of up to 12 months of health insurance benefits continuation and (c) full accelerated vesting on all of his unvested options and the lapse of any reacquisition or repurchase rights we hold with respect to any other equity award granted to him pursuant to any of our equity incentive plans. In order to receive his severance benefits, Dr. Meyers must sign a general release of claims.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Dr. Meyers’ employment agreement provides that in the event the severance and other benefits provided for or otherwise payable to</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Dr. Meyers’ constitute “parachute payments” within the meaning of Section 280G of the Code and are subject to the excise tax imposed by Section 4999 of the Code, we will pay either (i) Dr. Meyers’ severance benefits under the employment agreement in full or (ii) only a part of Dr. Meyers’ severance benefits under the employment agreement such that Dr. Meyers receives the largest payment possible without the imposition of the excise tax, in each case, depending upon which alternative would result in Dr. Meyers receiving the greater net after-tax payment.</w:t>
      </w:r>
    </w:p>
    <w:p>
      <w:pPr>
        <w:spacing w:after="0" w:line="109" w:lineRule="exact"/>
        <w:rPr>
          <w:sz w:val="20"/>
          <w:szCs w:val="20"/>
          <w:color w:val="auto"/>
        </w:rPr>
      </w:pPr>
    </w:p>
    <w:p>
      <w:pPr>
        <w:ind w:right="180" w:firstLine="456"/>
        <w:spacing w:after="0" w:line="309" w:lineRule="auto"/>
        <w:rPr>
          <w:sz w:val="20"/>
          <w:szCs w:val="20"/>
          <w:color w:val="auto"/>
        </w:rPr>
      </w:pPr>
      <w:r>
        <w:rPr>
          <w:rFonts w:ascii="Arial" w:cs="Arial" w:eastAsia="Arial" w:hAnsi="Arial"/>
          <w:sz w:val="15"/>
          <w:szCs w:val="15"/>
          <w:b w:val="1"/>
          <w:bCs w:val="1"/>
          <w:color w:val="auto"/>
        </w:rPr>
        <w:t>John S. Pallies</w:t>
      </w:r>
      <w:r>
        <w:rPr>
          <w:rFonts w:ascii="Arial" w:cs="Arial" w:eastAsia="Arial" w:hAnsi="Arial"/>
          <w:sz w:val="15"/>
          <w:szCs w:val="15"/>
          <w:i w:val="1"/>
          <w:i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We entered into a new employment agreement with John S. Pallies that becomes effective on the date of effectiveness of the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of which this prospectus is a part. Mr. Pallies’ employment agreement provides for his at-will employment as our Chief Financial Officer. Pursuant to</w:t>
      </w:r>
    </w:p>
    <w:p>
      <w:pPr>
        <w:spacing w:after="0"/>
        <w:tabs>
          <w:tab w:leader="none" w:pos="5560" w:val="left"/>
        </w:tabs>
        <w:rPr>
          <w:sz w:val="20"/>
          <w:szCs w:val="20"/>
          <w:color w:val="auto"/>
        </w:rPr>
      </w:pPr>
      <w:r>
        <w:rPr>
          <w:rFonts w:ascii="Arial" w:cs="Arial" w:eastAsia="Arial" w:hAnsi="Arial"/>
          <w:sz w:val="18"/>
          <w:szCs w:val="18"/>
          <w:color w:val="auto"/>
        </w:rPr>
        <w:t>Mr. Pallies’ employment agreement, Mr. Pallies’ annual base salary is $</w:t>
      </w:r>
      <w:r>
        <w:rPr>
          <w:sz w:val="20"/>
          <w:szCs w:val="20"/>
          <w:color w:val="auto"/>
        </w:rPr>
        <w:tab/>
      </w:r>
      <w:r>
        <w:rPr>
          <w:rFonts w:ascii="Arial" w:cs="Arial" w:eastAsia="Arial" w:hAnsi="Arial"/>
          <w:sz w:val="15"/>
          <w:szCs w:val="15"/>
          <w:color w:val="auto"/>
        </w:rPr>
        <w:t>, and may be increased or decreased from time to time based on the review of our</w:t>
      </w:r>
    </w:p>
    <w:p>
      <w:pPr>
        <w:spacing w:after="0" w:line="9" w:lineRule="exact"/>
        <w:rPr>
          <w:sz w:val="20"/>
          <w:szCs w:val="20"/>
          <w:color w:val="auto"/>
        </w:rPr>
      </w:pPr>
    </w:p>
    <w:p>
      <w:pPr>
        <w:ind w:right="200"/>
        <w:spacing w:after="0" w:line="331" w:lineRule="auto"/>
        <w:rPr>
          <w:sz w:val="20"/>
          <w:szCs w:val="20"/>
          <w:color w:val="auto"/>
        </w:rPr>
      </w:pPr>
      <w:r>
        <w:rPr>
          <w:rFonts w:ascii="Arial" w:cs="Arial" w:eastAsia="Arial" w:hAnsi="Arial"/>
          <w:sz w:val="15"/>
          <w:szCs w:val="15"/>
          <w:color w:val="auto"/>
        </w:rPr>
        <w:t>compensation committee. Mr. Pallies’ employment agreement further provides that he is eligible to earn an annual target performance bonus of up to % of his annual base salary upon attainment of objectives to be determined by our board of directors or our compensation committee. Mr. Pallies also is entitled to reimbursement for all necessary and reasonable business expenses incurred in connection with his duties in accordance with our generally applicable policies.</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Mr. Pallies’ employment agreement further provides that in the event his employment is terminated without “cause,” as defined in his employment agreement, or he terminates his employment for “good reason,” as defined in his employment agreement, he is entitled to (i) a lump sum severance payment equal</w:t>
      </w:r>
    </w:p>
    <w:p>
      <w:pPr>
        <w:spacing w:after="0"/>
        <w:tabs>
          <w:tab w:leader="none" w:pos="5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months base salary and (ii) payment on his behalf of up to 12 months of health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59" w:right="25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insurance benefits continuation. If Mr. Pallies’ employment is terminated without cause or he terminates his employment for good reason within three months</w:t>
      </w:r>
    </w:p>
    <w:p>
      <w:pPr>
        <w:spacing w:after="0" w:line="3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prior to or months after a “change in control” of us, as defined in his employment agreement, he is instead entitled to (a) a lump sum severance payment equal to the sum of months base salary and 100% of the greater of (1) the average annual target performance bonus paid to him for the preceding three years</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or (2) his annual target performance bonus in effect as of the change in control, (b) payment on his behalf of up to 12 months of health insurance benefits continuation and (c) full accelerated vesting on all of his unvested options and the lapse of any reacquisition or repurchase rights we hold with respect to any other equity award granted to him pursuant to any of our equity incentive plans. In order to receive his severance benefits, Mr. Pallies must sign a general release of claims.</w:t>
      </w:r>
    </w:p>
    <w:p>
      <w:pPr>
        <w:spacing w:after="0" w:line="14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Mr. Pallies’ employment agreement provides that in the event the severance and other benefits provided for or otherwise payable to Mr. Pallies constitute “parachute payments” within the meaning of Section 280G of the Code and are subject to the excise tax imposed by Section 4999 of the Code, we will pay either (i) Mr. Pallies’ severance benefits under the employment agreement in full or (ii) only a part of Mr. Pallies’ severance benefits under the employment agreement such that Mr. Pallies receives the largest payment possible without the imposition of the excise tax, in each case, depending upon which alternative would result in Mr. Pallies receiving the greater net after-tax payment.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Former Executive Officers</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color w:val="auto"/>
        </w:rPr>
        <w:t xml:space="preserve">Arlene M. Morris. </w:t>
      </w:r>
      <w:r>
        <w:rPr>
          <w:rFonts w:ascii="Arial" w:cs="Arial" w:eastAsia="Arial" w:hAnsi="Arial"/>
          <w:sz w:val="16"/>
          <w:szCs w:val="16"/>
          <w:color w:val="auto"/>
        </w:rPr>
        <w:t>We entered into an offer letter with Ms. Morris, our former President and Chief Executive Officer, in May 2012, which governed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her at-will employment with us prior to her resignation in May 2015. Pursuant to the offer letter, Ms. Morris was entitled to an annual base salary of $400,000, which increased to $424,360 in 2014, and was eligible to receive an annual target performance bonus of up to 40% of her annual base salary upon attainment of objectives to be determined by our board of directors. Ms. Morris was entitled to reimbursement for all necessary and reasonable business expenses incurred in connection with her duties in accordance with our generally applicable policies. Additionally, we agreed to reimburse, or pay for, all reasonable expenses incurred by Ms. Morris in connection with commuting between our Waltham office and her current principal residence, including Ms. Morris’s actual and reasonable living expenses incurred in the Boston area and her actual and reasonable commuting expenses incurred between Waltham and her current principal residence, up to a maximum of $10,000 per month.</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her resignation in May 2015, Ms. Morris entered into a general release and post-separation consulting agreement in May 2015. Pursuant to Ms. Morris’ general release and post-separation consulting agreement and in consideration of providing us with consulting services through July 13, 2015, Ms. Morris received a consulting fee of approximately $36,425 per month for two months. Additionally, pursuant to Ms. Morris’ separation agreement and post-separation consulting agreement (a) Ms. Morris received a lump sum payment equal to $437,090, which was an amount equal to 12 months of Ms. Morris’ monthly base salary on the date of her termination, 60 days after her termination date, (b) Ms. Morris is entitled to receive a payment on her behalf of up to 12 months of health insurance benefits continuation, (c) all unvested options held by Ms. Morris on her termination date fully vested and Ms. Morris has the right to exercise such options until and including January 13, 2017, (d) Ms. Morris is entitled to receive a lump sum bonus of $100,000 as a result of the closing of the Series C-1 financing, to be determined at the discretion of our board of directors and (e) if this offering is completed on or prior to December 31, 2015, Ms. Morris will receive a lump sum bonus of $75,000</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after the completion of this offering. Ms. Morris also received $5,038 reimbursement of her legal fees incurred in connection with the negotiation of her separation agreement and post-separation consulting agreement.</w:t>
      </w:r>
    </w:p>
    <w:p>
      <w:pPr>
        <w:spacing w:after="0" w:line="12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Robert S. Goodenow, Ph.D. </w:t>
      </w:r>
      <w:r>
        <w:rPr>
          <w:rFonts w:ascii="Arial" w:cs="Arial" w:eastAsia="Arial" w:hAnsi="Arial"/>
          <w:sz w:val="18"/>
          <w:szCs w:val="18"/>
          <w:color w:val="auto"/>
        </w:rPr>
        <w:t>We entered into an offer letter with Dr. Goodenow, our former Chief Business Officer, in March 2007, as amended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2012, which governed the terms of his at-will employment with us prior to his resignation in June 2015. Pursuant to the offer letter, Dr. Goodenow was entitled to an annual base salary of $275,000, which increased to $329,518 in 2014, and was eligible to receive an annual target performance bonus of up to 20% of his annual base salary upon attainment of milestones to be mutually determined by our chief executive officer and Dr. Goodenow. Dr. Goodenow was entitled to reimbursement for all necessary and reasonable out of pocket expenses incurred in connection with his duties in accordance with our generally applicable policies.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connection with his resignation in June 2015, Dr. Goodenow entered into a general release and separation agreement in June 2015. Pursuant to</w:t>
      </w:r>
    </w:p>
    <w:p>
      <w:pPr>
        <w:spacing w:after="0" w:line="38"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color w:val="auto"/>
        </w:rPr>
        <w:t>Dr. Goodenow’s general release and separation agreement, Dr. Goodenow received a lump sum payment equal to $141,417, which was an amount equal to five months of Dr. Goodenow’s monthly base salary on the date of his termination. In connection with Dr. Goodenow’s resignation, his unvested options to purchase 47,328 shares of our common stock were forfeited. Dr. Goodenow has until September 3, 2015 to exercise his 83,970 vested options.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named executive officers are eligible to participate in all of our employee benefit plans, such as medical, dental, vision, group life, short and long-term disability and our 401(k) plan, in each case on the same basis as other employees, subject to applicable laws. We also provide vacation and other paid holidays to all employees, including our named executive officers. We believe these benefits are important to attracting and retaining experienced executives. Like many private companies, we do not currently provide perquisites to our executive officers, given our attention to the cost-benefit tradeoff of such benefits, and our board of directors’ knowledge of the benefit offerings at other private companies.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71" w:lineRule="exact"/>
        <w:rPr>
          <w:sz w:val="20"/>
          <w:szCs w:val="20"/>
          <w:color w:val="auto"/>
        </w:rPr>
      </w:pPr>
    </w:p>
    <w:p>
      <w:pPr>
        <w:ind w:right="260" w:firstLine="456"/>
        <w:spacing w:after="0" w:line="254" w:lineRule="auto"/>
        <w:rPr>
          <w:sz w:val="20"/>
          <w:szCs w:val="20"/>
          <w:color w:val="auto"/>
        </w:rPr>
      </w:pPr>
      <w:r>
        <w:rPr>
          <w:rFonts w:ascii="Arial" w:cs="Arial" w:eastAsia="Arial" w:hAnsi="Arial"/>
          <w:sz w:val="18"/>
          <w:szCs w:val="18"/>
          <w:color w:val="auto"/>
        </w:rPr>
        <w:t>Section 162(m) of the Code generally disallows a tax deduction for compensation in excess of $1.0 million paid to our Chief Executive Officer and our three other most highly paid executive officers other than our principal financial officer. Qualifying performance-based compensation is not subject to the deduction limitation if specified requirements are met. We generally intend to structure the performance-based portion of our executive compensation, when feasible, to comply with exemptions in Section 162(m) so that the compensation remains tax deductible to us. However, our board of directors may, in its judgment, authorize compensation payments that do not comply with the exemptions in Section 162(m) when it believes that such payments are appropriate to attract and retain executive talent.</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compensation committee also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addition, we account for equity compensation paid to our employees in accordance with ASC 718, which requires us to estimate and record an expense over the service period of the award. We record cash compensation as an expense at the time the obligation is accrued. The accounting impact of our compensation programs is one of many factors that we consider in determining the size and structure of our programs.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Benefit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Omnibus Incentive Plan</w:t>
      </w:r>
    </w:p>
    <w:p>
      <w:pPr>
        <w:spacing w:after="0" w:line="171" w:lineRule="exact"/>
        <w:rPr>
          <w:sz w:val="20"/>
          <w:szCs w:val="20"/>
          <w:color w:val="auto"/>
        </w:rPr>
      </w:pPr>
    </w:p>
    <w:p>
      <w:pPr>
        <w:ind w:left="460"/>
        <w:spacing w:after="0"/>
        <w:tabs>
          <w:tab w:leader="none" w:pos="4720" w:val="left"/>
          <w:tab w:leader="none" w:pos="9520" w:val="left"/>
        </w:tabs>
        <w:rPr>
          <w:sz w:val="20"/>
          <w:szCs w:val="20"/>
          <w:color w:val="auto"/>
        </w:rPr>
      </w:pPr>
      <w:r>
        <w:rPr>
          <w:rFonts w:ascii="Arial" w:cs="Arial" w:eastAsia="Arial" w:hAnsi="Arial"/>
          <w:sz w:val="18"/>
          <w:szCs w:val="18"/>
          <w:color w:val="auto"/>
        </w:rPr>
        <w:t>Our board of directors adopted the 2015 Plan in</w:t>
      </w:r>
      <w:r>
        <w:rPr>
          <w:sz w:val="20"/>
          <w:szCs w:val="20"/>
          <w:color w:val="auto"/>
        </w:rPr>
        <w:tab/>
      </w:r>
      <w:r>
        <w:rPr>
          <w:rFonts w:ascii="Arial" w:cs="Arial" w:eastAsia="Arial" w:hAnsi="Arial"/>
          <w:sz w:val="18"/>
          <w:szCs w:val="18"/>
          <w:color w:val="auto"/>
        </w:rPr>
        <w:t>, 2015, and our stockholders approved the 2015 Plan in</w:t>
      </w:r>
      <w:r>
        <w:rPr>
          <w:sz w:val="20"/>
          <w:szCs w:val="20"/>
          <w:color w:val="auto"/>
        </w:rPr>
        <w:tab/>
      </w:r>
      <w:r>
        <w:rPr>
          <w:rFonts w:ascii="Arial" w:cs="Arial" w:eastAsia="Arial" w:hAnsi="Arial"/>
          <w:sz w:val="15"/>
          <w:szCs w:val="15"/>
          <w:color w:val="auto"/>
        </w:rPr>
        <w:t>, 2015. We believe</w:t>
      </w:r>
    </w:p>
    <w:p>
      <w:pPr>
        <w:spacing w:after="0" w:line="15" w:lineRule="exact"/>
        <w:rPr>
          <w:sz w:val="20"/>
          <w:szCs w:val="20"/>
          <w:color w:val="auto"/>
        </w:rPr>
      </w:pPr>
    </w:p>
    <w:p>
      <w:pPr>
        <w:ind w:right="60"/>
        <w:spacing w:after="0" w:line="300" w:lineRule="auto"/>
        <w:rPr>
          <w:sz w:val="20"/>
          <w:szCs w:val="20"/>
          <w:color w:val="auto"/>
        </w:rPr>
      </w:pPr>
      <w:r>
        <w:rPr>
          <w:rFonts w:ascii="Arial" w:cs="Arial" w:eastAsia="Arial" w:hAnsi="Arial"/>
          <w:sz w:val="15"/>
          <w:szCs w:val="15"/>
          <w:color w:val="auto"/>
        </w:rPr>
        <w:t>adoption and maintenance of the 2015 Plan will help us attract and retain executive officers, other employees and service providers, as well as our non-employee directors. We believe that awarding grants to our executive officers and others will stimulate their efforts toward our continued success, long-term growth and profitability. The 2015 Plan will provide for the grant of stock options, stock appreciation rights, restricted stock, unrestricted stock, stock units, dividend</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equivalent rights, other equity-based awards and cash bonus awards. We will reserve shares of common stock (which includes 543,502 shares reserved for issuance under our 2007 Plan as of June 30, 2015) for issuance pursuant to the 2015 Plan, subject to certain adjustments set forth in the 2015 Plan. Any shares of common stock related to awards outstanding under the 2007 Plan upon completion of this offering, which thereafter terminate by expiration, forfeiture, cancellation or otherwise without the issuance of such shares will be added to, and included in, the 2015 Plan reserve amount. In addition, effective January 1, 2017 and continuing until the expiration of the 2015 Plan, the number of shares of common stock available for issuance under the 2015 Plan will automatically increase annually by 4% of the total number of issued and outstanding shares of our common stock as of December 31 of the immediately preceding year, or such lesser number of shares (which may be zero) as determined in the discretion of our board of directors by action taken prior to the beginning of that calendar year. This summary is qualified in its entirety by the detailed provisions of the 2015 Plan, which is filed as an exhibit to the registration statement of which this prospectus is a part.</w:t>
      </w:r>
    </w:p>
    <w:p>
      <w:pPr>
        <w:spacing w:after="0" w:line="120"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Section 162(m) of the Code limits publicly held companies to an annual deduction for U.S. federal income tax purposes of $1,000,000 for compensation paid to each of their Chief Executive Officer and their three highest compensated executive officers (other than the Chief Executive Officer and the principal financial officer) determined at the end of each year, who are referred to as covered employees. However, certain performance-based compensation is excluded from this limitation. The 2015 Plan is designed to permit the compensation committee to grant awards that qualify as performance-based compensation for purposes of satisfying the conditions of Section 162(m) of the Code, but the 2015 Plan does not require that awards qualify for this exemption.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 of the 2015 Plan</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compensation committee will administer the 2015 Plan and determine all terms of awards under the 2015 Plan. Each member of our compensation committee who administers the 2015 Plan will be both a “non-employee director” within the meaning of Rule 16b-3 of the Exchange Act, and an “outside director” within the meaning of Section 162(m) of the Code. Our compensation committee will also determine who will receive awards under the 2015 Plan, the type of award and its terms and conditions and the number of shares of our common stock subject to the award, if the award is equity-based. Our compensation committee will also interpret the provisions of the plan. During any period of</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time in which we do not have a compensation committee, our board of directors or another committee appointed by our board of directors will administer the 2015 Plan. References below to the compensation committee include a reference to the board of directors or another committee appointed by the board of directors for those periods in which the board of directors or such other committee appointed by the board of directors is acting.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All of our employees and the employees of our affiliates will be eligible to receive awards under the 2015 Plan. In addition, our non-employee directors and consultants and advisors who perform services for us and our affiliates may receive awards under the 2015 Plan, other than incentive stock options.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Authorization</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reserved shares of common stock for issuance under the 2015 Plan, which includes all shares of common stock that remain available for issuance under the 2007 Plan as of the completion of this offering. In connection with stock splits, dividends, recapitalizations and certain other events, our board of directors will make proportionate adjustments that it deems appropriate in the aggregate number of shares of common stock that we may issue under the 2015 Plan and the terms of outstanding awards. If any shares of stock covered by an award granted under the 2015 Plan or the 2007 Plan are not purchased or are forfeited or expire, or if an award otherwise terminates without delivery of any shares of stock subject thereto, or is settled in cash in lieu of shares of stock, then the number of shares of stock counted against the aggregate number of shares of stock available under the 2015 Plan with respect to such award will again be available for making awards under the 2015 Plan.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any time that the transition period under Section 162(m) of the Code has expired or does not apply, the maximum number of shares of common</w:t>
      </w:r>
    </w:p>
    <w:p>
      <w:pPr>
        <w:spacing w:after="0" w:line="38"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stock subject to options or stock appreciation rights that we will be able to issue under the 2015 Plan to any person will be in any single calendar year. The maximum number of shares of common stock that we will be able to issue under the 2015 Plan to any person other than pursuant to an option or stock</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appreciation right will be in any single calendar year. The maximum amount that any one person may earn as an annual incentive award or other cash award in any calendar year will be $ and the maximum amount that any one person may earn as a performance award or other cash award in respect of a performance period will be $ . The maximum fair market value of shares of common stock that can be granted under the 2015 Plan to any “non-employee director” within the meaning of Rule 16b-3 of the Exchange Act is in a calendar year.</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2015 Plan will authorize our compensation committee to grant incentive stock options (under Section 421 of the Code) and options that do not qualify as incentive stock options, or non-qualified stock options. All shares of stock available for issuance under the 2015 Plan will be available for issuance pursuant to incentive stock options. Our compensation committee will determine the exercise price of each option, provided that the price will be equal to at least the fair market value of the shares of common stock on the date on which the option is granted. If we were to grant incentive stock options to any 10% stockholder, the exercise price may not be less than 110% of the fair market value of our shares of common stock on the date of grant.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term of an option cannot exceed 10 years from the date of grant. If we were to grant incentive stock options to any 10% stockholder, the term cannot exceed five years from the date of grant.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360"/>
          </w:cols>
          <w:pgMar w:left="240" w:top="459" w:right="2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compensation committee will determine at what time or times each option may be exercised and the period of time, if any, after retirement, death, disability or termination of employment during which options may be exercised. Options may be made exercisable in installments. The compensation committee may accelerate the exercisability of options. Our compensation committee may not, without stockholder approval, reduce the exercise price of an option after the grant of the option, cancel an outstanding option in exchange for or substitution of a new option having an exercise price below that of the option that was surrendered, or cancel an outstanding option with an exercise price above the current share price in exchange for cash or other securities.</w:t>
      </w:r>
    </w:p>
    <w:p>
      <w:pPr>
        <w:spacing w:after="0" w:line="11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aggregate fair market value, determined at the time of grant, of our common stock with respect to incentive stock options that are exercisable for the first time by an optionee during any calendar year under all of our stock plans may not exceed $100,000. We will generally treat options or portions thereof that exceed such limit as non-qualified stock options.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2015 Plan will authorize our compensation committee to grant stock appreciation rights that provide the recipient with the right to receive, upon exercise of the stock appreciation right, cash, shares of common stock or a combination of the two. The amount that the recipient will receive upon exercise of the stock appreciation right generally will equal the excess of the fair market value of our common stock on the date of exercise over the shares’ fair market value on the date of grant. Stock appreciation rights will become exercisable in accordance with terms determined by our compensation committee. Stock appreciation rights may be granted in tandem with an option grant or independently from an option grant. The term of a stock appreciation right cannot exceed 10 years from the date of grant.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Awards</w:t>
      </w:r>
    </w:p>
    <w:p>
      <w:pPr>
        <w:spacing w:after="0" w:line="17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2015 Plan will also provide for the grant of stock awards (which includes restricted stock and unrestricted stock). A stock award is an award of shares of common stock that may be subject to restrictions on transferability and other restrictions as our compensation committee determines in its sole discretion on the date of grant. The restrictions, if any, may lapse over a specified period of time or through the satisfaction of conditions, in installments or otherwise, as our compensation committee may determine. A participant who receives a restricted stock award will have all of the rights of a stockholder as to those shares, including the right to vote and the right to receive dividends or distributions on the shares, except that the board of directors may require any dividends to be reinvested in shares. During the period, if any, when stock awards are non-transferable or forfeitable, a participant is prohibited from selling, transferring, assigning, pledging or otherwise encumbering or disposing of his or her award shares.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Units</w:t>
      </w:r>
    </w:p>
    <w:p>
      <w:pPr>
        <w:spacing w:after="0" w:line="17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2015 Plan also authorizes our compensation committee to grant stock units. Stock units represent the participant’s right to receive a compensation amount, based on the value of the shares of common stock, if vesting criteria established by the compensation committee are met. If the vesting criteria are met, we will pay stock units in cash, shares of common stock or a combination of the two.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Bonuses</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the 2015 Plan, we may provide for performance-based bonuses payable in cash upon the attainment of performance goals that the compensation committee establishes related to one or more performance criteria described in the 2015 Plan. Like other performance-based awards, cash performance bonuses, for which there is no minimum payout, must be based upon objectively determinable bonus formulas established in accordance with the 2015 Plan, as determined by our compensation committee.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compensation committee may grant dividend equivalents in connection with the grant of any equity-based award other than options and appreciation rights. Dividend equivalents may be paid currently or may be deemed to be reinvested in additional shares of stock, which may thereafter accrue additional equivalents, and may be payable in cash, shares of common stock or a combination of the two. Our compensation committee will determine the terms of any dividend equivalents.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2015 Plan will permit the grant of performance-based stock and cash awards that may qualify as performance-based compensation not subject to the $1,000,000 limitation on the income tax deductibility of compensation paid to a covered employee imposed by Section 162(m) of the Code. Under the 2015 Plan, our compensation committee may structure such awards so that stock is issued or cash is paid pursuant to such award only upon achievement of the performance goals set by our compensation committee at the beginning of the designated performance period.</w:t>
      </w:r>
    </w:p>
    <w:p>
      <w:pPr>
        <w:spacing w:after="0" w:line="113" w:lineRule="exact"/>
        <w:rPr>
          <w:sz w:val="20"/>
          <w:szCs w:val="20"/>
          <w:color w:val="auto"/>
        </w:rPr>
      </w:pPr>
    </w:p>
    <w:p>
      <w:pPr>
        <w:ind w:right="500" w:firstLine="456"/>
        <w:spacing w:after="0" w:line="305" w:lineRule="auto"/>
        <w:rPr>
          <w:sz w:val="20"/>
          <w:szCs w:val="20"/>
          <w:color w:val="auto"/>
        </w:rPr>
      </w:pPr>
      <w:r>
        <w:rPr>
          <w:rFonts w:ascii="Arial" w:cs="Arial" w:eastAsia="Arial" w:hAnsi="Arial"/>
          <w:sz w:val="15"/>
          <w:szCs w:val="15"/>
          <w:color w:val="auto"/>
        </w:rPr>
        <w:t>We may select performance goals based on one or more of the following measures: (1) net earnings or net income; (2) operating earnings; (3) pretax earnings; (4) earnings per share of stock; (5) stock price, including growth measures and total stockholder return; (6) earnings before interest and taxes;</w:t>
      </w:r>
    </w:p>
    <w:p>
      <w:pPr>
        <w:ind w:firstLine="8"/>
        <w:spacing w:after="0" w:line="285" w:lineRule="auto"/>
        <w:tabs>
          <w:tab w:leader="none" w:pos="249"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earnings before interest, taxes, depreciation and/or amortization; (8) earnings before interest, taxes, depreciation and/or amortization as adjusted to exclude any one or more of the following: (i) stock-based compensation expense; (ii) income from discontinued operations; (iii) gain on cancellation of debt; (iv) debt extinguishment and related costs; (v) restructuring, separation, and/or integration charges and costs; (vi) reorganization and/or recapitalization charges and costs; (vii) impairment charges; (viii) merger-related events; (ix) gain or loss related to investments; (x) sales and use tax settlements; and (xi) gain on non-monetary transactions; (9) sales or revenue growth, whether in general, by type of product or service, or by type of customer; (10) gross or operating margins; (11) return measures, including return on assets, capital, investment, equity, sales or revenue; (12) cash flow, including operating cash flow, free cash flow, cash flow return on equity and cash flow return on investment; (13) productivity ratios; (14) expense targets; (15) market share; (16) financial ratios as provided in credit agreements of the company and its subsidiaries; (17) working capital targets; (18) completion of acquisitions of business or companies; (19) completion of divestitures and asset sales; (20) revenues under management; (21) funds from operations; (22) successful implementation of clinical trials, including components thereof; (23) submitting regulatory filings; (24) obtaining regulatory or marketing approvals; (25) entering into contractual agreements; (26) meeting contractual requirements; (27) achieving contractual milestones; (28) entering into collaborations; (29) receipt of grant funding; (30) developing or expanding manufacturing or production capacity; and (31) any combination of any of the foregoing business criteria.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may base performance goals on a company-wide basis, with respect to one or more business units, divisions, affiliates or business segments, and in either absolute terms or relative to the performance of one or more comparable companies or the performance of one or more relevant indices. We may not adjust upward any awards that we intend to qualify as performance-based compensation. The plan administrator will retain the discretion to adjust performance-based awards downward, either on a formula or discretionary basis, or any combination as the compensation committee determines. Performance goals may differ from participant to participant and from award to award.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Equity-Based Awards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may grant other types of equity-based awards under the 2015 Plan. Other equity-based awards may be payable in cash, shares of common stock or other equity, or a combination thereof, and may be restricted or unrestricted, as determined by our compensation committee. The terms and conditions that apply to other equity-based awards are determined by the compensation committee.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we experience a change in control in which outstanding equity-based awards will not be assumed or continued by the surviving entity, unless otherwise provided in an award agreement, all restricted shares, stock units and dividend equivalents will vest, and the underlying shares will be delivered immediately before the change in control. In addition, all options and stock appreciation rights will become exercisable 15 days before the change in control and terminate upon the consummation of the change in control, or, in the discretion of our board of directors, all options, stock appreciation rights, restricted shares and stock units may be canceled before the change in control in exchange for payment of any amount in cash or securities having a value (as determined by our board of directors), in the case of restricted shares or stock units equal to the formula or fixed price per share paid to our stockholders and, in the case of options and stock appreciation rights equal to the product of the number of shares subject to the option or stock appreciation right multiplied by the amount by which the formula or fixed price paid to our stockholders exceeds the exercise price of the option or the stock appreciation right. In the case of performance awards denominated in shares or units, if more than half of the performance period has lapsed, the awards will be converted into shares or units based upon actual performance achieved to date. If less than half of the performance period has lapsed, or if we cannot determine actual performance, the awards will be converted into shares or units assuming target performance has been achieved.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board of directors may amend or terminate the 2015 Plan at any time; provided that no amendment may adversely impair the rights of participants with outstanding awards. Our stockholders must approve any amendment if such approval is required under applicable law or NASDAQ Listing Rules. Unless terminated sooner by our board of directors or extended with stockholder approval, the 2015 Plan will terminate on the 10th anniversary of the date on which our stockholders approve the 2015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Stock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January 2007, our board of directors and our stockholders adopted the 2007 Plan. The 2007 Plan was most recently amended by our board of directors on August 18, 2015, which amendment was approved by our stockholders on August 20, 2015. Our board of directors administers the 2007 Plan. Our board of directors has determined not to grant any additional awards under the 2007 Plan after the completion of this offering. However, the 2007 Plan will continue to govern the terms and conditions of the outstanding awards granted under the 2007 Plan which, as of June 30, 2015, constitute stock options to purchase 2,234,519 shares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Reserve</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of June 30, 2015, a total of 2,789,000 shares of our common stock had been authorized for issuance under the 2007 Plan. As of June 30, 2015, options to purchase a total of 2,234,519 shares of our common stock were issued and outstanding, a total of 10,979 shares of our common stock had been issued upon the exercise of options or pursuant to other awards granted under the 2007 Plan, and 543,502 shares remained available for future grant. Such remaining share balance will become available for issuance under the 2015 Plan upon completion of this offering.</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2007 Plan provides for the grant of incentive stock options, non-statutory stock options and stock purchase rights to our employees, directors and consultants. Our 2007 Plan provides for the grant of incentive stock options, within the meaning of Section 422 of the Code, only to our employees or any of our “parent corporations” or “subsidiary corporations” (as such terms are defined in Sections 424(e) and (f) of the Code). Our board of directors has the authority to determine the terms and conditions of the awards granted under the 2007 Plan.</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2007 Plan does not allow for the transfer of option awards or stock purchase rights other than by will or the laws of descent and distribution, and only the recipient of an award or a permitted transferee may exercise such award during his or her lifetime. Our board of directors, however, may in its discretion grant non-statutory stock options that may be transferred by instrument to an inter vivos or testamentary trust, or by gift or to an immediate family member.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Transaction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2007 Plan provides that in the event of our merger with or into another corporation, or a sale of all or substantially all of our assets, the successor corporation or its parent or subsidiary may assume or substitute for each outstanding award. If the outstanding awards are not assumed or substituted, such awards will terminate upon the consummation of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71"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board of directors adopted the ESPP in August 2015, and our stockholders approved the ESPP in . The ESPP will become effective upon completion of this offering.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We reserved shares of common stock for purchase by our eligible employees. In addition, effective January 1, 2017 and continuing until the expiration of the ESPP, the number of shares of common stock available for purchase by our eligible employees under the ESPP will automatically increase annually on January 1, in an amount equal to the lesser of (i) % of the total number of issued and outstanding shares of our common stock as of December 31</w:t>
      </w:r>
    </w:p>
    <w:p>
      <w:pPr>
        <w:spacing w:after="0" w:line="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of the immediately preceding year, or (ii) shares of our common stock, except that our board of directors may act prior to January 1 of any calendar year to provide for an increase of a lesser number of shares (which may be zero). In the event there is any change in the number of outstanding shares of our common stock, or the shares of common stock are changed into or exchanged for a different number or type of shares without receipt of consideration by us (for instance, by a recapitalization or stock split), we will proportionately adjust the number or type of shares that the eligible employees may purchase under the ESPP. The shares of common stock issuable under the ESPP may, in the discretion of our board of directors, be authorized but unissued shares, treasury shares or shares purchased on the open market. This summary is qualified in its entirety by the detailed provisions of the ESPP, which is filed as an exhibit to the registration statement of which this prospectus is a part.</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Periods and Optional Purchase Periods</w:t>
      </w:r>
    </w:p>
    <w:p>
      <w:pPr>
        <w:spacing w:after="0" w:line="171"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Our compensation committee will determine the length and duration of the periods during which payroll deductions or other cash payments will accumulate to purchase shares of common stock, which period will not exceed 27 months. Each of these periods is known as an offering period.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compensation committee may, but is not required to, permit periodic purchases of common stock within a single offering period. The periods during which payroll deductions or other cash payments will accumulate for these purchases are referred to as purchase periods. We expect that each offering period will consist of a single purchase period for six months. No offering periods have been approved at this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Administration of the ESPP</w:t>
      </w:r>
    </w:p>
    <w:p>
      <w:pPr>
        <w:spacing w:after="0" w:line="171"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Our compensation committee will administer the ESPP. Each member of our compensation committee that administers the ESPP will be both a “non-employee director” within the meaning of Rule 16b-3 of the Exchange Act and an “outside director” within the meaning of Section 162(m) of the Code. Our compensation committee will also interpret the provisions of the ESPP, prescribe, amend and rescind rules relating to it, and make all other determinations necessary or advisable in administering the ESPP, all of which determinations will be final and binding. During any period of time in which we do not have a compensation committee, another committee appointed by our board of directors will administer the ESPP. References to our compensation committee include a reference to any other committee appointed by our board of directors for those periods in which such other committee appointed by our board of directors is acting.</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Any of our employees may participate in the ESPP, except: (i) an employee whose customary employment is less than 20 hours per week; and (ii) an employee who, after exercising his or her rights to purchase common stock under the ESPP, would own (directly or by attribution pursuant to Section 424(d) of the Code) shares of common stock (including shares that may be acquired under any outstanding options) representing 5% or more of the total combined voting power of all classes of our capital stock. An employee must be employed, as determined under the ESPP and applicable guidance, on the last trading day of the purchase period, or a purchase date, to acquire common stock under the ESPP, unless the employee has died prior to such time.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360"/>
          </w:cols>
          <w:pgMar w:left="240" w:top="459" w:right="2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Participation Election</w:t>
      </w:r>
    </w:p>
    <w:p>
      <w:pPr>
        <w:spacing w:after="0" w:line="17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eligible employee may participate in the ESPP by completing and submitting to us an election form to participate. Such election will authorize us to make payroll deductions on each pay day following enrollment in the ESPP, or if authorized by our compensation committee, participating employees may provide other cash contributions. Our compensation committee will credit the deductions or contributions to the employee’s account under the ESPP. Subject to certain exceptions, an employee may not during any offering period change his or her percentage of payroll deduction or contribution for that offering period, nor may an employee withdraw any contributed funds. A participating employee may decrease his or her rate of contribution once during a purchase period, or change his or her rate of contribution to take effect on the first day of the next offering period, by delivering to us a new election form to participate in the ESPP. To the extent expressly permitted by our compensation committee, as determined in its sole discretion, for an offering period, a participating employee may increase the rate of his or her contribution once during the offering period. A participating employee may terminate payroll deductions or contributions at any time prior to a purchase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Price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Rights to purchase shares of our common stock will be deemed granted to participating employees as of the first trading day of each offering period. Our compensation committee will determine the purchase price for each share, or the purchase price. The purchase price for an offering period may not be less than 85% of the fair market value of our common stock on the first trading day of the offering period or the purchase date, whichever is lower, and in no event may the purchase price be less than the par value of our common stock.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Limit</w:t>
      </w:r>
    </w:p>
    <w:p>
      <w:pPr>
        <w:spacing w:after="0" w:line="171" w:lineRule="exact"/>
        <w:rPr>
          <w:sz w:val="20"/>
          <w:szCs w:val="20"/>
          <w:color w:val="auto"/>
        </w:rPr>
      </w:pPr>
    </w:p>
    <w:p>
      <w:pPr>
        <w:ind w:right="440" w:firstLine="456"/>
        <w:spacing w:after="0" w:line="305" w:lineRule="auto"/>
        <w:rPr>
          <w:sz w:val="20"/>
          <w:szCs w:val="20"/>
          <w:color w:val="auto"/>
        </w:rPr>
      </w:pPr>
      <w:r>
        <w:rPr>
          <w:rFonts w:ascii="Arial" w:cs="Arial" w:eastAsia="Arial" w:hAnsi="Arial"/>
          <w:sz w:val="15"/>
          <w:szCs w:val="15"/>
          <w:color w:val="auto"/>
        </w:rPr>
        <w:t>No employee may purchase shares of our common stock in any offering period or in any calendar year under the ESPP and all other “employee stock purchase plans” of the company having an aggregate fair market value in excess of $25,000, determined as of the first trading date of the offering period. In</w:t>
      </w:r>
    </w:p>
    <w:p>
      <w:pPr>
        <w:spacing w:after="0" w:line="302" w:lineRule="auto"/>
        <w:rPr>
          <w:sz w:val="20"/>
          <w:szCs w:val="20"/>
          <w:color w:val="auto"/>
        </w:rPr>
      </w:pPr>
      <w:r>
        <w:rPr>
          <w:rFonts w:ascii="Arial" w:cs="Arial" w:eastAsia="Arial" w:hAnsi="Arial"/>
          <w:sz w:val="16"/>
          <w:szCs w:val="16"/>
          <w:color w:val="auto"/>
        </w:rPr>
        <w:t>addition, no employee may purchase more than shares of common stock in any one offering period; provided that, prior to the start of an offering period, our compensation committee, in its discretion, may impose a different limit on the number or value of shares of common stock an employee may purchase during the offering period. We expect that participating employees will be able to contribute between 1% and 15% of their earnings during an offering period.</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of Common Stock</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each purchase date, a participating employee will be credited with the number of whole shares of common stock purchased under the ESPP during such purchase period. Shares of common stock purchased under the ESPP will be held in the custody of an agent designated by our board of directors. The agent may hold such shares in stock certificates in nominee names and may commingle shares held in its custody in a single account or in stock certificates without identification as to individual participating employees. Subject to any additional restrictions imposed by our compensation committee, in its discretion, a participating employee may, at any time following his or her purchase of shares of common stock under the ESPP, instruct the agent to have all or part of such shares reissued in the employee’s own name and have the stock certificate delivered to the employee. Our compensation committee may impose a holding period requirement of up to two years from the date participating employees purchase shares of common stock under the ESPP.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in any purchase period the number of unsold shares that may be made available for purchase under the ESPP is insufficient to permit eligible employees to exercise their rights to purchase shares, our compensation committee will make a participation adjustment and proportionately reduce the number of shares purchasable by all participating employees. Our compensation committee will refund to a participating employee any funds then remaining in his or her account after such exercise.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Authorized Leave of Absence or Disability</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compensation committee may suspend payroll deductions for a participating employee who remains an eligible employee during any period of absence of the employee from work due to an authorized leave of absence or disability or, if the employee so elects, he or she may continue to pay periodic cash contributions to the ESPP. If such participating employee returns to active service prior to a purchase date, our compensation committee will resume the employee’s payroll deductions. If such employee did not pay periodic cash contributions during the employee’s period of absence, the employee may elect to either: (i) make up any deficiency in his or her account resulting from a suspension of payroll deductions by an immediate cash payment; (ii) not make up such deficiency in his or her account, in which event the number of shares to be purchased by the employee will be reduced to the number of whole shares that may be purchased with the amount, if any, credited to the employee’s account on the purchase date, plus the aggregate amount, if any, of all payroll deductions to be made thereafter; or (iii) withdraw the amount in his or her account and terminate his or her option to purchase.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Our compensation committee will terminate a participating employee’s participation in the ESPP and refund all monies in his or her account if: (i) our board of directors terminates the ESPP; or (ii) the employee ceases to be eligible to participate in the ESPP. In the event a participating employee’s employment terminates, or is deemed terminated, for any reason other than death, the amount in the employee’s account will be distributed and his or her option to purchase will terminate.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participating employee terminates participation in the ESPP on account of his or her death, the employee’s representative may elect to either:</w:t>
      </w:r>
    </w:p>
    <w:p>
      <w:pPr>
        <w:spacing w:after="0" w:line="38" w:lineRule="exact"/>
        <w:rPr>
          <w:sz w:val="20"/>
          <w:szCs w:val="20"/>
          <w:color w:val="auto"/>
        </w:rPr>
      </w:pPr>
    </w:p>
    <w:p>
      <w:pPr>
        <w:ind w:right="380" w:firstLine="8"/>
        <w:spacing w:after="0" w:line="261" w:lineRule="auto"/>
        <w:tabs>
          <w:tab w:leader="none" w:pos="2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 shares of common stock on the purchase date with the amount then credited to the employee’s account; or (b) withdraw the amount in his or her account.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Transferability of Shares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No participating employee may transfer or assign his or her rights to purchase shares of common stock under the ESPP, whether voluntarily, by operation of law or otherwise. Any payment of cash or issuance of shares of common stock under the ESPP may be made only to the participating employee (or, in the event of the employee’s death, to the employee’s estate). During a participating employee’s lifetime, only such participating employee may exercise his or her rights to purchase shares of common stock under the ESPP.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at any time, amend the ESPP in any respect; provided that without stockholder approval, it may not (i) increase the number of shares that may be made available for purchase under the ESPP, or (ii) change the eligibility requirements for participating in the ESPP. Additionally, our board of directors may not make any amendment to the ESPP that impairs the vested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rights of participating employees. Our board of directors may suspend or terminate the ESPP at any time and for any reason or for no reason; provided that such suspension or termination will not impair any rights of participating employees that have vested at the time of termination. In any event, the ESPP will, without further action of our board of directors, terminate at the earlier of (a) 10 years after the date of adoption of the ESPP, or (b) such time as all shares of common stock that may be made available for purchase under the ESPP have been issued.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Reorganizations</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our dissolution or liquidation, or upon a merger, consolidation or reorganization of the company with one or more other corporations in which we are not the surviving entity, or upon a sale of all or substantially all of our assets or any other transaction approved by our board of directors resulting in any person or entity owning more than 50% of the combined voting power of all classes of our capital stock, the ESPP and all rights outstanding thereunder will terminate, except to the extent provision is made in writing in connection with such transaction for the continuation or assumption of the ESPP, or for the substitution of the rights under the ESPP with new rights covering the stock of the successor entity. Upon termination of the ESPP in this circumstance, the offering period and the purchase period will end on the last trading day prior to such termination, and the rights of each participating employee shall be automatically exercised on such last trading day.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Retirement Plan</w:t>
      </w:r>
    </w:p>
    <w:p>
      <w:pPr>
        <w:spacing w:after="0" w:line="171"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5"/>
          <w:szCs w:val="15"/>
          <w:color w:val="auto"/>
        </w:rPr>
        <w:t>We maintain a defined contribution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(except in the case of contributions under the 401(k) plan designated as Roth contributions, which are not taxable when distributed). Our 401(k) plan provides that each participant may contribute up to 100% of his or her pre-tax compensation, up to a statutory limit of $17,500 for 2014 and $18,000 for 2015.</w:t>
      </w:r>
    </w:p>
    <w:p>
      <w:pPr>
        <w:spacing w:after="0" w:line="3"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Participants who are at least 50 years old can also make “catch-up” contributions, which in 2014 and 2015 may be up to an additional $5,500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 Beginning June 2015, we will make matching contributions equal to 50% of an employee’s contribution up to a maximum of $3,000 each year.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Equity Compensation</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 2015, our board of directors approved a non-employee director compensation policy, which will be effective for all non-employee directors upon the effective date of the registration statement for this offering. Each non-employee director will receive an annual base retainer of $ . In addition, our non-employee directors will receive the following cash compensation for board services, as applicable:</w:t>
      </w:r>
    </w:p>
    <w:p>
      <w:pPr>
        <w:sectPr>
          <w:pgSz w:w="11900" w:h="16838" w:orient="portrait"/>
          <w:cols w:equalWidth="0" w:num="1">
            <w:col w:w="11400"/>
          </w:cols>
          <w:pgMar w:left="240" w:top="459" w:right="259" w:bottom="1440" w:gutter="0" w:footer="0" w:header="0"/>
        </w:sectPr>
      </w:pPr>
    </w:p>
    <w:p>
      <w:pPr>
        <w:spacing w:after="0" w:line="18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chairman of the board of directors will receive an additional annual retainer of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35" w:lineRule="exact"/>
        <w:rPr>
          <w:sz w:val="20"/>
          <w:szCs w:val="20"/>
          <w:color w:val="auto"/>
        </w:rPr>
      </w:pPr>
    </w:p>
    <w:p>
      <w:pPr>
        <w:sectPr>
          <w:pgSz w:w="11900" w:h="16838" w:orient="portrait"/>
          <w:cols w:equalWidth="0" w:num="3">
            <w:col w:w="740" w:space="260"/>
            <w:col w:w="5900" w:space="400"/>
            <w:col w:w="4100"/>
          </w:cols>
          <w:pgMar w:left="240" w:top="459" w:right="259" w:bottom="1440" w:gutter="0" w:footer="0" w:header="0"/>
          <w:type w:val="continuous"/>
        </w:sectPr>
      </w:pPr>
    </w:p>
    <w:p>
      <w:pPr>
        <w:ind w:left="1000" w:hanging="317"/>
        <w:spacing w:after="0"/>
        <w:tabs>
          <w:tab w:leader="none" w:pos="10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each member of our audit, compensation and nominating and corporate governance committees, other than the chairperson, will receive an</w:t>
      </w:r>
    </w:p>
    <w:p>
      <w:pPr>
        <w:spacing w:after="0" w:line="50" w:lineRule="exact"/>
        <w:rPr>
          <w:sz w:val="20"/>
          <w:szCs w:val="20"/>
          <w:color w:val="auto"/>
        </w:rPr>
      </w:pPr>
    </w:p>
    <w:p>
      <w:pPr>
        <w:ind w:left="1000"/>
        <w:spacing w:after="0"/>
        <w:tabs>
          <w:tab w:leader="none" w:pos="3460" w:val="left"/>
          <w:tab w:leader="none" w:pos="4020" w:val="left"/>
          <w:tab w:leader="none" w:pos="4760" w:val="left"/>
        </w:tabs>
        <w:rPr>
          <w:sz w:val="20"/>
          <w:szCs w:val="20"/>
          <w:color w:val="auto"/>
        </w:rPr>
      </w:pPr>
      <w:r>
        <w:rPr>
          <w:rFonts w:ascii="Arial" w:cs="Arial" w:eastAsia="Arial" w:hAnsi="Arial"/>
          <w:sz w:val="18"/>
          <w:szCs w:val="18"/>
          <w:color w:val="auto"/>
        </w:rPr>
        <w:t>additional annual retainer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 respectively; and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hanging="317"/>
        <w:spacing w:after="0"/>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chairperson of our audit, compensation and nominating and corporate governance committees will receive an additional annual retainer of</w:t>
      </w:r>
    </w:p>
    <w:p>
      <w:pPr>
        <w:spacing w:after="0" w:line="38" w:lineRule="exact"/>
        <w:rPr>
          <w:sz w:val="20"/>
          <w:szCs w:val="20"/>
          <w:color w:val="auto"/>
        </w:rPr>
      </w:pPr>
    </w:p>
    <w:p>
      <w:pPr>
        <w:ind w:left="1000"/>
        <w:spacing w:after="0"/>
        <w:tabs>
          <w:tab w:leader="none" w:pos="1420" w:val="left"/>
          <w:tab w:leader="none" w:pos="2000" w:val="left"/>
          <w:tab w:leader="none" w:pos="2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5"/>
          <w:szCs w:val="15"/>
          <w:color w:val="auto"/>
        </w:rPr>
        <w:t>, respectively.</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will pay all amounts in quarterly installments. We will also reimburse each of our directors for their travel expenses incurred in connection with their attendance at board of directors and committee meetings.</w:t>
      </w:r>
    </w:p>
    <w:p>
      <w:pPr>
        <w:spacing w:after="0" w:line="13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In addition, each non-employee director will receive a one-time initial award of options to purchase shares of our common stock, which will vest monthly over a four-year period, subject to the director’s continued service on the board of directors. Thereafter, each non-employee director will receive an</w:t>
      </w:r>
    </w:p>
    <w:p>
      <w:pPr>
        <w:spacing w:after="0" w:line="261" w:lineRule="auto"/>
        <w:rPr>
          <w:sz w:val="20"/>
          <w:szCs w:val="20"/>
          <w:color w:val="auto"/>
        </w:rPr>
      </w:pPr>
      <w:r>
        <w:rPr>
          <w:rFonts w:ascii="Arial" w:cs="Arial" w:eastAsia="Arial" w:hAnsi="Arial"/>
          <w:sz w:val="18"/>
          <w:szCs w:val="18"/>
          <w:color w:val="auto"/>
        </w:rPr>
        <w:t>annual award of options to purchase shares of our common stock, which will vest on the one-year anniversary of the date of grant, subject to the director’s continued service on the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The following table provides information regarding compensation awarded to or earned by our non-employee directors as of December 31,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60" w:type="dxa"/>
            <w:vAlign w:val="bottom"/>
            <w:gridSpan w:val="3"/>
          </w:tcPr>
          <w:p>
            <w:pPr>
              <w:jc w:val="center"/>
              <w:ind w:left="1922"/>
              <w:spacing w:after="0"/>
              <w:rPr>
                <w:sz w:val="20"/>
                <w:szCs w:val="20"/>
                <w:color w:val="auto"/>
              </w:rPr>
            </w:pPr>
            <w:r>
              <w:rPr>
                <w:rFonts w:ascii="Arial" w:cs="Arial" w:eastAsia="Arial" w:hAnsi="Arial"/>
                <w:sz w:val="14"/>
                <w:szCs w:val="14"/>
                <w:b w:val="1"/>
                <w:bCs w:val="1"/>
                <w:color w:val="auto"/>
                <w:w w:val="86"/>
              </w:rPr>
              <w:t>Fees Earned or</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62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90"/>
              </w:rPr>
              <w:t>Paid in Cash</w:t>
            </w:r>
          </w:p>
        </w:tc>
        <w:tc>
          <w:tcPr>
            <w:tcW w:w="1660" w:type="dxa"/>
            <w:vAlign w:val="bottom"/>
            <w:gridSpan w:val="2"/>
          </w:tcPr>
          <w:p>
            <w:pPr>
              <w:jc w:val="right"/>
              <w:ind w:right="784"/>
              <w:spacing w:after="0" w:line="135" w:lineRule="exact"/>
              <w:rPr>
                <w:sz w:val="20"/>
                <w:szCs w:val="20"/>
                <w:color w:val="auto"/>
              </w:rPr>
            </w:pPr>
            <w:r>
              <w:rPr>
                <w:rFonts w:ascii="Arial" w:cs="Arial" w:eastAsia="Arial" w:hAnsi="Arial"/>
                <w:sz w:val="14"/>
                <w:szCs w:val="14"/>
                <w:b w:val="1"/>
                <w:bCs w:val="1"/>
                <w:color w:val="auto"/>
                <w:w w:val="87"/>
              </w:rPr>
              <w:t>Option Award</w:t>
            </w:r>
          </w:p>
        </w:tc>
        <w:tc>
          <w:tcPr>
            <w:tcW w:w="72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Total</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300" w:type="dxa"/>
            <w:vAlign w:val="bottom"/>
          </w:tcPr>
          <w:p>
            <w:pPr>
              <w:spacing w:after="0"/>
              <w:rPr>
                <w:sz w:val="15"/>
                <w:szCs w:val="15"/>
                <w:color w:val="auto"/>
              </w:rPr>
            </w:pPr>
          </w:p>
        </w:tc>
        <w:tc>
          <w:tcPr>
            <w:tcW w:w="3620" w:type="dxa"/>
            <w:vAlign w:val="bottom"/>
            <w:gridSpan w:val="2"/>
          </w:tcPr>
          <w:p>
            <w:pPr>
              <w:jc w:val="center"/>
              <w:ind w:left="2662"/>
              <w:spacing w:after="0"/>
              <w:rPr>
                <w:sz w:val="20"/>
                <w:szCs w:val="20"/>
                <w:color w:val="auto"/>
              </w:rPr>
            </w:pPr>
            <w:r>
              <w:rPr>
                <w:rFonts w:ascii="Arial" w:cs="Arial" w:eastAsia="Arial" w:hAnsi="Arial"/>
                <w:sz w:val="14"/>
                <w:szCs w:val="14"/>
                <w:b w:val="1"/>
                <w:bCs w:val="1"/>
                <w:color w:val="auto"/>
                <w:w w:val="93"/>
              </w:rPr>
              <w:t>($)</w:t>
            </w:r>
          </w:p>
        </w:tc>
        <w:tc>
          <w:tcPr>
            <w:tcW w:w="740" w:type="dxa"/>
            <w:vAlign w:val="bottom"/>
          </w:tcPr>
          <w:p>
            <w:pPr>
              <w:spacing w:after="0"/>
              <w:rPr>
                <w:sz w:val="15"/>
                <w:szCs w:val="15"/>
                <w:color w:val="auto"/>
              </w:rPr>
            </w:pPr>
          </w:p>
        </w:tc>
        <w:tc>
          <w:tcPr>
            <w:tcW w:w="820" w:type="dxa"/>
            <w:vAlign w:val="bottom"/>
          </w:tcPr>
          <w:p>
            <w:pPr>
              <w:jc w:val="right"/>
              <w:ind w:right="119"/>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9"/>
                <w:szCs w:val="9"/>
                <w:b w:val="1"/>
                <w:bCs w:val="1"/>
                <w:color w:val="auto"/>
              </w:rPr>
              <w:t>(1)(3)</w:t>
            </w:r>
          </w:p>
        </w:tc>
        <w:tc>
          <w:tcPr>
            <w:tcW w:w="840" w:type="dxa"/>
            <w:vAlign w:val="bottom"/>
          </w:tcPr>
          <w:p>
            <w:pPr>
              <w:spacing w:after="0"/>
              <w:rPr>
                <w:sz w:val="15"/>
                <w:szCs w:val="15"/>
                <w:color w:val="auto"/>
              </w:rPr>
            </w:pPr>
          </w:p>
        </w:tc>
        <w:tc>
          <w:tcPr>
            <w:tcW w:w="62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203"/>
        </w:trPr>
        <w:tc>
          <w:tcPr>
            <w:tcW w:w="4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Dennis G. Podlesak</w:t>
            </w:r>
          </w:p>
        </w:tc>
        <w:tc>
          <w:tcPr>
            <w:tcW w:w="27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942,165</w:t>
            </w:r>
          </w:p>
        </w:tc>
        <w:tc>
          <w:tcPr>
            <w:tcW w:w="840" w:type="dxa"/>
            <w:vAlign w:val="bottom"/>
            <w:tcBorders>
              <w:top w:val="single" w:sz="8" w:color="CCEEFF"/>
            </w:tcBorders>
            <w:shd w:val="clear" w:color="auto" w:fill="CCEEFF"/>
          </w:tcPr>
          <w:p>
            <w:pPr>
              <w:jc w:val="right"/>
              <w:ind w:right="644"/>
              <w:spacing w:after="0"/>
              <w:rPr>
                <w:sz w:val="20"/>
                <w:szCs w:val="20"/>
                <w:color w:val="auto"/>
              </w:rPr>
            </w:pPr>
            <w:r>
              <w:rPr>
                <w:rFonts w:ascii="Arial" w:cs="Arial" w:eastAsia="Arial" w:hAnsi="Arial"/>
                <w:sz w:val="11"/>
                <w:szCs w:val="11"/>
                <w:color w:val="auto"/>
                <w:w w:val="88"/>
              </w:rPr>
              <w:t>(2)</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942,165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Fabrice Egros, Ph.D.</w:t>
            </w:r>
          </w:p>
        </w:tc>
        <w:tc>
          <w:tcPr>
            <w:tcW w:w="27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38,814</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38,814</w:t>
            </w: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Evnin, Ph.D.</w:t>
            </w:r>
          </w:p>
        </w:tc>
        <w:tc>
          <w:tcPr>
            <w:tcW w:w="2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38,814</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38,814</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Kim P. Kamdar, Ph.D.</w:t>
            </w:r>
          </w:p>
        </w:tc>
        <w:tc>
          <w:tcPr>
            <w:tcW w:w="2740" w:type="dxa"/>
            <w:vAlign w:val="bottom"/>
          </w:tcPr>
          <w:p>
            <w:pPr>
              <w:spacing w:after="0"/>
              <w:rPr>
                <w:sz w:val="18"/>
                <w:szCs w:val="18"/>
                <w:color w:val="auto"/>
              </w:rPr>
            </w:pPr>
          </w:p>
        </w:tc>
        <w:tc>
          <w:tcPr>
            <w:tcW w:w="16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38,814</w:t>
            </w:r>
          </w:p>
        </w:tc>
        <w:tc>
          <w:tcPr>
            <w:tcW w:w="8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38,814</w:t>
            </w: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Ivor Royston, M.D.</w:t>
            </w:r>
          </w:p>
        </w:tc>
        <w:tc>
          <w:tcPr>
            <w:tcW w:w="27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38,814</w:t>
            </w:r>
          </w:p>
        </w:tc>
        <w:tc>
          <w:tcPr>
            <w:tcW w:w="8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38,814</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Richard P. Shea</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39,000</w:t>
            </w:r>
          </w:p>
        </w:tc>
        <w:tc>
          <w:tcPr>
            <w:tcW w:w="740" w:type="dxa"/>
            <w:vAlign w:val="bottom"/>
          </w:tcPr>
          <w:p>
            <w:pPr>
              <w:spacing w:after="0"/>
              <w:rPr>
                <w:sz w:val="18"/>
                <w:szCs w:val="18"/>
                <w:color w:val="auto"/>
              </w:rPr>
            </w:pPr>
          </w:p>
        </w:tc>
        <w:tc>
          <w:tcPr>
            <w:tcW w:w="1660" w:type="dxa"/>
            <w:vAlign w:val="bottom"/>
            <w:gridSpan w:val="2"/>
          </w:tcPr>
          <w:p>
            <w:pPr>
              <w:jc w:val="right"/>
              <w:ind w:right="644"/>
              <w:spacing w:after="0"/>
              <w:rPr>
                <w:sz w:val="20"/>
                <w:szCs w:val="20"/>
                <w:color w:val="auto"/>
              </w:rPr>
            </w:pPr>
            <w:r>
              <w:rPr>
                <w:rFonts w:ascii="Arial" w:cs="Arial" w:eastAsia="Arial" w:hAnsi="Arial"/>
                <w:sz w:val="18"/>
                <w:szCs w:val="18"/>
                <w:color w:val="auto"/>
              </w:rPr>
              <w:t>134,557</w:t>
            </w:r>
            <w:r>
              <w:rPr>
                <w:rFonts w:ascii="Arial" w:cs="Arial" w:eastAsia="Arial" w:hAnsi="Arial"/>
                <w:sz w:val="11"/>
                <w:szCs w:val="11"/>
                <w:color w:val="auto"/>
              </w:rPr>
              <w:t>(2)</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173,557</w:t>
            </w:r>
          </w:p>
        </w:tc>
        <w:tc>
          <w:tcPr>
            <w:tcW w:w="100" w:type="dxa"/>
            <w:vAlign w:val="bottom"/>
          </w:tcPr>
          <w:p>
            <w:pPr>
              <w:spacing w:after="0"/>
              <w:rPr>
                <w:sz w:val="18"/>
                <w:szCs w:val="18"/>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W. Sledge Jr., M.D.</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7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4"/>
              <w:spacing w:after="0"/>
              <w:rPr>
                <w:sz w:val="20"/>
                <w:szCs w:val="20"/>
                <w:color w:val="auto"/>
              </w:rPr>
            </w:pPr>
            <w:r>
              <w:rPr>
                <w:rFonts w:ascii="Arial" w:cs="Arial" w:eastAsia="Arial" w:hAnsi="Arial"/>
                <w:sz w:val="18"/>
                <w:szCs w:val="18"/>
                <w:color w:val="auto"/>
              </w:rPr>
              <w:t>134,557</w:t>
            </w:r>
            <w:r>
              <w:rPr>
                <w:rFonts w:ascii="Arial" w:cs="Arial" w:eastAsia="Arial" w:hAnsi="Arial"/>
                <w:sz w:val="11"/>
                <w:szCs w:val="11"/>
                <w:color w:val="auto"/>
              </w:rPr>
              <w:t>(2)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179,057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83"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determined in accordance with ASC 718. For information regarding assumptions underlying the value of equity awards, see note 12 to our audited consolidated financial statements and the discussion in the section titled “Management’s Discussion and Analysis of Financial Condition and Results of Operations—Critical Accounting Policies—Stock-Based Compensation,” included elsewhere in this prospectus. These amounts do not correspond to the actual value the director may realize upon exercise of these option awards.</w:t>
      </w:r>
    </w:p>
    <w:p>
      <w:pPr>
        <w:spacing w:after="0" w:line="2" w:lineRule="exact"/>
        <w:rPr>
          <w:rFonts w:ascii="Arial" w:cs="Arial" w:eastAsia="Arial" w:hAnsi="Arial"/>
          <w:sz w:val="16"/>
          <w:szCs w:val="16"/>
          <w:color w:val="auto"/>
        </w:rPr>
      </w:pPr>
    </w:p>
    <w:p>
      <w:pPr>
        <w:ind w:left="460" w:right="20" w:hanging="452"/>
        <w:spacing w:after="0" w:line="281"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Includes the grant date fair value in the amount of $862,436, $126,774 and $126,774 for Messrs. Podlesak and Shea and Dr. Sledge, respectively, for option grants that were subsequently cancelled and reissued pursuant to an option exchange program that we implemented in 2014.</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following table provides information regarding equity awards granted to our non-employee directors that were outstanding as of December 31, 2014.</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160" w:type="dxa"/>
            <w:vAlign w:val="bottom"/>
            <w:vMerge w:val="restart"/>
          </w:tcPr>
          <w:p>
            <w:pPr>
              <w:spacing w:after="0"/>
              <w:rPr>
                <w:sz w:val="14"/>
                <w:szCs w:val="14"/>
                <w:color w:val="auto"/>
              </w:rPr>
            </w:pPr>
          </w:p>
        </w:tc>
        <w:tc>
          <w:tcPr>
            <w:tcW w:w="5240" w:type="dxa"/>
            <w:vAlign w:val="bottom"/>
          </w:tcPr>
          <w:p>
            <w:pPr>
              <w:spacing w:after="0"/>
              <w:rPr>
                <w:sz w:val="14"/>
                <w:szCs w:val="14"/>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6"/>
              </w:rPr>
              <w:t>Option Awards Outstanding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160" w:type="dxa"/>
            <w:vAlign w:val="bottom"/>
            <w:vMerge w:val="continue"/>
          </w:tcPr>
          <w:p>
            <w:pPr>
              <w:spacing w:after="0"/>
              <w:rPr>
                <w:sz w:val="14"/>
                <w:szCs w:val="14"/>
                <w:color w:val="auto"/>
              </w:rPr>
            </w:pPr>
          </w:p>
        </w:tc>
        <w:tc>
          <w:tcPr>
            <w:tcW w:w="5240" w:type="dxa"/>
            <w:vAlign w:val="bottom"/>
          </w:tcPr>
          <w:p>
            <w:pPr>
              <w:spacing w:after="0"/>
              <w:rPr>
                <w:sz w:val="14"/>
                <w:szCs w:val="14"/>
                <w:color w:val="auto"/>
              </w:rPr>
            </w:pPr>
          </w:p>
        </w:tc>
        <w:tc>
          <w:tcPr>
            <w:tcW w:w="1720" w:type="dxa"/>
            <w:vAlign w:val="bottom"/>
            <w:gridSpan w:val="2"/>
          </w:tcPr>
          <w:p>
            <w:pPr>
              <w:jc w:val="right"/>
              <w:ind w:right="560"/>
              <w:spacing w:after="0" w:line="148" w:lineRule="exact"/>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203"/>
        </w:trPr>
        <w:tc>
          <w:tcPr>
            <w:tcW w:w="3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Dennis G. Podlesak</w:t>
            </w:r>
          </w:p>
        </w:tc>
        <w:tc>
          <w:tcPr>
            <w:tcW w:w="52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98,519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Fabrice Egros, Ph.D.</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Luke Evnin, Ph.D.</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Kim P. Kamdar, Ph.D.</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Ivor Royston, M.D.</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Richard P. Shea</w:t>
            </w:r>
          </w:p>
        </w:tc>
        <w:tc>
          <w:tcPr>
            <w:tcW w:w="6860" w:type="dxa"/>
            <w:vAlign w:val="bottom"/>
            <w:gridSpan w:val="2"/>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W. Sledge Jr., M.D.</w:t>
            </w:r>
          </w:p>
        </w:tc>
        <w:tc>
          <w:tcPr>
            <w:tcW w:w="6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40" w:type="dxa"/>
            <w:vAlign w:val="bottom"/>
          </w:tcPr>
          <w:p>
            <w:pPr>
              <w:jc w:val="right"/>
              <w:ind w:right="3312"/>
              <w:spacing w:after="0"/>
              <w:rPr>
                <w:sz w:val="20"/>
                <w:szCs w:val="20"/>
                <w:color w:val="auto"/>
              </w:rPr>
            </w:pPr>
            <w:r>
              <w:rPr>
                <w:rFonts w:ascii="Arial" w:cs="Arial" w:eastAsia="Arial" w:hAnsi="Arial"/>
                <w:sz w:val="18"/>
                <w:szCs w:val="18"/>
                <w:color w:val="auto"/>
              </w:rPr>
              <w:t>146</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Agreements</w:t>
      </w:r>
    </w:p>
    <w:p>
      <w:pPr>
        <w:spacing w:after="0" w:line="1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each to become effective immediately prior to the completion of this offering, provide that we will limit the liability of our directors, and may indemnify our directors and officers, to the maximum extent permitted by the Delaware General Corporation Law, or DGCL. The DGCL provides that directors of a corporation will not be personally liable for monetary damages for breach of their fiduciary duties as directors, except for liability for any:</w:t>
      </w:r>
    </w:p>
    <w:p>
      <w:pPr>
        <w:spacing w:after="0" w:line="184" w:lineRule="exact"/>
        <w:rPr>
          <w:sz w:val="20"/>
          <w:szCs w:val="20"/>
          <w:color w:val="auto"/>
        </w:rPr>
      </w:pPr>
    </w:p>
    <w:p>
      <w:pPr>
        <w:ind w:left="1000" w:hanging="31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breach of their duty of loyalty to the corporation or its stockholders;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act or omission not in good faith or that involves intentional misconduct or a knowing violation of law;</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unlawful payment of dividends or redemption of shares; or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transaction from which the directors derived an improper personal benefit.</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These limitations of liability do not apply to liabilities arising under federal securities laws and do not affect the availability of equitable remedies such as injunctive relief or rescission.</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also maintain a directors’ and officers’ insurance policy pursuant to which our directors and officers are insured against liability for actions taken in their capacities as directors and officers. We believe that these indemnification provisions and insurance are useful to attract and retain qualified directors and officers.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7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following is a description of transactions, since January 1, 2012, to which we have been a party or will be a party, in which the amount involved exceeded or will exceed $120,000, and in which any of our executive officers, directors or holders of more than 5% of any class of our voting securities, or an affiliate or immediate family member thereof, had or will have a direct or indirect material interest, other than compensation, termination and change of control arrangements, which are described under the section titled “Executive and Director Compensation.” We believe the terms obtained or consideration that we paid or received, as applicable, in connection with the transactions described below were comparable to terms available or the amounts that we would pay or receive, as applicable, in arm’s-length transactions with unrelated third parties.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2011 Bridge Financing</w:t>
      </w:r>
    </w:p>
    <w:p>
      <w:pPr>
        <w:spacing w:after="0" w:line="171" w:lineRule="exact"/>
        <w:rPr>
          <w:sz w:val="20"/>
          <w:szCs w:val="20"/>
          <w:color w:val="auto"/>
        </w:rPr>
      </w:pPr>
    </w:p>
    <w:p>
      <w:pPr>
        <w:ind w:right="280" w:firstLine="456"/>
        <w:spacing w:after="0" w:line="289" w:lineRule="auto"/>
        <w:rPr>
          <w:sz w:val="20"/>
          <w:szCs w:val="20"/>
          <w:color w:val="auto"/>
        </w:rPr>
      </w:pPr>
      <w:r>
        <w:rPr>
          <w:rFonts w:ascii="Arial" w:cs="Arial" w:eastAsia="Arial" w:hAnsi="Arial"/>
          <w:sz w:val="16"/>
          <w:szCs w:val="16"/>
          <w:color w:val="auto"/>
        </w:rPr>
        <w:t>On December 20, 2011, we entered into a bridge loan financing, or the December 2011 bridge financing, in which we issued (i) convertible promissory notes, or the December 2011 notes, for (a) an aggregate principal amount of $2.5 million on December 20, 2011, (b) an aggregate principal amount of $0.4 million on December 28, 2011, (c) an aggregate principal amount of $2.9 million on April 2, 2012 and (d) an aggregate principal amount of $3.0 million on June 28, 2012, and (ii) warrants, or the December 2011 warrants, to purchase shares of our common stock at an exercise price of $30.75 per share, subject to adjustments upon the occurrence of certain events, at a purchase price of 0.1% of the principal amount of the December 2011 notes. The December 2011 notes accrued interest at a rate of 8% per annum and had a maturity date of December 31, 2012. On March 8, 2013, the December 2011 notes converted into 76,489 shares of our Series B convertible preferred stock and 760,390 shares of our Series B-1 convertible preferred stock, and the December 2011 warrants were canceled pursuant to the warrant cancellation agreement.</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summarizes the participation in the December 2011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2,987,760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2,589,392</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717,062</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53"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Consists of (a) two notes held by Domain Partners VI, L.P., or Domain VI, each with a principal amount of $937,500 and (b) a note held by Domain VI with a principal amount of $1,112,760. Mr. Podlesak and Dr. Kamdar, members of our board of directors, are partners of Domain Associates, LLC, or Domain LLC, the manager of Domain VI.</w:t>
      </w:r>
    </w:p>
    <w:p>
      <w:pPr>
        <w:ind w:left="460" w:right="180" w:hanging="452"/>
        <w:spacing w:after="0" w:line="288" w:lineRule="auto"/>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Consists of (a) two notes held by MPM BioVentures IV-QP, L.P., or MPM IV-QP, each with a principal amount of $676,896, (b) a note held by MPM IV-QP with a principal amount of $803,438, (c) two notes held by MPM BioVentures IV Strategic Fund, L.P., or MPM Strategic Fund, each with a principal amount of $90,278, (d) a note held by MPM Strategic Fund with a principal amount of $107,155, (e) two notes held by MPM BioVentures IV GMBH &amp; Co. Beteiligungs KG, or MPM Beteiligungs, each with a principal amount of $26,078, (f) a note held by MPM Beteiligungs with a principal amount of $30,953, (g) two notes held by MPM Asset Management Investors BV4 LLC, or MPM BV4, each with a principal amount of $19,248 and (h) a note held by MPM BV4 with a principal amount of $22,846. Dr. Evnin, a member of our board of directors, is a member of MPM BioVentures IV LLC, or MPM IV LLC, which is the managing</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54" w:lineRule="auto"/>
        <w:rPr>
          <w:sz w:val="20"/>
          <w:szCs w:val="20"/>
          <w:color w:val="auto"/>
        </w:rPr>
      </w:pPr>
      <w:r>
        <w:rPr>
          <w:rFonts w:ascii="Arial" w:cs="Arial" w:eastAsia="Arial" w:hAnsi="Arial"/>
          <w:sz w:val="18"/>
          <w:szCs w:val="18"/>
          <w:color w:val="auto"/>
        </w:rPr>
        <w:t>member of MPM BioVentures IV GP LLC, or MPM IV GP, which is (i) the general partner of each of MPM IV-QP and MPM Strategic Fund, and (ii) the managing limited partner of MPM Beteiligungs. MPM IV LLC is the manager of MPM BV4.</w:t>
      </w:r>
    </w:p>
    <w:p>
      <w:pPr>
        <w:ind w:left="460" w:right="40" w:hanging="452"/>
        <w:spacing w:after="0" w:line="290" w:lineRule="auto"/>
        <w:tabs>
          <w:tab w:leader="none" w:pos="4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Consists of (a) two notes held by Forward Ventures V, LP, or Forward V, each with a principal amount of $150,000, (b) a note held by Forward V with a principal amount of $178,041, (c) two notes held by Forward Ventures IV, LP, or Forward IV, each with a principal amount of $69,139, (d) a note held by Forward IV with a principal amount of $82,064, (e) two notes held by Forward Ventures IVB, LP, or Forward IVB, each with a principal amount of $5,861 and (f) a note held by Forward IVB with a principal amount of $6,957. Dr. Royston, a member of our board of directors, is a managing member of Forward Ventures, a managing member of Forward IV Associates, LLC, or Forward IV Associates, and a member of Forward V. Forward IV Associates is the general partner of each of Forward IV and Forward IVB. Forward V Associates, L.L.C., or Forward V Associates, is the general partner of Forward V.</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October 2012 Bridge Financing</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October 9, 2012, we entered into a bridge loan financing, or the October 2012 bridge financing, in which we issued convertible promissory notes, or the October 2012 notes, for an aggregate principal amount of $0.8 million. The October 2012 notes accrued interest at a rate of 8% per annum and had a maturity date of October 9, 2013. On March 8, 2013, the October 2012 notes converted into 6,920 shares of our Series B convertible preferred stock and 62,288 shares of our Series B-1 convertible preferred stock.</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the participation in the October 2012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281,250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243,749</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67,500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note held by Domain VI with a principal amount of $281,250. Mr. Podlesak and Dr. Kamdar, members of our board of directors, are partners of Domain LLC, the manager of Domain VI.</w:t>
      </w:r>
    </w:p>
    <w:p>
      <w:pPr>
        <w:ind w:left="460" w:hanging="452"/>
        <w:spacing w:after="0"/>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Consists of (a) a note held by MPM IV-QP with a principal amount of $203,069, (b) a note held by MPM Strategic Fund with a principal amount of</w:t>
      </w:r>
    </w:p>
    <w:p>
      <w:pPr>
        <w:spacing w:after="0" w:line="32" w:lineRule="exact"/>
        <w:rPr>
          <w:rFonts w:ascii="Arial" w:cs="Arial" w:eastAsia="Arial" w:hAnsi="Arial"/>
          <w:sz w:val="16"/>
          <w:szCs w:val="16"/>
          <w:color w:val="auto"/>
        </w:rPr>
      </w:pPr>
    </w:p>
    <w:p>
      <w:pPr>
        <w:ind w:left="460" w:right="340"/>
        <w:spacing w:after="0" w:line="250" w:lineRule="auto"/>
        <w:rPr>
          <w:rFonts w:ascii="Arial" w:cs="Arial" w:eastAsia="Arial" w:hAnsi="Arial"/>
          <w:sz w:val="16"/>
          <w:szCs w:val="16"/>
          <w:color w:val="auto"/>
        </w:rPr>
      </w:pPr>
      <w:r>
        <w:rPr>
          <w:rFonts w:ascii="Arial" w:cs="Arial" w:eastAsia="Arial" w:hAnsi="Arial"/>
          <w:sz w:val="18"/>
          <w:szCs w:val="18"/>
          <w:color w:val="auto"/>
        </w:rPr>
        <w:t>$27,083, (c) a note held by MPM Beteiligungs with a principal amount of $7,823 and (d) a note held by MPM BV4 with a principal amount of $5,774.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1" w:lineRule="exact"/>
        <w:rPr>
          <w:rFonts w:ascii="Arial" w:cs="Arial" w:eastAsia="Arial" w:hAnsi="Arial"/>
          <w:sz w:val="16"/>
          <w:szCs w:val="16"/>
          <w:color w:val="auto"/>
        </w:rPr>
      </w:pPr>
    </w:p>
    <w:p>
      <w:pPr>
        <w:ind w:left="460" w:right="140" w:hanging="452"/>
        <w:spacing w:after="0" w:line="254" w:lineRule="auto"/>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Consists of (a) a note held by Forward V with a principal amount of $45,000, (b) a note held by Forward IV with a principal amount of $20,742 and (c) a note held by Forward IVB with a principal amount of $1,758.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November 2012 Bridge Financing</w:t>
      </w:r>
    </w:p>
    <w:p>
      <w:pPr>
        <w:spacing w:after="0" w:line="17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November 19, 2012, we entered into a bridge loan financing, or the November 2012 bridge financing, in which we issued convertible promissory notes, or the November 2012 notes, for (i) an aggregate principal amount of $0.5 million on November 19, 2012, which had a maturity date of November 19, 2013,</w:t>
      </w:r>
    </w:p>
    <w:p>
      <w:pPr>
        <w:ind w:firstLine="8"/>
        <w:spacing w:after="0" w:line="261" w:lineRule="auto"/>
        <w:tabs>
          <w:tab w:leader="none" w:pos="2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aggregate principal amount of $0.5 million on November 30, 2012, which had a maturity date of November 30, 2013, (iii) an aggregate principal amount of $0.5 million 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December 28, 2012, which had a maturity date of December 28, 2013 and (iv) an aggregate principal amount of $0.7 million on January 18, 2013, which had a maturity date of January 18, 2014. The November 2012 notes accrued interest at a rate of 8% per annum. On March 8, 2013, the November 2012 notes converted into 196,306 shares of our Series B-1 convertible preferred stock.</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participation in the November 2012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1,026,000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701,998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194,400</w:t>
            </w:r>
            <w:r>
              <w:rPr>
                <w:rFonts w:ascii="Arial" w:cs="Arial" w:eastAsia="Arial" w:hAnsi="Arial"/>
                <w:sz w:val="11"/>
                <w:szCs w:val="11"/>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52"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(a) two notes held by Domain Partners VIII, L.P., or Domain VIII, each with a principal amount of $235,751, (b) a note held by Domain VIII with a principal amount of $330,051, (c) a note held by Domain VIII with a principal amount of $216,891, (d) two notes held by DP VIII Associates, L.P., or DP VIII, each with a principal amount of $1,749, (e) a note held by DP VIII with a principal amount of $2,449 and (f) a note held by DP VIII with a principal amount of $1,609. Mr. Podlesak and Dr. Kamdar, members of our board of directors, are partners of Domain LLC, the manager of each of Domain VIII and DP VIII.</w:t>
      </w:r>
    </w:p>
    <w:p>
      <w:pPr>
        <w:ind w:left="460" w:hanging="452"/>
        <w:spacing w:after="0"/>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(a) two notes held by MPM IV-QP, each with a principal amount of $135,380, (b) a note held by MPM IV-QP with a principal amount of</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$189,532, (c) a note held by MPM IV-QP with a principal amount of $124,550, (d) two notes held by MPM Strategic Fund, each with a principal amount of $18,055, (e) a note held by MPM Strategic Fund with a principal amount of $25,278, (f) a note held by MPM Strategic Fund with a principal amount of $16,611, (g) two notes held by MPM Beteiligungs, each with a principal amount of $5,215, (h) a note held by MPM Beteiligungs with a principal amount of $7,301, (i) a note held by MPM Beteiligungs with a principal amount of $4,798, (j) two notes held by MPM BV4, each with a principal amount of $3,849, (k) a note held by MPM BV4 with a principal amount of $5,389 and (l) a note held by MPM BV4 with a principal amount of $3,541.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Consists of (a) two notes held by Forward V, each with a principal amount of $30,000, (b) a note held by Forward V with a principal amount of $42,000,</w:t>
      </w:r>
    </w:p>
    <w:p>
      <w:pPr>
        <w:spacing w:after="0" w:line="32" w:lineRule="exact"/>
        <w:rPr>
          <w:rFonts w:ascii="Arial" w:cs="Arial" w:eastAsia="Arial" w:hAnsi="Arial"/>
          <w:sz w:val="16"/>
          <w:szCs w:val="16"/>
          <w:color w:val="auto"/>
        </w:rPr>
      </w:pPr>
    </w:p>
    <w:p>
      <w:pPr>
        <w:ind w:left="460" w:right="60"/>
        <w:spacing w:after="0" w:line="252" w:lineRule="auto"/>
        <w:rPr>
          <w:rFonts w:ascii="Arial" w:cs="Arial" w:eastAsia="Arial" w:hAnsi="Arial"/>
          <w:sz w:val="16"/>
          <w:szCs w:val="16"/>
          <w:color w:val="auto"/>
        </w:rPr>
      </w:pPr>
      <w:r>
        <w:rPr>
          <w:rFonts w:ascii="Arial" w:cs="Arial" w:eastAsia="Arial" w:hAnsi="Arial"/>
          <w:sz w:val="18"/>
          <w:szCs w:val="18"/>
          <w:color w:val="auto"/>
        </w:rPr>
        <w:t>(c) a note held by Forward V with a principal amount of $27,600, (d) two notes held by Forward IV, each with a principal amount of $13,828, (e) a note held by Forward IV with a principal amount of $19,359, (f) a note held by Forward IV with a principal amount of $12,722, (g) two notes held by Forward IVB, each with a principal amount of $1,172, (h) a note held by Forward IVB with a principal amount of $1,641 and (i) a note held by Forward IVB with a principal amount of $1,078.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September 2014 Bridge Financing</w:t>
      </w:r>
    </w:p>
    <w:p>
      <w:pPr>
        <w:spacing w:after="0" w:line="171"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On September 18, 2014, we entered into a bridge loan financing, or the September 2014 bridge financing, in which we issued convertible unsecured promissory notes, or the September 2014 notes, for (i) an aggregate principal amount of $4,947,480 on September 18, 2014, which had a maturity date of September 30, 2015 and (ii) an aggregate principal amount of $52,520 on October 1, 2014, which had a maturity date of September 30, 2015. The September 2014 notes accrued interest at a rate of 6% per annum. On June 1, 2015, the September 2014 notes converted into 465,563 shares of our Series C-1 convertible preferred stock.</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 summarizes the participation in the September 2014 bridge financing by holders of more than 5% of our capital stock and their affiliated entities: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9940" w:type="dxa"/>
            <w:vAlign w:val="bottom"/>
            <w:vMerge w:val="restart"/>
          </w:tcPr>
          <w:p>
            <w:pPr>
              <w:spacing w:after="0"/>
              <w:rPr>
                <w:sz w:val="14"/>
                <w:szCs w:val="14"/>
                <w:color w:val="auto"/>
              </w:rPr>
            </w:pPr>
          </w:p>
        </w:tc>
        <w:tc>
          <w:tcPr>
            <w:tcW w:w="1100" w:type="dxa"/>
            <w:vAlign w:val="bottom"/>
            <w:gridSpan w:val="2"/>
          </w:tcPr>
          <w:p>
            <w:pPr>
              <w:jc w:val="right"/>
              <w:ind w:right="124"/>
              <w:spacing w:after="0"/>
              <w:rPr>
                <w:sz w:val="20"/>
                <w:szCs w:val="20"/>
                <w:color w:val="auto"/>
              </w:rPr>
            </w:pPr>
            <w:r>
              <w:rPr>
                <w:rFonts w:ascii="Arial" w:cs="Arial" w:eastAsia="Arial" w:hAnsi="Arial"/>
                <w:sz w:val="14"/>
                <w:szCs w:val="14"/>
                <w:b w:val="1"/>
                <w:bCs w:val="1"/>
                <w:color w:val="auto"/>
                <w:w w:val="84"/>
              </w:rPr>
              <w:t>Aggregate Loan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940" w:type="dxa"/>
            <w:vAlign w:val="bottom"/>
            <w:vMerge w:val="continue"/>
          </w:tcPr>
          <w:p>
            <w:pPr>
              <w:spacing w:after="0"/>
              <w:rPr>
                <w:sz w:val="14"/>
                <w:szCs w:val="14"/>
                <w:color w:val="auto"/>
              </w:rPr>
            </w:pPr>
          </w:p>
        </w:tc>
        <w:tc>
          <w:tcPr>
            <w:tcW w:w="1100" w:type="dxa"/>
            <w:vAlign w:val="bottom"/>
            <w:gridSpan w:val="2"/>
          </w:tcPr>
          <w:p>
            <w:pPr>
              <w:jc w:val="right"/>
              <w:ind w:right="244"/>
              <w:spacing w:after="0" w:line="148" w:lineRule="exact"/>
              <w:rPr>
                <w:sz w:val="20"/>
                <w:szCs w:val="20"/>
                <w:color w:val="auto"/>
              </w:rPr>
            </w:pPr>
            <w:r>
              <w:rPr>
                <w:rFonts w:ascii="Arial" w:cs="Arial" w:eastAsia="Arial" w:hAnsi="Arial"/>
                <w:sz w:val="14"/>
                <w:szCs w:val="14"/>
                <w:b w:val="1"/>
                <w:bCs w:val="1"/>
                <w:color w:val="auto"/>
              </w:rPr>
              <w:t>Amount ($)</w:t>
            </w:r>
          </w:p>
        </w:tc>
        <w:tc>
          <w:tcPr>
            <w:tcW w:w="0" w:type="dxa"/>
            <w:vAlign w:val="bottom"/>
          </w:tcPr>
          <w:p>
            <w:pPr>
              <w:spacing w:after="0"/>
              <w:rPr>
                <w:sz w:val="1"/>
                <w:szCs w:val="1"/>
                <w:color w:val="auto"/>
              </w:rPr>
            </w:pPr>
          </w:p>
        </w:tc>
      </w:tr>
      <w:tr>
        <w:trPr>
          <w:trHeight w:val="203"/>
        </w:trPr>
        <w:tc>
          <w:tcPr>
            <w:tcW w:w="103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1,987,072</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216"/>
        </w:trPr>
        <w:tc>
          <w:tcPr>
            <w:tcW w:w="1032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1,706,905</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16"/>
        </w:trPr>
        <w:tc>
          <w:tcPr>
            <w:tcW w:w="10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472,682</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22"/>
        </w:trPr>
        <w:tc>
          <w:tcPr>
            <w:tcW w:w="1032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780,821</w:t>
            </w:r>
            <w:r>
              <w:rPr>
                <w:rFonts w:ascii="Arial" w:cs="Arial" w:eastAsia="Arial" w:hAnsi="Arial"/>
                <w:sz w:val="11"/>
                <w:szCs w:val="1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60" w:hanging="452"/>
        <w:spacing w:after="0" w:line="28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(a) a note held by Domain VIII with a principal amount of $1,972,436 and (b) a note held by DP VIII with a principal amount of $14,636. Mr. Podlesak and Dr. Kamdar, members of our board of directors, are partners of Domain LLC, the manager of each of Domain VIII and DP VIII.</w:t>
      </w:r>
    </w:p>
    <w:p>
      <w:pPr>
        <w:ind w:left="460" w:hanging="452"/>
        <w:spacing w:after="0"/>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Consists of (a) a note held by MPM IV-QP with a principal amount of $1,422,028, (b) a note held by MPM Strategic Fund with a principal amount of</w:t>
      </w:r>
    </w:p>
    <w:p>
      <w:pPr>
        <w:spacing w:after="0" w:line="32" w:lineRule="exact"/>
        <w:rPr>
          <w:rFonts w:ascii="Arial" w:cs="Arial" w:eastAsia="Arial" w:hAnsi="Arial"/>
          <w:sz w:val="16"/>
          <w:szCs w:val="16"/>
          <w:color w:val="auto"/>
        </w:rPr>
      </w:pPr>
    </w:p>
    <w:p>
      <w:pPr>
        <w:ind w:left="460" w:right="120"/>
        <w:spacing w:after="0" w:line="250" w:lineRule="auto"/>
        <w:rPr>
          <w:rFonts w:ascii="Arial" w:cs="Arial" w:eastAsia="Arial" w:hAnsi="Arial"/>
          <w:sz w:val="16"/>
          <w:szCs w:val="16"/>
          <w:color w:val="auto"/>
        </w:rPr>
      </w:pPr>
      <w:r>
        <w:rPr>
          <w:rFonts w:ascii="Arial" w:cs="Arial" w:eastAsia="Arial" w:hAnsi="Arial"/>
          <w:sz w:val="18"/>
          <w:szCs w:val="18"/>
          <w:color w:val="auto"/>
        </w:rPr>
        <w:t>$189,656, (c) a note held by MPM Beteiligungs with a principal amount of $54,785 and (d) a note held by MPM BV4 with a principal amount of $40,436. Dr. Evnin, a member of our board of directors, is a member of MPM IV LLC, which is the managing member of MPM IV GP, which is (i) the general partner of each of MPM IV-QP and MPM Strategic Fund, and (ii) the managing limited partner of MPM Beteiligungs. MPM IV LLC is the manager of MPM BV4.</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(a) a note held by Forward V with a principal amount of $315,121, (b) a note held by Forward IV with a principal amount of $145,248 and (c) a note held by Forward IVB with a principal amount of $12,313. Dr. Royston, a member of our board of directors, is a managing member of Forward Ventures, a managing member of Forward IV Associates and a member of Forward V. Forward IV Associates is the general partner of each of Forward IV and Forward IVB. Forward V Associates is the general partner of Forward V.</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a note held by RMI Investments, S.á.r.l., or RMI, with a principal amount of $780,821.</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 Financings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A Convertible Preferred Stock</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March 8, 2013, in connection with the Series B-1 financing, 3,939,957 shares of our Series A convertible preferred stock converted into shares of our Series A-1 convertible preferred stock. The Series A convertible preferred stock was issued in 2007, 2008 and 2010 in exchange for convertible debt, accrued interest and cash, for gross cash proceeds of $49.0 million.</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the number of shares of Series A-1 convertible preferred stock received in the conversion of the Series A convertible preferred stock by holders of more than 5% of our capital stock and their affiliated entities. Each share of Series A-1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Shares of Series A-1</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Convertible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2"/>
              </w:rPr>
              <w:t>Series A</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Preferred Stock</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Issued Upon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Conversion of</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80" w:type="dxa"/>
            <w:vAlign w:val="bottom"/>
            <w:vMerge w:val="restart"/>
          </w:tcPr>
          <w:p>
            <w:pPr>
              <w:spacing w:after="0"/>
              <w:rPr>
                <w:sz w:val="12"/>
                <w:szCs w:val="12"/>
                <w:color w:val="auto"/>
              </w:rPr>
            </w:pPr>
          </w:p>
        </w:tc>
        <w:tc>
          <w:tcPr>
            <w:tcW w:w="168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Stock</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Series A 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80" w:type="dxa"/>
            <w:vAlign w:val="bottom"/>
            <w:vMerge w:val="continue"/>
          </w:tcPr>
          <w:p>
            <w:pPr>
              <w:spacing w:after="0"/>
              <w:rPr>
                <w:sz w:val="14"/>
                <w:szCs w:val="14"/>
                <w:color w:val="auto"/>
              </w:rPr>
            </w:pPr>
          </w:p>
        </w:tc>
        <w:tc>
          <w:tcPr>
            <w:tcW w:w="168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88"/>
              </w:rPr>
              <w:t>Converted (#)</w:t>
            </w:r>
          </w:p>
        </w:tc>
        <w:tc>
          <w:tcPr>
            <w:tcW w:w="12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3"/>
        </w:trPr>
        <w:tc>
          <w:tcPr>
            <w:tcW w:w="84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1,641,650</w:t>
            </w:r>
          </w:p>
        </w:tc>
        <w:tc>
          <w:tcPr>
            <w:tcW w:w="8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1,641,650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6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1,422,763</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1,422,763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393,995</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Podlesak and Dr. Kamdar, members of our board of directors, are partners of Domain LLC.</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Dr. Evnin, a member of our board of directors, is a managing director of MPM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Dr. Royston, a member of our board of directors, is a managing member of Forward Ventures.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17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March 8, 2013, we entered into the Series B-1 financing, pursuant to a Series B-1 preferred stock purchase agreement, or the Series B-1 purchase agreement, in which we agreed to sell up to 2,763,239 shares of our Series B-1 convertible preferred stock at a price per share of $11.19 in five tranches. The first tranche closed on March 8, 2013, at which time we issued 1,724,067 shares of Series B-1 convertible preferred stock, for net cash proceeds of $1.3 million and conversion of $18.7 million in principal amount of convertible notes and accrued interest thereon. In connection with the closing of the first tranche, the convertible notes we issued in the August 2010 bridge financing, December 2011 bridge financing, October 2012 bridge financing and November 2012 bridge financing and certain convertible notes we issued in February 2013 converted into either shares of Series B-1 convertible preferred stock or shares of Series B convertible preferred stock, contingent on whether the note holder invested its pro rata share in the Series B-1 financing. Collectively, these convertible notes converted into 1,605,697 shares of our Series B-1 convertible preferred stock and 148,153 shares of our Series B convertible preferred stock. The second tranche closed on April 30, 2013, at which time we issued 98,268 additional shares of Series B-1 convertible preferred stock, for gross cash proceeds of $1.1 million. In August 2013, we amended the Series B-1 purchase agreement in order to add RMI as a purchaser to the third tranche and any subsequent tranches. The third tranche closed on August 20, 2013, at which time we issued 605,280 additional shares of Series B-1 convertible preferred stock, for gross cash proceeds of $6.8 million. The Series B-1 purchase agreement provides for closings of fourth and fifth tranches upon the completion of certain closing conditions. In November 2013, we entered into an acknowledgement and waiver agreement with the purchasers of Series B-1 convertible preferred stock, pursuant to which the investors waived certain closing conditions relating to the date of closing of the fourth and fifth tranches, including the condition that we complete certain patent assignments as more fully described below. See the section titled “Certain Relationships and Related Party Transactions—NovaMedica Agreements.” Accordingly, the fourth and fifth tranches were accelerated and closed on November 20, 2013. At the closing of the fourth tranche, we issued 678,988 additional shares of Series B-1 convertible preferred stock, for gross cash proceeds of $7.6 million. At the closing of the fifth tranche, we issued 428,839 additional shares of Series B-1 convertible preferred stock, for gross cash proceeds of $4.8 million.</w:t>
      </w:r>
    </w:p>
    <w:p>
      <w:pPr>
        <w:spacing w:after="0" w:line="13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tables below set forth the number of shares of Series B-1 convertible preferred stock purchased by holders of more than 5% of our capital stock and their affiliated entities in each of the five tranches of the Series B-1 financing. Each share of Series B-1 convertible preferred stock in the tables below will convert into one share of our common stock upon completion of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Tranche—March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Cancellation</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2"/>
              </w:rPr>
              <w:t>Cash Purchase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Series B-1</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of Indebted-</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Price of Series</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(including Note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ness (Note</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B-1 Convertible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Conversion and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Cash Purchase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20" w:type="dxa"/>
            <w:vAlign w:val="bottom"/>
            <w:vMerge w:val="continue"/>
          </w:tcPr>
          <w:p>
            <w:pPr>
              <w:spacing w:after="0"/>
              <w:rPr>
                <w:sz w:val="14"/>
                <w:szCs w:val="14"/>
                <w:color w:val="auto"/>
              </w:rPr>
            </w:pPr>
          </w:p>
        </w:tc>
        <w:tc>
          <w:tcPr>
            <w:tcW w:w="2100" w:type="dxa"/>
            <w:vAlign w:val="bottom"/>
          </w:tcPr>
          <w:p>
            <w:pPr>
              <w:spacing w:after="0"/>
              <w:rPr>
                <w:sz w:val="14"/>
                <w:szCs w:val="14"/>
                <w:color w:val="auto"/>
              </w:rPr>
            </w:pPr>
          </w:p>
        </w:tc>
        <w:tc>
          <w:tcPr>
            <w:tcW w:w="1240" w:type="dxa"/>
            <w:vAlign w:val="bottom"/>
            <w:gridSpan w:val="2"/>
          </w:tcPr>
          <w:p>
            <w:pPr>
              <w:jc w:val="center"/>
              <w:ind w:right="520"/>
              <w:spacing w:after="0" w:line="148" w:lineRule="exact"/>
              <w:rPr>
                <w:sz w:val="20"/>
                <w:szCs w:val="20"/>
                <w:color w:val="auto"/>
              </w:rPr>
            </w:pPr>
            <w:r>
              <w:rPr>
                <w:rFonts w:ascii="Arial" w:cs="Arial" w:eastAsia="Arial" w:hAnsi="Arial"/>
                <w:sz w:val="14"/>
                <w:szCs w:val="14"/>
                <w:b w:val="1"/>
                <w:bCs w:val="1"/>
                <w:color w:val="auto"/>
                <w:w w:val="87"/>
              </w:rPr>
              <w:t>Stock (#)</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4"/>
                <w:szCs w:val="14"/>
                <w:color w:val="auto"/>
              </w:rPr>
            </w:pPr>
          </w:p>
        </w:tc>
        <w:tc>
          <w:tcPr>
            <w:tcW w:w="1460" w:type="dxa"/>
            <w:vAlign w:val="bottom"/>
            <w:gridSpan w:val="2"/>
          </w:tcPr>
          <w:p>
            <w:pPr>
              <w:jc w:val="center"/>
              <w:ind w:right="540"/>
              <w:spacing w:after="0" w:line="148" w:lineRule="exact"/>
              <w:rPr>
                <w:sz w:val="20"/>
                <w:szCs w:val="20"/>
                <w:color w:val="auto"/>
              </w:rPr>
            </w:pPr>
            <w:r>
              <w:rPr>
                <w:rFonts w:ascii="Arial" w:cs="Arial" w:eastAsia="Arial" w:hAnsi="Arial"/>
                <w:sz w:val="14"/>
                <w:szCs w:val="14"/>
                <w:b w:val="1"/>
                <w:bCs w:val="1"/>
                <w:color w:val="auto"/>
                <w:w w:val="87"/>
              </w:rPr>
              <w:t>Stock ($)</w:t>
            </w:r>
          </w:p>
        </w:tc>
        <w:tc>
          <w:tcPr>
            <w:tcW w:w="102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203"/>
        </w:trPr>
        <w:tc>
          <w:tcPr>
            <w:tcW w:w="4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2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700,273</w:t>
            </w:r>
          </w:p>
        </w:tc>
        <w:tc>
          <w:tcPr>
            <w:tcW w:w="5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7,283,713</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554,472</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7,838,185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589,158</w:t>
            </w:r>
          </w:p>
        </w:tc>
        <w:tc>
          <w:tcPr>
            <w:tcW w:w="5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6,118,207</w:t>
            </w:r>
          </w:p>
        </w:tc>
        <w:tc>
          <w:tcPr>
            <w:tcW w:w="920" w:type="dxa"/>
            <w:vAlign w:val="bottom"/>
          </w:tcPr>
          <w:p>
            <w:pPr>
              <w:jc w:val="right"/>
              <w:spacing w:after="0"/>
              <w:rPr>
                <w:sz w:val="20"/>
                <w:szCs w:val="20"/>
                <w:color w:val="auto"/>
              </w:rPr>
            </w:pPr>
            <w:r>
              <w:rPr>
                <w:rFonts w:ascii="Arial" w:cs="Arial" w:eastAsia="Arial" w:hAnsi="Arial"/>
                <w:sz w:val="18"/>
                <w:szCs w:val="18"/>
                <w:color w:val="auto"/>
              </w:rPr>
              <w:t>476,294</w:t>
            </w:r>
          </w:p>
        </w:tc>
        <w:tc>
          <w:tcPr>
            <w:tcW w:w="5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6,594,501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163,149</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1,694,273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131,897</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100" w:type="dxa"/>
            <w:vAlign w:val="bottom"/>
          </w:tcPr>
          <w:p>
            <w:pPr>
              <w:jc w:val="right"/>
              <w:ind w:right="472"/>
              <w:spacing w:after="0"/>
              <w:rPr>
                <w:sz w:val="20"/>
                <w:szCs w:val="20"/>
                <w:color w:val="auto"/>
              </w:rPr>
            </w:pPr>
            <w:r>
              <w:rPr>
                <w:rFonts w:ascii="Arial" w:cs="Arial" w:eastAsia="Arial" w:hAnsi="Arial"/>
                <w:sz w:val="18"/>
                <w:szCs w:val="18"/>
                <w:color w:val="auto"/>
              </w:rPr>
              <w:t>152</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Second Tranche—April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64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84"/>
              </w:rPr>
              <w:t>Series B-1</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6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1640" w:type="dxa"/>
            <w:vAlign w:val="bottom"/>
            <w:gridSpan w:val="6"/>
          </w:tcPr>
          <w:p>
            <w:pPr>
              <w:jc w:val="center"/>
              <w:ind w:right="9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Convertible 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1020"/>
              <w:spacing w:after="0" w:line="148" w:lineRule="exact"/>
              <w:rPr>
                <w:sz w:val="20"/>
                <w:szCs w:val="20"/>
                <w:color w:val="auto"/>
              </w:rPr>
            </w:pPr>
            <w:r>
              <w:rPr>
                <w:rFonts w:ascii="Arial" w:cs="Arial" w:eastAsia="Arial" w:hAnsi="Arial"/>
                <w:sz w:val="14"/>
                <w:szCs w:val="14"/>
                <w:b w:val="1"/>
                <w:bCs w:val="1"/>
                <w:color w:val="auto"/>
                <w:w w:val="84"/>
              </w:rPr>
              <w:t>Stock (#)</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700" w:type="dxa"/>
            <w:vAlign w:val="bottom"/>
            <w:tcBorders>
              <w:top w:val="single" w:sz="8" w:color="auto"/>
            </w:tcBorders>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w w:val="83"/>
              </w:rPr>
              <w:t>41,124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460,316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700" w:type="dxa"/>
            <w:vAlign w:val="bottom"/>
            <w:gridSpan w:val="3"/>
          </w:tcPr>
          <w:p>
            <w:pPr>
              <w:ind w:left="220"/>
              <w:spacing w:after="0"/>
              <w:rPr>
                <w:sz w:val="20"/>
                <w:szCs w:val="20"/>
                <w:color w:val="auto"/>
              </w:rPr>
            </w:pPr>
            <w:r>
              <w:rPr>
                <w:rFonts w:ascii="Arial" w:cs="Arial" w:eastAsia="Arial" w:hAnsi="Arial"/>
                <w:sz w:val="18"/>
                <w:szCs w:val="18"/>
                <w:color w:val="auto"/>
                <w:w w:val="83"/>
              </w:rPr>
              <w:t>35,324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395,414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7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4"/>
              </w:rPr>
              <w:t>9,781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Third Tranche—August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84"/>
              </w:rPr>
              <w:t>Series B-1</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Convertible 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ind w:right="840"/>
              <w:spacing w:after="0" w:line="148" w:lineRule="exact"/>
              <w:rPr>
                <w:sz w:val="20"/>
                <w:szCs w:val="20"/>
                <w:color w:val="auto"/>
              </w:rPr>
            </w:pPr>
            <w:r>
              <w:rPr>
                <w:rFonts w:ascii="Arial" w:cs="Arial" w:eastAsia="Arial" w:hAnsi="Arial"/>
                <w:sz w:val="14"/>
                <w:szCs w:val="14"/>
                <w:b w:val="1"/>
                <w:bCs w:val="1"/>
                <w:color w:val="auto"/>
                <w:w w:val="87"/>
              </w:rPr>
              <w:t>Stock (#)</w:t>
            </w:r>
          </w:p>
        </w:tc>
        <w:tc>
          <w:tcPr>
            <w:tcW w:w="120" w:type="dxa"/>
            <w:vAlign w:val="bottom"/>
          </w:tcPr>
          <w:p>
            <w:pPr>
              <w:spacing w:after="0"/>
              <w:rPr>
                <w:sz w:val="14"/>
                <w:szCs w:val="14"/>
                <w:color w:val="auto"/>
              </w:rPr>
            </w:pPr>
          </w:p>
        </w:tc>
        <w:tc>
          <w:tcPr>
            <w:tcW w:w="12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ind w:left="120"/>
              <w:spacing w:after="0" w:line="203" w:lineRule="exact"/>
              <w:rPr>
                <w:sz w:val="20"/>
                <w:szCs w:val="20"/>
                <w:color w:val="auto"/>
              </w:rPr>
            </w:pPr>
            <w:r>
              <w:rPr>
                <w:rFonts w:ascii="Arial" w:cs="Arial" w:eastAsia="Arial" w:hAnsi="Arial"/>
                <w:sz w:val="18"/>
                <w:szCs w:val="18"/>
                <w:color w:val="auto"/>
                <w:w w:val="86"/>
              </w:rPr>
              <w:t>141,870</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1,587,973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121,866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1,364,076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78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3"/>
              </w:rPr>
              <w:t>33,746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780" w:type="dxa"/>
            <w:vAlign w:val="bottom"/>
            <w:gridSpan w:val="4"/>
          </w:tcPr>
          <w:p>
            <w:pPr>
              <w:ind w:left="200"/>
              <w:spacing w:after="0"/>
              <w:rPr>
                <w:sz w:val="20"/>
                <w:szCs w:val="20"/>
                <w:color w:val="auto"/>
              </w:rPr>
            </w:pPr>
            <w:r>
              <w:rPr>
                <w:rFonts w:ascii="Arial" w:cs="Arial" w:eastAsia="Arial" w:hAnsi="Arial"/>
                <w:sz w:val="18"/>
                <w:szCs w:val="18"/>
                <w:color w:val="auto"/>
                <w:w w:val="86"/>
              </w:rPr>
              <w:t>303,761</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Fourth Tranche—November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4"/>
              </w:rPr>
              <w:t>Series B-1</w:t>
            </w:r>
          </w:p>
        </w:tc>
        <w:tc>
          <w:tcPr>
            <w:tcW w:w="12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0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0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right="640"/>
              <w:spacing w:after="0" w:line="148" w:lineRule="exact"/>
              <w:rPr>
                <w:sz w:val="20"/>
                <w:szCs w:val="20"/>
                <w:color w:val="auto"/>
              </w:rPr>
            </w:pPr>
            <w:r>
              <w:rPr>
                <w:rFonts w:ascii="Arial" w:cs="Arial" w:eastAsia="Arial" w:hAnsi="Arial"/>
                <w:sz w:val="14"/>
                <w:szCs w:val="14"/>
                <w:b w:val="1"/>
                <w:bCs w:val="1"/>
                <w:color w:val="auto"/>
                <w:w w:val="87"/>
              </w:rPr>
              <w:t>Stock (#)</w:t>
            </w:r>
          </w:p>
        </w:tc>
        <w:tc>
          <w:tcPr>
            <w:tcW w:w="120" w:type="dxa"/>
            <w:vAlign w:val="bottom"/>
          </w:tcPr>
          <w:p>
            <w:pPr>
              <w:spacing w:after="0"/>
              <w:rPr>
                <w:sz w:val="14"/>
                <w:szCs w:val="14"/>
                <w:color w:val="auto"/>
              </w:rPr>
            </w:pP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4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(1)</w:t>
            </w:r>
          </w:p>
        </w:tc>
        <w:tc>
          <w:tcPr>
            <w:tcW w:w="32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176,551</w:t>
            </w: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1,976,143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(2)</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151,656</w:t>
            </w:r>
          </w:p>
        </w:tc>
        <w:tc>
          <w:tcPr>
            <w:tcW w:w="6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1,697,517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(3)</w:t>
            </w: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41,996</w:t>
            </w:r>
          </w:p>
        </w:tc>
        <w:tc>
          <w:tcPr>
            <w:tcW w:w="6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RMI Investments</w:t>
            </w: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303,761</w:t>
            </w:r>
          </w:p>
        </w:tc>
        <w:tc>
          <w:tcPr>
            <w:tcW w:w="64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380" w:type="dxa"/>
            <w:vAlign w:val="bottom"/>
          </w:tcPr>
          <w:p>
            <w:pPr>
              <w:spacing w:after="0"/>
              <w:rPr>
                <w:sz w:val="24"/>
                <w:szCs w:val="24"/>
                <w:color w:val="auto"/>
              </w:rPr>
            </w:pPr>
          </w:p>
        </w:tc>
        <w:tc>
          <w:tcPr>
            <w:tcW w:w="802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Fifth Tranche—November 2013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RMI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5"/>
          <w:szCs w:val="15"/>
          <w:color w:val="auto"/>
        </w:rPr>
      </w:pPr>
      <w:r>
        <w:rPr>
          <w:rFonts w:ascii="Arial" w:cs="Arial" w:eastAsia="Arial" w:hAnsi="Arial"/>
          <w:sz w:val="15"/>
          <w:szCs w:val="15"/>
          <w:color w:val="auto"/>
        </w:rPr>
        <w:t>Mr. Podlesak and Dr. Kamdar, members of our board of directors, are partners of Domain LLC.</w:t>
      </w:r>
    </w:p>
    <w:p>
      <w:pPr>
        <w:spacing w:after="0" w:line="49" w:lineRule="exact"/>
        <w:rPr>
          <w:rFonts w:ascii="Arial" w:cs="Arial" w:eastAsia="Arial" w:hAnsi="Arial"/>
          <w:sz w:val="15"/>
          <w:szCs w:val="15"/>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 Evnin, a member of our board of directors, is a managing director of MPM Capital.</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Dr. Royston, a member of our board of directors, is a managing member of Forward Ventures.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5"/>
              </w:rPr>
              <w:t>Aggregate Purchase</w:t>
            </w:r>
          </w:p>
        </w:tc>
      </w:tr>
      <w:tr>
        <w:trPr>
          <w:trHeight w:val="149"/>
        </w:trPr>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 Series B-1</w:t>
            </w:r>
          </w:p>
        </w:tc>
      </w:tr>
      <w:tr>
        <w:trPr>
          <w:trHeight w:val="149"/>
        </w:trPr>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r>
      <w:tr>
        <w:trPr>
          <w:trHeight w:val="161"/>
        </w:trPr>
        <w:tc>
          <w:tcPr>
            <w:tcW w:w="14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Stock (#)</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r>
      <w:tr>
        <w:trPr>
          <w:trHeight w:val="216"/>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428,839</w:t>
            </w:r>
          </w:p>
        </w:tc>
        <w:tc>
          <w:tcPr>
            <w:tcW w:w="76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4,800,000</w:t>
            </w:r>
          </w:p>
        </w:tc>
      </w:tr>
    </w:tbl>
    <w:p>
      <w:pPr>
        <w:spacing w:after="0" w:line="1322" w:lineRule="exact"/>
        <w:rPr>
          <w:sz w:val="20"/>
          <w:szCs w:val="20"/>
          <w:color w:val="auto"/>
        </w:rPr>
      </w:pPr>
    </w:p>
    <w:p>
      <w:pPr>
        <w:sectPr>
          <w:pgSz w:w="11900" w:h="16838" w:orient="portrait"/>
          <w:cols w:equalWidth="0" w:num="2">
            <w:col w:w="8000" w:space="720"/>
            <w:col w:w="2700"/>
          </w:cols>
          <w:pgMar w:left="240" w:top="459" w:right="239" w:bottom="1440" w:gutter="0" w:footer="0" w:header="0"/>
          <w:type w:val="continuous"/>
        </w:sectPr>
      </w:pPr>
    </w:p>
    <w:p>
      <w:pPr>
        <w:ind w:right="20" w:firstLine="456"/>
        <w:spacing w:after="0" w:line="291" w:lineRule="auto"/>
        <w:rPr>
          <w:sz w:val="20"/>
          <w:szCs w:val="20"/>
          <w:color w:val="auto"/>
        </w:rPr>
      </w:pPr>
      <w:r>
        <w:rPr>
          <w:rFonts w:ascii="Arial" w:cs="Arial" w:eastAsia="Arial" w:hAnsi="Arial"/>
          <w:sz w:val="16"/>
          <w:szCs w:val="16"/>
          <w:color w:val="auto"/>
        </w:rPr>
        <w:t>On April 18, 2013, we entered into a license and development agreement, or the Eddingpharm license agreement, with Eddingpharm International Company Limited, or Eddingpharm. In connection with the Eddingpharm license agreement, Eddingpharm agreed to purchase shares of our Series B-1 convertible preferred stock. On April 18, 2013, we entered into a preferred stock financing with Eddingpharm, or the Eddingpharm Series B-1 financing, in which we agreed to sell up to 446,707 shares of our Series B-1 convertible preferred stock at a price per share of $11.19 in two tranches. The first tranche closed on July 17, 2013, at which time we issued 223,353 shares of Series B-1 convertible preferred stock, for gross cash proceeds of $2.5 million. In November 2013, we entered into a letter agreement with Eddingpharm, pursuant to which Eddingpharm waived certain closing conditions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relating to the date of closing of the second tranche. Accordingly, the second tranche was accelerated and closed on November 15, 2013, at which time we issued 223,353 additional shares of Series B-1 convertible preferred stock, for gross cash proceeds of $2.5 million.</w:t>
      </w:r>
    </w:p>
    <w:p>
      <w:pPr>
        <w:spacing w:after="0" w:line="132"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The tables below set forth the number of shares of Series B-1 convertible preferred stock purchased by Eddingpharm in each of the two tranches of the Eddingpharm Series B-1 financing. Each share of Series B-1 convertible preferred stock in the tables below will convert into one share of our common stock upon completion of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First Tranche—July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40" w:type="dxa"/>
            <w:vAlign w:val="bottom"/>
            <w:vMerge w:val="restart"/>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14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Eddingpharm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223,353</w:t>
            </w: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380" w:type="dxa"/>
            <w:vAlign w:val="bottom"/>
          </w:tcPr>
          <w:p>
            <w:pPr>
              <w:spacing w:after="0"/>
              <w:rPr>
                <w:sz w:val="24"/>
                <w:szCs w:val="24"/>
                <w:color w:val="auto"/>
              </w:rPr>
            </w:pPr>
          </w:p>
        </w:tc>
        <w:tc>
          <w:tcPr>
            <w:tcW w:w="834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Second Tranche—November 2013</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4"/>
              </w:rPr>
              <w:t>Series B-1</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Price of Series B-1</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40" w:type="dxa"/>
            <w:vAlign w:val="bottom"/>
            <w:vMerge w:val="restart"/>
          </w:tcPr>
          <w:p>
            <w:pPr>
              <w:spacing w:after="0"/>
              <w:rPr>
                <w:sz w:val="12"/>
                <w:szCs w:val="12"/>
                <w:color w:val="auto"/>
              </w:rPr>
            </w:pPr>
          </w:p>
        </w:tc>
        <w:tc>
          <w:tcPr>
            <w:tcW w:w="14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40" w:type="dxa"/>
            <w:vAlign w:val="bottom"/>
            <w:vMerge w:val="continue"/>
          </w:tcPr>
          <w:p>
            <w:pPr>
              <w:spacing w:after="0"/>
              <w:rPr>
                <w:sz w:val="14"/>
                <w:szCs w:val="14"/>
                <w:color w:val="auto"/>
              </w:rPr>
            </w:pPr>
          </w:p>
        </w:tc>
        <w:tc>
          <w:tcPr>
            <w:tcW w:w="144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 xml:space="preserve">Preferred Stock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8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Eddingpharm</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223,353</w:t>
            </w:r>
          </w:p>
        </w:tc>
        <w:tc>
          <w:tcPr>
            <w:tcW w:w="7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April 2015, Eddingpharm transferred all of the Series B-1 convertible preferred stock purchased by Eddingpharm in each of the two tranches of the Eddingpharm Series B-1 financing to its affiliate, Boom Profit Investments Limited.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B-1 Convertible Preferred Stock</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On December 19, 2014, we entered into a license, development and commercialization agreement, or the KHK license agreement, with Kyowa Hakko Kirin Co., Ltd, or KHK. In connection with the KHK license agreement, KHK agreed to purchase shares of our Series B-1 convertible preferred stock. On December 19, 2014, we entered into a preferred stock financing with KHK, or the KHK Series B-1 financing, in which we agreed to sell up to 670,062 shares of our Series B-1 convertible preferred stock at a price per share of $11.19. The KHK Series B-1 financing closed on January 6, 2015, at which time we issued 670,062 shares of Series B-1 convertible preferred stock, for gross cash proceeds of $7.5 million. Each share of Series B-1 convertible preferred stock issued in the KHK Series B-1 financing will convert into one share of our common stock upon completion of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C-1 Convertible Preferred Stock</w:t>
      </w:r>
    </w:p>
    <w:p>
      <w:pPr>
        <w:spacing w:after="0" w:line="17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On June 1, 2015, we issued 1,675,149 shares of Series C-1 convertible preferred stock at a price per share of $11.19, pursuant to a Series C-1 preferred stock purchase agreement, or the June Series C-1 financing, for gross cash proceeds of $18.7 million. In connection with the June Series C-1 financing, the $5.0 million of convertible notes we issued in the September 2014 bridge financing and the related $0.2 million of accrued interest converted into 465,563 shares of Series C-1 convertible preferred stock.</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table below sets forth the number of shares of Series C-1 convertible preferred stock purchased by holders of more than 5% of our capital stock and their affiliated entities in the June Series C-1 financing. Each share of Series C-1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Cancellation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Cash Purchase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Series C-1</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Indebted-</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Price of Series</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(including Note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ness (Note</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C-1 Convertible</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Conversion and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1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Conversion)</w:t>
            </w: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Preferred</w:t>
            </w: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Cash Purchase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120" w:type="dxa"/>
            <w:vAlign w:val="bottom"/>
            <w:vMerge w:val="continue"/>
          </w:tcPr>
          <w:p>
            <w:pPr>
              <w:spacing w:after="0"/>
              <w:rPr>
                <w:sz w:val="14"/>
                <w:szCs w:val="14"/>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4"/>
                <w:szCs w:val="14"/>
                <w:b w:val="1"/>
                <w:bCs w:val="1"/>
                <w:color w:val="auto"/>
                <w:w w:val="87"/>
              </w:rPr>
              <w:t>Stock (#)</w:t>
            </w:r>
          </w:p>
        </w:tc>
        <w:tc>
          <w:tcPr>
            <w:tcW w:w="7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40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87"/>
              </w:rPr>
              <w:t>Stock ($)</w:t>
            </w:r>
          </w:p>
        </w:tc>
        <w:tc>
          <w:tcPr>
            <w:tcW w:w="10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Price) ($)</w:t>
            </w:r>
          </w:p>
        </w:tc>
        <w:tc>
          <w:tcPr>
            <w:tcW w:w="0" w:type="dxa"/>
            <w:vAlign w:val="bottom"/>
          </w:tcPr>
          <w:p>
            <w:pPr>
              <w:spacing w:after="0"/>
              <w:rPr>
                <w:sz w:val="1"/>
                <w:szCs w:val="1"/>
                <w:color w:val="auto"/>
              </w:rPr>
            </w:pPr>
          </w:p>
        </w:tc>
      </w:tr>
      <w:tr>
        <w:trPr>
          <w:trHeight w:val="203"/>
        </w:trPr>
        <w:tc>
          <w:tcPr>
            <w:tcW w:w="6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1,005,092</w:t>
            </w: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11,249,995</w:t>
            </w: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11,249,995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Funds affiliated with Domain Associates</w:t>
            </w:r>
            <w:r>
              <w:rPr>
                <w:rFonts w:ascii="Arial" w:cs="Arial" w:eastAsia="Arial" w:hAnsi="Arial"/>
                <w:sz w:val="11"/>
                <w:szCs w:val="11"/>
                <w:color w:val="auto"/>
              </w:rPr>
              <w:t>(2)</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454,145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2,071,019</w:t>
            </w:r>
          </w:p>
        </w:tc>
        <w:tc>
          <w:tcPr>
            <w:tcW w:w="4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3,012,238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5,083,257</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MPM Capital</w:t>
            </w:r>
            <w:r>
              <w:rPr>
                <w:rFonts w:ascii="Arial" w:cs="Arial" w:eastAsia="Arial" w:hAnsi="Arial"/>
                <w:sz w:val="11"/>
                <w:szCs w:val="11"/>
                <w:color w:val="auto"/>
              </w:rPr>
              <w:t>(3)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390,111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1,779,016</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2,587,519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4,366,535</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Funds affiliated with Forward Ventures</w:t>
            </w:r>
            <w:r>
              <w:rPr>
                <w:rFonts w:ascii="Arial" w:cs="Arial" w:eastAsia="Arial" w:hAnsi="Arial"/>
                <w:sz w:val="11"/>
                <w:szCs w:val="11"/>
                <w:color w:val="auto"/>
              </w:rPr>
              <w:t>(4)</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108,028</w:t>
            </w:r>
          </w:p>
        </w:tc>
        <w:tc>
          <w:tcPr>
            <w:tcW w:w="780" w:type="dxa"/>
            <w:vAlign w:val="bottom"/>
          </w:tcPr>
          <w:p>
            <w:pPr>
              <w:jc w:val="right"/>
              <w:spacing w:after="0"/>
              <w:rPr>
                <w:sz w:val="20"/>
                <w:szCs w:val="20"/>
                <w:color w:val="auto"/>
              </w:rPr>
            </w:pPr>
            <w:r>
              <w:rPr>
                <w:rFonts w:ascii="Arial" w:cs="Arial" w:eastAsia="Arial" w:hAnsi="Arial"/>
                <w:sz w:val="18"/>
                <w:szCs w:val="18"/>
                <w:color w:val="auto"/>
              </w:rPr>
              <w:t>492,651</w:t>
            </w:r>
          </w:p>
        </w:tc>
        <w:tc>
          <w:tcPr>
            <w:tcW w:w="440" w:type="dxa"/>
            <w:vAlign w:val="bottom"/>
          </w:tcPr>
          <w:p>
            <w:pPr>
              <w:spacing w:after="0"/>
              <w:rPr>
                <w:sz w:val="18"/>
                <w:szCs w:val="18"/>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8"/>
                <w:szCs w:val="18"/>
                <w:color w:val="auto"/>
              </w:rPr>
              <w:t>716,531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1,209,182</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RMI Investments</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178,456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813,808</w:t>
            </w:r>
          </w:p>
        </w:tc>
        <w:tc>
          <w:tcPr>
            <w:tcW w:w="4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1,183,660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1,997,468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Chen, a member of our board of directors, is the managing partner of Delos Capital Fund, LP.</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Mr. Podlesak and Dr. Kamdar, members of our board of directors, are partners of Domain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Evnin, a member of our board of directors, is a managing director of MPM Capital.</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Dr. Royston, a member of our board of directors, is a managing member of Forward Ventures.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C-1 Convertible Preferred Stock</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On August 21, 2015, we issued 5,472,390 shares of Series C-1 convertible preferred stock at a price per share of $11.19, pursuant to a Series C-1 preferred stock purchase agreement, or the August Series C-1 financing, for gross cash proceeds of $61.3 million.</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table below sets forth the number of shares of Series C-1 convertible preferred stock purchased by holders of more than 5% of our capital stock and their affiliated entities in the August Series C-1 financing. Each share of Series C-1 convertible preferred stock in the table below will convert into one share of our common stock upon completion of this offering.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Aggregate Purchase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7"/>
              </w:rPr>
              <w:t>Series C-1</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Price of Series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C-1 Convertible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360" w:type="dxa"/>
            <w:vAlign w:val="bottom"/>
            <w:vMerge w:val="restart"/>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Preferred</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Preferred</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8360" w:type="dxa"/>
            <w:vAlign w:val="bottom"/>
            <w:vMerge w:val="continue"/>
          </w:tcPr>
          <w:p>
            <w:pPr>
              <w:spacing w:after="0"/>
              <w:rPr>
                <w:sz w:val="14"/>
                <w:szCs w:val="14"/>
                <w:color w:val="auto"/>
              </w:rPr>
            </w:pPr>
          </w:p>
        </w:tc>
        <w:tc>
          <w:tcPr>
            <w:tcW w:w="142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7"/>
              </w:rPr>
              <w:t>Stock (#)</w:t>
            </w:r>
          </w:p>
        </w:tc>
        <w:tc>
          <w:tcPr>
            <w:tcW w:w="12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Stock ($)</w:t>
            </w:r>
          </w:p>
        </w:tc>
        <w:tc>
          <w:tcPr>
            <w:tcW w:w="0" w:type="dxa"/>
            <w:vAlign w:val="bottom"/>
          </w:tcPr>
          <w:p>
            <w:pPr>
              <w:spacing w:after="0"/>
              <w:rPr>
                <w:sz w:val="1"/>
                <w:szCs w:val="1"/>
                <w:color w:val="auto"/>
              </w:rPr>
            </w:pPr>
          </w:p>
        </w:tc>
      </w:tr>
      <w:tr>
        <w:trPr>
          <w:trHeight w:val="203"/>
        </w:trPr>
        <w:tc>
          <w:tcPr>
            <w:tcW w:w="8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474,628</w:t>
            </w:r>
          </w:p>
        </w:tc>
        <w:tc>
          <w:tcPr>
            <w:tcW w:w="6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5,312,511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Funds affiliated with BlackRock, Inc.</w:t>
            </w:r>
          </w:p>
        </w:tc>
        <w:tc>
          <w:tcPr>
            <w:tcW w:w="760" w:type="dxa"/>
            <w:vAlign w:val="bottom"/>
          </w:tcPr>
          <w:p>
            <w:pPr>
              <w:jc w:val="right"/>
              <w:spacing w:after="0"/>
              <w:rPr>
                <w:sz w:val="20"/>
                <w:szCs w:val="20"/>
                <w:color w:val="auto"/>
              </w:rPr>
            </w:pPr>
            <w:r>
              <w:rPr>
                <w:rFonts w:ascii="Arial" w:cs="Arial" w:eastAsia="Arial" w:hAnsi="Arial"/>
                <w:sz w:val="18"/>
                <w:szCs w:val="18"/>
                <w:color w:val="auto"/>
              </w:rPr>
              <w:t>893,415</w:t>
            </w:r>
          </w:p>
        </w:tc>
        <w:tc>
          <w:tcPr>
            <w:tcW w:w="6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9,999,994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affiliated with Fidelity Management &amp; Research Company</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1,786,831</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Chen, a member of our board of directors, is the managing partner of Delos Capital Fund, LP.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NovaMedica Agreements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third tranche of the Series B-1 financing in August 2013, we entered into a technology transfer agreement with Domain Russia Investments Limited, or DRI, an affiliate of Domain VIII. Domain VIII and Domain VI are both managed by Domain LLC. Pursuant to the technology transfer agreement, in exchange for a nominal payment, we assigned to DRI certain patent applications, or the assigned patents, in Armenia, Azerbaijan, Belarus, Georgia, Kazakhstan, Kyrgyzstan, Moldova, Russia, Tajikistan, Turkmenistan, Ukraine and Uzbekistan, or the territory, and granted to DRI an exclusive, fully paid-up, royalty-free, irrevocable and assignable license under our other intellectual property to develop and commercialize entinostat and any other product containing the same active ingredient in the territory. We concurrently entered into a sublicense agreement, or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DRI sublicense, with DRI and a sublicense agreement, or the NovaMedica sublicense, with NovaMedica LLC, or NovaMedica. NovaMedica is jointly owned by Rusnano Medinvest LLC, or Rusnano Medinvest, and DRI. RMI, a holder of more than 5% of our capital stock, is a wholly owned subsidiary of Rusnano Medinvest. Fabrice Egros, Ph.D., a member of our board of directors, is NovaMedica’s Deputy Chief Executive Officer/Chief Operating Officer and a member of its board of directors. Pursuant to the DRI sublicense, we granted to DRI an exclusive sublicense under the patents and other intellectual property licensed to us by Bayer to develop, manufacture and commercialize entinostat and any other product containing the same active ingredient in the Russian Federation. Pursuant to the NovaMedica sublicense, we granted to NovaMedica an exclusive sublicense under the patents and other intellectual property licensed to us by Bayer to develop, manufacture and commercialize entinostat and any other product containing the same active ingredient in the rest of the territory. Immediately thereafter, we, together with DRI and NovaMedica, executed an assignment and assumption agreement, pursuant to which the assigned patents and all of DRI’s rights and obligations under the technology transfer agreement and the DRI sublicense were transferred to NovaMedica. We agreed to perform all actions required to ensure that the patent assignments to DRI are registered and recorded in each country in the territory, and we agreed to provide all assistance that may be reasonably required to complete the subsequent transfer to NovaMedica of the assigned patents and DRI’s rights under the technology transfer agreement and the DRI sublicense.</w:t>
      </w:r>
    </w:p>
    <w:p>
      <w:pPr>
        <w:spacing w:after="0" w:line="12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Under the terms of the technology transfer agreement, we have agreed, at NovaMedica’s reasonable request, to facilitate NovaMedica’s establishment of a manufacturing relationship with any of our third-party manufacturers. We also have agreed to provide NovaMedica with certain know-how and development and manufacturing support, including making our employees available to provide scientific and technical explanations, advice and support that may be reasonably required by NovaMedica. NovaMedica is required to reimburse us for any out-of-pocket expenses incurred by us in providing this assistance. In addition, we have agreed to sell to NovaMedica, at cost, our on-hand quantities of entinostat or any other product containing the same active ingredient to enable NovaMedica to conduct clinical trials of such product in the territory, so long as any sale does not reasonably interfere with our own development and commercialization activities.</w:t>
      </w:r>
    </w:p>
    <w:p>
      <w:pPr>
        <w:spacing w:after="0" w:line="14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October 2013, we entered into a letter agreement with DRI pursuant to which we are obligated to indemnify DRI against certain third party claims. In particular, DRI, as an owner of NovaMedica, may be obligated under certain Russian loss compensation laws to make additional contributions to NovaMedica should the patent applications assigned by us to DRI under the technology transfer agreement, which were subsequently assigned by DRI to NovaMedica, diminish in value. We have agreed to indemnify DRI against any claims brought in respect of such Russian loss compensation laws, where such claims arise out of our breach of specified representations and warranties that we made in the technology transfer agreement, up to a maximum amount of $1.2 million.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same time that we entered into the technology transfer agreement, the DRI sublicense and the NovaMedica sublicense, we also entered into a clinical development and collaboration agreement, or the collaboration agreement, and a supply agreement with NovaMedica. The collaboration agreement establishes a framework under which we will consult with NovaMedica on development and regulatory issues relating to entinostat, including through various joint committees to be formed by the parties. Under the supply agreement, we are obligated to provide NovaMedica with a commercial supply of entinostat at a price to be negotiated in the future after the specifications for the commercial form of entinostat are finalized. Such price is limited to a fixed percentage mark-up over our costs. We do not consider our agreements with DRI and NovaMedica to be material given the early stage of development of entinostat in the territory and immateriality of the market in the territory.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7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are party to an amended and restated investors’ rights agreement, or the investors’ rights agreement, dated August 21, 2015, with the holders of our convertible preferred stock, certain holders of our common stock and Bayer. The investors’ rights agreement provides that the holders of common stock issuable upon conversion of our convertible preferred stock have the right to demand that we file a registration statement or request that their shares of common stock be covered by a registration statement that we otherwise file. In addition to the registration rights, the investors’ rights agreement provides for certain information rights and rights of first refusal. The provisions of the investors’ rights agreement will terminate upon the completion of this offering, other than the registration rights which will terminate upon the earlier of (i) with respect to each stockholder, the date when such stockholder can sell all of its registrable shares in a single transaction pursuant to Rule 144 of the Securities Act, (ii) three years after this offering or (iii) a liquidating transaction as defined in our amended and restated certificate of incorporation, as currently in effect. The registration rights are described in more detail in the section titled “Description of Capital Stock— Registration Rights.”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77"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We have entered into an amended and restated voting agreement dated August 21, 2015, or the voting agreement, with certain holders of our common stock and certain holders of our convertible preferred stock. Pursuant to the voting agreement, holders of our Series A-1 convertible preferred stock, Series B-1 convertible preferred stock and Series C-1 convertible preferred stock have agreed to vote to approve the following: (i) one director to be a designee of Domain VIII, DP VIII, Domain VI and DP VI Associates, L.P., who is currently Kim P. Kamdar, Ph.D.; (ii) one director to be a designee of MPM IV-QP, who is currently Luke Evnin, Ph.D.; (iii) one director to be a designee of Forward V, Forward IV and Forward IVB, who is currently Ivor Royston, M.D.; (iv) one director to be a designee of RMI, who is Fabrice Egros, Ph.D.; and (v) one director to be a designee of Delos, who is currently Henry Chen. Certain holders of common stock have agreed to vote to approve the following: one director to be our Chief Executive Officer, who is currently Briggs W. Morrison, M.D.; and one director to be nominated by such holders of common stock, who is currently Dennis G. Podlesak. Certain holders of common stock and convertible preferred stock have agreed to vote together as a single class to nominate two directors who are not affiliates of us or any of our investors, to be designated as independent by unanimous approval of our board of directors, who are currently George W. Sledge Jr., M.D. and Richard P. Shea. The voting agreement will terminate upon the earlier of</w:t>
      </w:r>
    </w:p>
    <w:p>
      <w:pPr>
        <w:spacing w:after="0" w:line="4" w:lineRule="exact"/>
        <w:rPr>
          <w:sz w:val="20"/>
          <w:szCs w:val="20"/>
          <w:color w:val="auto"/>
        </w:rPr>
      </w:pPr>
    </w:p>
    <w:p>
      <w:pPr>
        <w:ind w:right="660"/>
        <w:spacing w:after="0" w:line="434" w:lineRule="auto"/>
        <w:rPr>
          <w:sz w:val="20"/>
          <w:szCs w:val="20"/>
          <w:color w:val="auto"/>
        </w:rPr>
      </w:pPr>
      <w:r>
        <w:rPr>
          <w:rFonts w:ascii="Arial" w:cs="Arial" w:eastAsia="Arial" w:hAnsi="Arial"/>
          <w:sz w:val="18"/>
          <w:szCs w:val="18"/>
          <w:color w:val="auto"/>
        </w:rPr>
        <w:t xml:space="preserve">(i) the completion of this offering, (ii) a liquidating transaction as defined in the voting agreement or (iii) 10 years from the date of the voting agreement. </w:t>
      </w:r>
      <w:r>
        <w:rPr>
          <w:rFonts w:ascii="Arial" w:cs="Arial" w:eastAsia="Arial" w:hAnsi="Arial"/>
          <w:sz w:val="18"/>
          <w:szCs w:val="18"/>
          <w:b w:val="1"/>
          <w:bCs w:val="1"/>
          <w:color w:val="auto"/>
        </w:rPr>
        <w:t>Other Transactions</w:t>
      </w:r>
    </w:p>
    <w:p>
      <w:pPr>
        <w:spacing w:after="0" w:line="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have entered into various employment related agreements and compensatory arrangements with our directors and executive officers that, among other things, provide for compensatory and certain severance and change of control benefits. For a description of these agreements and arrangements, see the section titled “Executive and Director Compensation—Executive Compensation—Employment Agreements.”</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entered into separate indemnification agreements with our directors and officers. See the section titled “Executive and Director Compensation— Limitation of Liability and Indemnification 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Regarding Transactions with Related Parties</w:t>
      </w:r>
    </w:p>
    <w:p>
      <w:pPr>
        <w:spacing w:after="0" w:line="17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2015, our board of directors adopted a written related party transaction policy that will be in effect upon completion of this offering. Accordingly, following this offering, all proposed related party transactions must be approved by either (i) our nominating and corporate governance committee or (ii) our full board of directors. This review will cover any transaction, arrangement or relationship, or any series of similar transactions, arrangements or relationships, in which we were or are to be a participant, the amount involved exceeds $120,000, and a related party had or will have a direct or indirect material interest, including purchases of goods or services by or from a related party in which the related party has a material interest, and indebtedness, guarantees of indebtedness and employment by us of a related party. A “related party” is any person who is or was one of our executive officers, directors or director nominees or is a holder of more than 5% of our common stock, or their immediate family members or any entity owned or controlled by any of the foregoing persons.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transactions described above were entered into prior to the adoption of this policy and were approved by our board of directors.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40"/>
          </w:cols>
          <w:pgMar w:left="240" w:top="460" w:right="31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STOCKHOLDERS</w:t>
      </w:r>
    </w:p>
    <w:p>
      <w:pPr>
        <w:spacing w:after="0" w:line="1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following table sets forth certain information known to us regarding the beneficial ownership of our common stock as of August 24, 2015, and as adjusted to reflect the sale of shares of common stock in this offering and the conversion of all outstanding shares of our convertible preferred stock by:</w:t>
      </w:r>
    </w:p>
    <w:p>
      <w:pPr>
        <w:spacing w:after="0" w:line="126" w:lineRule="exact"/>
        <w:rPr>
          <w:sz w:val="20"/>
          <w:szCs w:val="20"/>
          <w:color w:val="auto"/>
        </w:rPr>
      </w:pPr>
    </w:p>
    <w:p>
      <w:pPr>
        <w:ind w:left="1000" w:hanging="31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any class of our voting securities.</w:t>
      </w:r>
    </w:p>
    <w:p>
      <w:pPr>
        <w:spacing w:after="0" w:line="171" w:lineRule="exact"/>
        <w:rPr>
          <w:sz w:val="20"/>
          <w:szCs w:val="20"/>
          <w:color w:val="auto"/>
        </w:rPr>
      </w:pPr>
    </w:p>
    <w:p>
      <w:pPr>
        <w:ind w:right="380" w:firstLine="456"/>
        <w:spacing w:after="0" w:line="283" w:lineRule="auto"/>
        <w:rPr>
          <w:sz w:val="20"/>
          <w:szCs w:val="20"/>
          <w:color w:val="auto"/>
        </w:rPr>
      </w:pPr>
      <w:r>
        <w:rPr>
          <w:rFonts w:ascii="Arial" w:cs="Arial" w:eastAsia="Arial" w:hAnsi="Arial"/>
          <w:sz w:val="16"/>
          <w:szCs w:val="16"/>
          <w:color w:val="auto"/>
        </w:rPr>
        <w:t>We have based our calculation of beneficial ownership prior to this offering on shares of common stock outstanding on August 24, 2015, assuming (i) the conversion of all outstanding shares of our convertible preferred stock into an aggregate of 10,618,367 shares of our common stock upon completion of this offering and (ii) the conversion of the shares of our Series C-1 convertible preferred stock issued on August 21, 2015 into an aggregate of 5,472,390 shares of our common stock upon completion of this offering. We have based our calculation of beneficial ownership after this offering on</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shares of our common stock outstanding immediately following the completion of this offering, which gives effect to (i) the issuance of shares of common stock in this offering, (ii) the conversion of all outstanding shares of our convertible preferred stock into an aggregate of 10,618,367 shares of our common stock upon completion of this offering and (iii) the conversion of the shares of our Series C-1 convertible preferred stock issued on August 21, 2015 into an aggregate of 5,472,390 shares of our common stock upon completion of this offering. Ownership information assumes no exercise of the underwriters’ over-allotment option.</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Information with respect to beneficial ownership has been furnished to us by each director, executive officer or stockholder who holds more than 5% of any class of our voting securities,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August 24, 2015. Options to purchase shares of our common stock that are exercisable within 60 days of August 24, 2015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and upon completion of this offering will have, to our knowledge, sole voting and investment power with respect to all shares of common stock listed as beneficially owned by him or her, except for shares owned jointly with that person’s spouse. Unless otherwise indicated, the address for each of the stockholders in the table below is c/o Syndax Pharmaceuticals, Inc., 400 Totten Pond Road, Suite 110, Waltham, Massachusetts 02451.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6"/>
              </w:rPr>
              <w:t>Shares of Common Stock</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Percentage of Shares</w:t>
            </w:r>
          </w:p>
        </w:tc>
        <w:tc>
          <w:tcPr>
            <w:tcW w:w="0" w:type="dxa"/>
            <w:vAlign w:val="bottom"/>
          </w:tcPr>
          <w:p>
            <w:pPr>
              <w:spacing w:after="0"/>
              <w:rPr>
                <w:sz w:val="1"/>
                <w:szCs w:val="1"/>
                <w:color w:val="auto"/>
              </w:rPr>
            </w:pPr>
          </w:p>
        </w:tc>
      </w:tr>
      <w:tr>
        <w:trPr>
          <w:trHeight w:val="161"/>
        </w:trPr>
        <w:tc>
          <w:tcPr>
            <w:tcW w:w="24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8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7"/>
              </w:rPr>
              <w:t>Beneficially Owned</w:t>
            </w:r>
          </w:p>
        </w:tc>
        <w:tc>
          <w:tcPr>
            <w:tcW w:w="14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Beneficially Owned</w:t>
            </w:r>
          </w:p>
        </w:tc>
        <w:tc>
          <w:tcPr>
            <w:tcW w:w="0" w:type="dxa"/>
            <w:vAlign w:val="bottom"/>
          </w:tcPr>
          <w:p>
            <w:pPr>
              <w:spacing w:after="0"/>
              <w:rPr>
                <w:sz w:val="1"/>
                <w:szCs w:val="1"/>
                <w:color w:val="auto"/>
              </w:rPr>
            </w:pPr>
          </w:p>
        </w:tc>
      </w:tr>
      <w:tr>
        <w:trPr>
          <w:trHeight w:val="129"/>
        </w:trPr>
        <w:tc>
          <w:tcPr>
            <w:tcW w:w="242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5780" w:type="dxa"/>
            <w:vAlign w:val="bottom"/>
            <w:vMerge w:val="restart"/>
          </w:tcPr>
          <w:p>
            <w:pPr>
              <w:spacing w:after="0"/>
              <w:rPr>
                <w:sz w:val="11"/>
                <w:szCs w:val="11"/>
                <w:color w:val="auto"/>
              </w:rPr>
            </w:pPr>
          </w:p>
        </w:tc>
        <w:tc>
          <w:tcPr>
            <w:tcW w:w="108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Before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After</w:t>
            </w:r>
          </w:p>
        </w:tc>
        <w:tc>
          <w:tcPr>
            <w:tcW w:w="18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4"/>
              </w:rPr>
              <w:t>Before</w:t>
            </w:r>
          </w:p>
        </w:tc>
        <w:tc>
          <w:tcPr>
            <w:tcW w:w="5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After</w:t>
            </w:r>
          </w:p>
        </w:tc>
        <w:tc>
          <w:tcPr>
            <w:tcW w:w="0" w:type="dxa"/>
            <w:vAlign w:val="bottom"/>
          </w:tcPr>
          <w:p>
            <w:pPr>
              <w:spacing w:after="0"/>
              <w:rPr>
                <w:sz w:val="1"/>
                <w:szCs w:val="1"/>
                <w:color w:val="auto"/>
              </w:rPr>
            </w:pPr>
          </w:p>
        </w:tc>
      </w:tr>
      <w:tr>
        <w:trPr>
          <w:trHeight w:val="168"/>
        </w:trPr>
        <w:tc>
          <w:tcPr>
            <w:tcW w:w="2420" w:type="dxa"/>
            <w:vAlign w:val="bottom"/>
            <w:tcBorders>
              <w:bottom w:val="single" w:sz="8" w:color="auto"/>
            </w:tcBorders>
            <w:vMerge w:val="continue"/>
          </w:tcPr>
          <w:p>
            <w:pPr>
              <w:spacing w:after="0"/>
              <w:rPr>
                <w:sz w:val="14"/>
                <w:szCs w:val="14"/>
                <w:color w:val="auto"/>
              </w:rPr>
            </w:pPr>
          </w:p>
        </w:tc>
        <w:tc>
          <w:tcPr>
            <w:tcW w:w="5780" w:type="dxa"/>
            <w:vAlign w:val="bottom"/>
            <w:vMerge w:val="continue"/>
          </w:tcPr>
          <w:p>
            <w:pPr>
              <w:spacing w:after="0"/>
              <w:rPr>
                <w:sz w:val="14"/>
                <w:szCs w:val="14"/>
                <w:color w:val="auto"/>
              </w:rPr>
            </w:pPr>
          </w:p>
        </w:tc>
        <w:tc>
          <w:tcPr>
            <w:tcW w:w="108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Offering</w:t>
            </w:r>
          </w:p>
        </w:tc>
        <w:tc>
          <w:tcPr>
            <w:tcW w:w="740" w:type="dxa"/>
            <w:vAlign w:val="bottom"/>
            <w:gridSpan w:val="2"/>
          </w:tcPr>
          <w:p>
            <w:pPr>
              <w:jc w:val="center"/>
              <w:ind w:right="160"/>
              <w:spacing w:after="0" w:line="148" w:lineRule="exact"/>
              <w:rPr>
                <w:sz w:val="20"/>
                <w:szCs w:val="20"/>
                <w:color w:val="auto"/>
              </w:rPr>
            </w:pPr>
            <w:r>
              <w:rPr>
                <w:rFonts w:ascii="Arial" w:cs="Arial" w:eastAsia="Arial" w:hAnsi="Arial"/>
                <w:sz w:val="14"/>
                <w:szCs w:val="14"/>
                <w:b w:val="1"/>
                <w:bCs w:val="1"/>
                <w:color w:val="auto"/>
                <w:w w:val="91"/>
              </w:rPr>
              <w:t>Offering</w:t>
            </w:r>
          </w:p>
        </w:tc>
        <w:tc>
          <w:tcPr>
            <w:tcW w:w="90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w w:val="88"/>
              </w:rPr>
              <w:t>Offering</w:t>
            </w: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190"/>
        </w:trPr>
        <w:tc>
          <w:tcPr>
            <w:tcW w:w="8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Named Executive Officers and Directors:</w:t>
            </w:r>
          </w:p>
        </w:tc>
        <w:tc>
          <w:tcPr>
            <w:tcW w:w="8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Arlene M. Morris</w:t>
            </w:r>
            <w:r>
              <w:rPr>
                <w:rFonts w:ascii="Arial" w:cs="Arial" w:eastAsia="Arial" w:hAnsi="Arial"/>
                <w:sz w:val="11"/>
                <w:szCs w:val="11"/>
                <w:color w:val="auto"/>
              </w:rPr>
              <w:t>(1)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385,694</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Goodenow, Ph.D.</w:t>
            </w:r>
            <w:r>
              <w:rPr>
                <w:rFonts w:ascii="Arial" w:cs="Arial" w:eastAsia="Arial" w:hAnsi="Arial"/>
                <w:sz w:val="11"/>
                <w:szCs w:val="11"/>
                <w:color w:val="auto"/>
              </w:rPr>
              <w:t>(2)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83,970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John S. Pallies</w:t>
            </w:r>
            <w:r>
              <w:rPr>
                <w:rFonts w:ascii="Arial" w:cs="Arial" w:eastAsia="Arial" w:hAnsi="Arial"/>
                <w:sz w:val="11"/>
                <w:szCs w:val="11"/>
                <w:color w:val="auto"/>
              </w:rPr>
              <w:t>(3)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116,995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G. Podlesak</w:t>
            </w:r>
            <w:r>
              <w:rPr>
                <w:rFonts w:ascii="Arial" w:cs="Arial" w:eastAsia="Arial" w:hAnsi="Arial"/>
                <w:sz w:val="11"/>
                <w:szCs w:val="11"/>
                <w:color w:val="auto"/>
              </w:rPr>
              <w:t>(4)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170,519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Henry Chen</w:t>
            </w:r>
            <w:r>
              <w:rPr>
                <w:rFonts w:ascii="Arial" w:cs="Arial" w:eastAsia="Arial" w:hAnsi="Arial"/>
                <w:sz w:val="11"/>
                <w:szCs w:val="11"/>
                <w:color w:val="auto"/>
              </w:rPr>
              <w:t>(5)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Fabrice Egros, Ph.D. </w:t>
            </w:r>
            <w:r>
              <w:rPr>
                <w:rFonts w:ascii="Arial" w:cs="Arial" w:eastAsia="Arial" w:hAnsi="Arial"/>
                <w:sz w:val="11"/>
                <w:szCs w:val="11"/>
                <w:color w:val="auto"/>
              </w:rPr>
              <w:t>(6)</w:t>
            </w: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27,709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Luke Evnin, Ph.D.</w:t>
            </w:r>
            <w:r>
              <w:rPr>
                <w:rFonts w:ascii="Arial" w:cs="Arial" w:eastAsia="Arial" w:hAnsi="Arial"/>
                <w:sz w:val="11"/>
                <w:szCs w:val="11"/>
                <w:color w:val="auto"/>
              </w:rPr>
              <w:t>(7)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2,744,587</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 P. Kamdar, Ph.D.</w:t>
            </w:r>
            <w:r>
              <w:rPr>
                <w:rFonts w:ascii="Arial" w:cs="Arial" w:eastAsia="Arial" w:hAnsi="Arial"/>
                <w:sz w:val="11"/>
                <w:szCs w:val="11"/>
                <w:color w:val="auto"/>
              </w:rPr>
              <w:t>(8)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32,309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Briggs W. Morrison, M.D.</w:t>
            </w:r>
            <w:r>
              <w:rPr>
                <w:rFonts w:ascii="Arial" w:cs="Arial" w:eastAsia="Arial" w:hAnsi="Arial"/>
                <w:sz w:val="11"/>
                <w:szCs w:val="11"/>
                <w:color w:val="auto"/>
              </w:rPr>
              <w:t>(9)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685,280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Ivor Royston, M.D.</w:t>
            </w:r>
            <w:r>
              <w:rPr>
                <w:rFonts w:ascii="Arial" w:cs="Arial" w:eastAsia="Arial" w:hAnsi="Arial"/>
                <w:sz w:val="11"/>
                <w:szCs w:val="11"/>
                <w:color w:val="auto"/>
              </w:rPr>
              <w:t>(10)</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778,404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Richard P. Shea</w:t>
            </w:r>
            <w:r>
              <w:rPr>
                <w:rFonts w:ascii="Arial" w:cs="Arial" w:eastAsia="Arial" w:hAnsi="Arial"/>
                <w:sz w:val="11"/>
                <w:szCs w:val="11"/>
                <w:color w:val="auto"/>
              </w:rPr>
              <w:t>(11)</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33,709</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W. Sledge Jr., M.D.</w:t>
            </w:r>
            <w:r>
              <w:rPr>
                <w:rFonts w:ascii="Arial" w:cs="Arial" w:eastAsia="Arial" w:hAnsi="Arial"/>
                <w:sz w:val="11"/>
                <w:szCs w:val="11"/>
                <w:color w:val="auto"/>
              </w:rPr>
              <w:t>(12)</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33,709</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ind w:left="440"/>
              <w:spacing w:after="0"/>
              <w:rPr>
                <w:sz w:val="20"/>
                <w:szCs w:val="20"/>
                <w:color w:val="auto"/>
              </w:rPr>
            </w:pPr>
            <w:r>
              <w:rPr>
                <w:rFonts w:ascii="Arial" w:cs="Arial" w:eastAsia="Arial" w:hAnsi="Arial"/>
                <w:sz w:val="18"/>
                <w:szCs w:val="18"/>
                <w:color w:val="auto"/>
              </w:rPr>
              <w:t>All executive officers and directors as a group (15 persons)</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5,784,242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31.3%</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Entities affiliated with BlackRock, Inc.</w:t>
            </w:r>
            <w:r>
              <w:rPr>
                <w:rFonts w:ascii="Arial" w:cs="Arial" w:eastAsia="Arial" w:hAnsi="Arial"/>
                <w:sz w:val="11"/>
                <w:szCs w:val="11"/>
                <w:color w:val="auto"/>
              </w:rPr>
              <w:t>(13)</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893,415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Domain Associates</w:t>
            </w:r>
            <w:r>
              <w:rPr>
                <w:rFonts w:ascii="Arial" w:cs="Arial" w:eastAsia="Arial" w:hAnsi="Arial"/>
                <w:sz w:val="11"/>
                <w:szCs w:val="11"/>
                <w:color w:val="auto"/>
              </w:rPr>
              <w:t>(14)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3,157,213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Entities affiliated with Fidelity Management &amp; Research Company</w:t>
            </w:r>
            <w:r>
              <w:rPr>
                <w:rFonts w:ascii="Arial" w:cs="Arial" w:eastAsia="Arial" w:hAnsi="Arial"/>
                <w:sz w:val="11"/>
                <w:szCs w:val="11"/>
                <w:color w:val="auto"/>
              </w:rPr>
              <w:t>(15)</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1,786,831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MPM Capital</w:t>
            </w:r>
            <w:r>
              <w:rPr>
                <w:rFonts w:ascii="Arial" w:cs="Arial" w:eastAsia="Arial" w:hAnsi="Arial"/>
                <w:sz w:val="11"/>
                <w:szCs w:val="11"/>
                <w:color w:val="auto"/>
              </w:rPr>
              <w:t>(16)</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2,710,878</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Delos Investments 1</w:t>
            </w:r>
            <w:r>
              <w:rPr>
                <w:rFonts w:ascii="Arial" w:cs="Arial" w:eastAsia="Arial" w:hAnsi="Arial"/>
                <w:sz w:val="11"/>
                <w:szCs w:val="11"/>
                <w:color w:val="auto"/>
              </w:rPr>
              <w:t>(17)</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1,479,720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RMI Investments</w:t>
            </w:r>
            <w:r>
              <w:rPr>
                <w:rFonts w:ascii="Arial" w:cs="Arial" w:eastAsia="Arial" w:hAnsi="Arial"/>
                <w:sz w:val="11"/>
                <w:szCs w:val="11"/>
                <w:color w:val="auto"/>
              </w:rPr>
              <w:t>(18)</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1,214,817</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w:t>
            </w: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1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solely of 385,694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solely of 83,970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solely of 116,995 shares of common stock issuable upon the exercise of stock options within 60 days of August 24, 2015.</w:t>
      </w:r>
    </w:p>
    <w:p>
      <w:pPr>
        <w:spacing w:after="0" w:line="9" w:lineRule="exact"/>
        <w:rPr>
          <w:rFonts w:ascii="Arial" w:cs="Arial" w:eastAsia="Arial" w:hAnsi="Arial"/>
          <w:sz w:val="18"/>
          <w:szCs w:val="18"/>
          <w:color w:val="auto"/>
        </w:rPr>
      </w:pPr>
    </w:p>
    <w:p>
      <w:pPr>
        <w:jc w:val="both"/>
        <w:ind w:left="460" w:right="540" w:hanging="452"/>
        <w:spacing w:after="0" w:line="255"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Consists solely of 170,519 shares of common stock issuable upon the exercise of stock options within 60 days of August 24, 2015. Mr. Podlesak is a partner of Domain LLC. Mr. Podlesak has no voting or dispositive control over and disclaims beneficial ownership of the shares held by the entities affiliated with Domain LLC listed in footnote 15 below.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solely of 18,000 shares of common stock issuable upon the exercise of stock options within 60 days of August 24, 2015.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solely of 27,709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Consists of (a) 33,709 shares of common stock issuable upon the exercise of stock options within 60 days of August 24, 2015, (b) 2,258,452 shares of common stock held by MPM IV-QP, (c) 301,206 shares of common stock held by MPM Strategic Fund, (d) 87,004 shares of common stock held by MPM Beteiligungs, and (e) 64,216 shares of common stock held by MPM BV4. Dr. Evnin is a member of MPM IV LLC, which is the managing member of MPM IV GP, which is (i) the general partner of each of MPM IV-QP and MPM Strategic Fund, and (ii) the managing limited partner of MPM Beteiligungs. MPM IV LLC is the manager of MPM BV4. Dr. Evnin shares power to vote, acquire, hold and dispose of the shares held by MPM IV-QP, MPM Strategic Fund, MPM Beteiligungs and MPM BV4, or collectively the MPM Entities. Dr. Evnin disclaims beneficial ownership of all shares held by the MPM Entities, except to the extent of his actual pecuniary interest therein.</w:t>
      </w:r>
    </w:p>
    <w:p>
      <w:pPr>
        <w:spacing w:after="0" w:line="4" w:lineRule="exact"/>
        <w:rPr>
          <w:rFonts w:ascii="Arial" w:cs="Arial" w:eastAsia="Arial" w:hAnsi="Arial"/>
          <w:sz w:val="16"/>
          <w:szCs w:val="16"/>
          <w:color w:val="auto"/>
        </w:rPr>
      </w:pPr>
    </w:p>
    <w:p>
      <w:pPr>
        <w:ind w:left="460" w:right="80" w:hanging="452"/>
        <w:spacing w:after="0" w:line="300"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Consists of (a) 30,709 shares of common stock issuable upon the exercise of stock options within 60 days of August 24, 2015 and (b) 1,600 shares of common stock held by Domain LLC. Dr. Kamdar is a managing member of Domain LLC, and shares voting and investment power over the shares held by Domain LLC. Dr. Kamdar disclaims beneficial ownership of all shares held by Domain LLC, except to the extent of her actual pecuniary interest therein.</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solely of 685,280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of (a) 27,709 shares of common stock issuable upon the exercise of stock options within 60 days of August 24, 2015, (b) 500,468 shares of common stock held by Forward V, (c) 230,678 shares of common stock held by Forward IV, and (d) 19,549 shares of common stock held by Forward IVB. Dr. Royston is a member of Forward V and a managing member of Forward IV Associates, which is the general partner of each of Forward IV and Forward IVB. Forward V, Forward IV and Forward IVB are referred to herein as the Forward Entities. Dr. Royston shares voting and investment power over the shares held by the Forward Entities, and disclaims beneficial ownership of all shares held by the Forward Entities, except to the extent of his actual pecuniary interest therein.</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solely of 33,709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Consists solely of 33,709 shares of common stock issuable upon the exercise of stock options within 60 days of August 24, 2015.</w:t>
      </w:r>
    </w:p>
    <w:p>
      <w:pPr>
        <w:spacing w:after="0" w:line="9" w:lineRule="exact"/>
        <w:rPr>
          <w:rFonts w:ascii="Arial" w:cs="Arial" w:eastAsia="Arial" w:hAnsi="Arial"/>
          <w:sz w:val="18"/>
          <w:szCs w:val="18"/>
          <w:color w:val="auto"/>
        </w:rPr>
      </w:pPr>
    </w:p>
    <w:p>
      <w:pPr>
        <w:ind w:left="460" w:right="40" w:hanging="452"/>
        <w:spacing w:after="0" w:line="300" w:lineRule="auto"/>
        <w:tabs>
          <w:tab w:leader="none" w:pos="460" w:val="left"/>
        </w:tabs>
        <w:numPr>
          <w:ilvl w:val="0"/>
          <w:numId w:val="92"/>
        </w:numPr>
        <w:rPr>
          <w:rFonts w:ascii="Arial" w:cs="Arial" w:eastAsia="Arial" w:hAnsi="Arial"/>
          <w:sz w:val="15"/>
          <w:szCs w:val="15"/>
          <w:color w:val="auto"/>
        </w:rPr>
      </w:pPr>
      <w:r>
        <w:rPr>
          <w:rFonts w:ascii="Arial" w:cs="Arial" w:eastAsia="Arial" w:hAnsi="Arial"/>
          <w:sz w:val="15"/>
          <w:szCs w:val="15"/>
          <w:color w:val="auto"/>
        </w:rPr>
        <w:t>Consists of (a) 835,261 shares of common stock held by BlackRock Health Sciences Opportunities Portfolio, a series of BlackRock Funds, (b) 44,286 shares of common stock held by BlackRock Health Sciences Trust and (c) 13,868 shares of common stock held by BlackRock Health Sciences Master Unit Trust. The registered holders of the referenced shares are funds and accounts under management by investment adviser subsidiaries of BlackRock, Inc. BlackRock, Inc. is the ultimate parent holding company of such investment adviser entities. On behalf of such investment adviser entities, Thomas Callan,</w:t>
      </w:r>
    </w:p>
    <w:p>
      <w:pPr>
        <w:spacing w:after="0" w:line="2" w:lineRule="exact"/>
        <w:rPr>
          <w:sz w:val="20"/>
          <w:szCs w:val="20"/>
          <w:color w:val="auto"/>
        </w:rPr>
      </w:pPr>
    </w:p>
    <w:p>
      <w:pPr>
        <w:ind w:left="460" w:right="60"/>
        <w:spacing w:after="0" w:line="300" w:lineRule="auto"/>
        <w:rPr>
          <w:sz w:val="20"/>
          <w:szCs w:val="20"/>
          <w:color w:val="auto"/>
        </w:rPr>
      </w:pPr>
      <w:r>
        <w:rPr>
          <w:rFonts w:ascii="Arial" w:cs="Arial" w:eastAsia="Arial" w:hAnsi="Arial"/>
          <w:sz w:val="15"/>
          <w:szCs w:val="15"/>
          <w:color w:val="auto"/>
        </w:rPr>
        <w:t>as a managing director of such entities, has voting and investment power over the shares held by the funds and accounts which are the registered holders of the referenced shares. Thomas Callan expressly disclaims beneficial ownership of all shares held by such funds and accounts. The address of such funds</w:t>
      </w:r>
    </w:p>
    <w:p>
      <w:pPr>
        <w:spacing w:after="0" w:line="1" w:lineRule="exact"/>
        <w:rPr>
          <w:sz w:val="20"/>
          <w:szCs w:val="20"/>
          <w:color w:val="auto"/>
        </w:rPr>
      </w:pPr>
    </w:p>
    <w:p>
      <w:pPr>
        <w:ind w:left="460"/>
        <w:spacing w:after="0"/>
        <w:tabs>
          <w:tab w:leader="none" w:pos="7580" w:val="left"/>
        </w:tabs>
        <w:rPr>
          <w:sz w:val="20"/>
          <w:szCs w:val="20"/>
          <w:color w:val="auto"/>
        </w:rPr>
      </w:pPr>
      <w:r>
        <w:rPr>
          <w:rFonts w:ascii="Arial" w:cs="Arial" w:eastAsia="Arial" w:hAnsi="Arial"/>
          <w:sz w:val="18"/>
          <w:szCs w:val="18"/>
          <w:color w:val="auto"/>
        </w:rPr>
        <w:t>and accounts, such investment adviser subsidiaries and Thomas Callan is</w:t>
      </w:r>
      <w:r>
        <w:rPr>
          <w:sz w:val="20"/>
          <w:szCs w:val="20"/>
          <w:color w:val="auto"/>
        </w:rPr>
        <w:tab/>
      </w:r>
      <w:r>
        <w:rPr>
          <w:rFonts w:ascii="Arial" w:cs="Arial" w:eastAsia="Arial" w:hAnsi="Arial"/>
          <w:sz w:val="14"/>
          <w:szCs w:val="14"/>
          <w:color w:val="auto"/>
        </w:rPr>
        <w:t>.</w:t>
      </w:r>
    </w:p>
    <w:p>
      <w:pPr>
        <w:spacing w:after="0" w:line="9" w:lineRule="exact"/>
        <w:rPr>
          <w:sz w:val="20"/>
          <w:szCs w:val="20"/>
          <w:color w:val="auto"/>
        </w:rPr>
      </w:pPr>
    </w:p>
    <w:p>
      <w:pPr>
        <w:ind w:left="460" w:right="100" w:hanging="452"/>
        <w:spacing w:after="0" w:line="288" w:lineRule="auto"/>
        <w:tabs>
          <w:tab w:leader="none" w:pos="4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Consists of (a) 2,179,819 shares of common stock held by Domain VI, (b) 951,333 shares of common stock held by Domain VIII, (c) 17,407 shares of common stock held by DP VI, (d) 7,054 shares of common stock held by DP VIII, and (e) 1,600 shares of common stock held by Domain LLC. One Palmer Square VI is the general partner of each of Domain VI and DP VI, and One Palmer Square VIII is the general partner of each of Domain VIII and DP VIII. Domain VI, DP VI, Domain VIII, DP VIII and Domain LLC are referred to herein as the Domain Entities. James C. Blair, Brian H. Dovey, Jesse I. Treu, Kathleen K. Schoemaker and Nicole Vitullo, the managing members of One Palmer Square VI, share voting and investment power over the shares held by Domain VI and DP VI. James C. Blair, Brian H. Dovey, Jesse I. Treu, Kathleen K. Schoemaker, Brian K. Halak and Nicole Vitullo, the managing members of One Palmer Square VIII, share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2" w:lineRule="auto"/>
        <w:rPr>
          <w:sz w:val="20"/>
          <w:szCs w:val="20"/>
          <w:color w:val="auto"/>
        </w:rPr>
      </w:pPr>
      <w:r>
        <w:rPr>
          <w:rFonts w:ascii="Arial" w:cs="Arial" w:eastAsia="Arial" w:hAnsi="Arial"/>
          <w:sz w:val="18"/>
          <w:szCs w:val="18"/>
          <w:color w:val="auto"/>
        </w:rPr>
        <w:t>voting and investment power over the shares held by Domain VIII and DP VIII. James C. Blair, Brian H. Dovey, Jesse I. Treu, Kathleen K. Schoemaker, Brian K. Halak, Nicole Vitullo, Nimesh Shah and Dr. Kamdar, the managing members of Domain LLC, share voting and investment power over the shares held by Domain LLC. Each managing member of One Palmer Square VI, One Palmer Square VIII and Domain LLC disclaims beneficial ownership of all shares held by the Domain Entities, except to the extent of each such managing member’s actual pecuniary interest therein. The address for the Domain Entities is One Palmer Square, Suite 515, Princeton, NJ 08542.</w:t>
      </w:r>
    </w:p>
    <w:p>
      <w:pPr>
        <w:ind w:left="460" w:hanging="452"/>
        <w:spacing w:after="0"/>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(a) 1,441,772 shares of common stock held by Fidelity Select Portfolios: Biotechnology Portfolio, or Fidelity Select Portfolio, and (b) 345,059</w:t>
      </w:r>
    </w:p>
    <w:p>
      <w:pPr>
        <w:spacing w:after="0" w:line="32"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shares of common stock held by Fidelity Advisor Series VII: Fidelity Advisor Biotechnology Fund, or Fidelity Advisors. Fidelity Select Portfolio and Fidelity Advisors are managed by direct or indirect subsidiaries of Fidelity Management and Research LLC, or FMR LLC. Edward C. Johnson 3d is a Director and the Chairman of FMR LLC and Abigail P. Johnson is a Director, the Vice Chairman and the President of FMR LLC. Members of the family of Edward C. Johnson 3d,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Edward C. Johnson 3d nor Abigail P. Johnson has the sole power to vote or direct the voting of the shares owned directly by the various investment companies registered under the Investment Company Act, or Fidelity Funds,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address of entities affiliated with Fidelity Select Portfolio and Fidelity Advisors is 245 Summer Street, Boston, MA 02110.</w:t>
      </w:r>
    </w:p>
    <w:p>
      <w:pPr>
        <w:spacing w:after="0" w:line="8" w:lineRule="exact"/>
        <w:rPr>
          <w:rFonts w:ascii="Arial" w:cs="Arial" w:eastAsia="Arial" w:hAnsi="Arial"/>
          <w:sz w:val="16"/>
          <w:szCs w:val="16"/>
          <w:color w:val="auto"/>
        </w:rPr>
      </w:pPr>
    </w:p>
    <w:p>
      <w:pPr>
        <w:ind w:left="460" w:right="140" w:hanging="452"/>
        <w:spacing w:after="0" w:line="28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Consists of (a) 2,258,452 shares of common stock held by MPM IV-QP, (b) 301,206 shares of common stock held by MPM Strategic Fund, (c) 87,004 shares of common stock held by MPM Beteiligungs, and (d) 64,216 shares of common stock held by MPM BV4. MPM IV LLC is the managing member of MPM IV GP, which is (i) the general partner of each of MPM IV-QP and MPM Strategic Fund, and (ii) the managing limited partner of MPM Beteiligungs. MPM IV LLC is the manager of MPM BV4. Dr. Evnin, Ansbert Gadicke, Todd Foley, James Scopa and Vaughn Kailian, members of MPM IV LLC, share power to vote, acquire, hold and dispose of the shares held by the MPM Entities. Each member of MPM IV LLC disclaims beneficial ownership of all shares held by the MPM Entities, except to the extent of each such member’s actual pecuniary interest therein. The address for the MPM Entities is 601 Gateway Blvd., Suite 350, South San Francisco, CA 94080.</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address for Delos Investments 1 is 190 Elgin Avenue, George Town Grand Cayman KY1-9005, Cayman Islands.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address for RMI Investments is 7, Rue Robert Stümper, L-2557, Luxembourg.</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Immediately prior to the completion of this offering, our amended and restated certificate of incorporation will authorize us to issue up to 100,000,000 shares of common stock, par value $0.0001 per share and 10,000,000 shares of preferred stock, par value $0.001 per share. As of June 30, 2015, there were outstanding:</w:t>
      </w:r>
    </w:p>
    <w:p>
      <w:pPr>
        <w:spacing w:after="0" w:line="181" w:lineRule="exact"/>
        <w:rPr>
          <w:sz w:val="20"/>
          <w:szCs w:val="20"/>
          <w:color w:val="auto"/>
        </w:rPr>
      </w:pPr>
    </w:p>
    <w:p>
      <w:pPr>
        <w:ind w:left="1000" w:right="140" w:hanging="323"/>
        <w:spacing w:after="0" w:line="256" w:lineRule="auto"/>
        <w:tabs>
          <w:tab w:leader="none" w:pos="980" w:val="left"/>
        </w:tabs>
        <w:rPr>
          <w:sz w:val="20"/>
          <w:szCs w:val="20"/>
          <w:color w:val="auto"/>
        </w:rPr>
      </w:pPr>
      <w:r>
        <w:rPr>
          <w:rFonts w:ascii="Arial" w:cs="Arial" w:eastAsia="Arial" w:hAnsi="Arial"/>
          <w:sz w:val="18"/>
          <w:szCs w:val="18"/>
          <w:color w:val="auto"/>
        </w:rPr>
        <w:t>•</w:t>
        <w:tab/>
        <w:t>shares of our common stock held by approximately stockholders, which gives effect to (i) the conversion of all outstanding shares of our convertible preferred stock into an aggregate of 10,618,367 shares of our common stock upon completion of this offering and (ii) the conversion of the shares of our Series C-1 convertible preferred stock issued on August 21, 2015 into an aggregate of 5,472,390 shares of our common stock upon completion of this offering;</w:t>
      </w:r>
    </w:p>
    <w:p>
      <w:pPr>
        <w:spacing w:after="0" w:line="62" w:lineRule="exact"/>
        <w:rPr>
          <w:sz w:val="20"/>
          <w:szCs w:val="20"/>
          <w:color w:val="auto"/>
        </w:rPr>
      </w:pPr>
    </w:p>
    <w:p>
      <w:pPr>
        <w:ind w:left="1000" w:hanging="317"/>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2,234,519 shares of our common stock subject to outstanding options; and</w:t>
      </w:r>
    </w:p>
    <w:p>
      <w:pPr>
        <w:spacing w:after="0" w:line="90" w:lineRule="exact"/>
        <w:rPr>
          <w:rFonts w:ascii="Arial" w:cs="Arial" w:eastAsia="Arial" w:hAnsi="Arial"/>
          <w:sz w:val="18"/>
          <w:szCs w:val="18"/>
          <w:color w:val="auto"/>
        </w:rPr>
      </w:pPr>
    </w:p>
    <w:p>
      <w:pPr>
        <w:ind w:left="1700" w:hanging="1017"/>
        <w:spacing w:after="0"/>
        <w:tabs>
          <w:tab w:leader="none" w:pos="17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of our common stock issuable upon the exercise of the Bayer Warrant at an exercise price of $1.23 per share, based upon</w:t>
      </w:r>
    </w:p>
    <w:p>
      <w:pPr>
        <w:spacing w:after="0" w:line="38" w:lineRule="exact"/>
        <w:rPr>
          <w:sz w:val="20"/>
          <w:szCs w:val="20"/>
          <w:color w:val="auto"/>
        </w:rPr>
      </w:pPr>
    </w:p>
    <w:p>
      <w:pPr>
        <w:ind w:left="1000" w:firstLine="702"/>
        <w:spacing w:after="0" w:line="261" w:lineRule="auto"/>
        <w:rPr>
          <w:sz w:val="20"/>
          <w:szCs w:val="20"/>
          <w:color w:val="auto"/>
        </w:rPr>
      </w:pPr>
      <w:r>
        <w:rPr>
          <w:rFonts w:ascii="Arial" w:cs="Arial" w:eastAsia="Arial" w:hAnsi="Arial"/>
          <w:sz w:val="18"/>
          <w:szCs w:val="18"/>
          <w:color w:val="auto"/>
        </w:rPr>
        <w:t>shares of our common stock outstanding as of June 30, 2015 on a fully diluted basis immediately following this offering, which warrant is expected to remain outstanding upon completion of this offering.</w:t>
      </w:r>
    </w:p>
    <w:p>
      <w:pPr>
        <w:spacing w:after="0" w:line="13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description of our capital stock is not complete and is subject to and qualified in its entirety by our amended and restated certificate of incorporation and amended and restated bylaws and by the provisions of applicable Delaware law. Copies of these documents are filed with the SEC as exhibits to our registration statement, of which this prospectus forms a part. The descriptions of our common stock, preferred stock and warrant reflect changes to our capital structure that will occur immediately in connection with the completion of this offering.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right="20" w:firstLine="456"/>
        <w:spacing w:after="0" w:line="323" w:lineRule="auto"/>
        <w:rPr>
          <w:sz w:val="20"/>
          <w:szCs w:val="20"/>
          <w:color w:val="auto"/>
        </w:rPr>
      </w:pPr>
      <w:r>
        <w:rPr>
          <w:rFonts w:ascii="Arial" w:cs="Arial" w:eastAsia="Arial" w:hAnsi="Arial"/>
          <w:sz w:val="15"/>
          <w:szCs w:val="15"/>
          <w:color w:val="auto"/>
        </w:rPr>
        <w:t>Each holder of common stock is entitled to one vote for each share on all matters submitted to a vote of the stockholders. The affirmative vote of holders of at least 66%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Subject to preferences that may apply to any outstanding preferred stock, holders of our common stock are entitled to receive ratably any dividends that our board of directors may declare out of funds legally available for that purpose.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holders of our common stock are entitled to share ratably in all assets remaining after payment of liabilities and the liquidation preference of any outstanding preferred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7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71"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All outstanding shares of our common stock are fully paid and non-assessable, and the shares of common stock to be issued upon completion of this offering will be fully paid and non-assessable.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Immediately prior to the completion of this offering, all outstanding shares of our preferred stock will convert into shares of common stock. Upon completion of this offering, our board of directors will have the authority, without further action by our stockholders, to issue up to 10,000,000 shares of preferred stock in one or more series and to fix the number, rights, preferences, privileges and restrictions thereof. These rights, preferences and privileges could include dividend rights, conversion rights, voting rights, terms of redemption, liquidation preferences and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or other corporate action. We have no current plan to issue any shares of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Warrant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issued the Bayer Warrant to Bayer to purchase such number of shares of our common stock initially equal to 1.75% of the shares of common stock outstanding on a fully diluted basis as of the earlier of the date of exercise or our initial public offering, at an exercise price of $1.23 per share. The Bayer Warrant contains a cashless exercise feature and Bayer may, at its option, exercise the Bayer Warrant in whole or in part at any time prior to expiration upon the earlier of (i) 10 years after our initial public offering or (ii) a consummation of a sale of all or substantially all of our assets or business.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jc w:val="both"/>
        <w:ind w:right="240" w:firstLine="456"/>
        <w:spacing w:after="0" w:line="332" w:lineRule="auto"/>
        <w:rPr>
          <w:sz w:val="20"/>
          <w:szCs w:val="20"/>
          <w:color w:val="auto"/>
        </w:rPr>
      </w:pPr>
      <w:r>
        <w:rPr>
          <w:rFonts w:ascii="Arial" w:cs="Arial" w:eastAsia="Arial" w:hAnsi="Arial"/>
          <w:sz w:val="16"/>
          <w:szCs w:val="16"/>
          <w:color w:val="auto"/>
        </w:rPr>
        <w:t>Holders of shares of our convertible preferred stock, common stock, and common stock issuable upon exercise of the Bayer Warrant, have the right to demand that we file a registration statement or request that we cover their shares by a registration statement that we otherwise file, as described below.</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At any time after 180 days after the completion of this offering, holders of at least 35% of the shares having demand registration rights may request that we register all or a portion of their shares 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common stock for sale under the Securities Act. We will effect the registration as requested, unless, in the good faith judgment of our board of directors, such registration would be seriously detrimental to the company and should be delayed. In addition, when we are eligible for the use of Form S-3, or any successor form, holders of at least 20% of the shares having demand registration rights may request that we register all or a portion of their common stock for sale under the Securities Act on Form S-3, or any successor form, so long as the aggregate price, net of underwriting discounts and commissions, to the public in connection with any such offering is more than $1.0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if at any time after this offering we register any shares of our common stock, the holders of all shares having piggyback registration rights are entitled to notice of the registration and to include all or a portion of their shares of common stock in the registration.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the event that any registration in which the holders of registrable shares participate pursuant to the investors’ rights agreement is an underwritten public offering, the number of registrable shares to be included may, in specified circumstances, be limited due to market conditions.</w:t>
      </w:r>
    </w:p>
    <w:p>
      <w:pPr>
        <w:spacing w:after="0" w:line="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all registration expenses, other than underwriting discounts, selling commissions and stock transfer taxes, and the reasonable fees and expenses of a single special counsel for the selling stockholders, related to any demand, piggyback and Form S-3 registration. The investors’ rights agreement contains customary cross-indemnification provisions, pursuant to which we must indemnify the selling stockholders in the event of material misstatements or omissions in the registration statement attributable to us, and they must indemnify us for material misstatements or omissions in the registration statement attributable to them. The demand, piggyback and Form S-3 registration rights described above will expire, with respect to any particular stockholder, upon the earlier of (i) the date when such stockholder can sell all of its registrable shares in a single transaction pursuant to Rule 144 of the Securities Act, (ii) three years after our initial public offering or (iii) a liquidating transaction as defined in our amended and restated certificate of incorporation, as currently in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 of Incorporation and Bylaws to be in Effect Immediately Prior to Completion of this Offering</w:t>
      </w:r>
    </w:p>
    <w:p>
      <w:pPr>
        <w:spacing w:after="0" w:line="171"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amended and restated certificate of incorporation and amended and restated bylaws, each to become effective immediately prior to the completion of this offering, will include a number of provisions that may deter or impede hostile takeovers or changes of control or management. These provisions include:</w:t>
      </w:r>
    </w:p>
    <w:p>
      <w:pPr>
        <w:spacing w:after="0" w:line="126" w:lineRule="exact"/>
        <w:rPr>
          <w:sz w:val="20"/>
          <w:szCs w:val="20"/>
          <w:color w:val="auto"/>
        </w:rPr>
      </w:pPr>
    </w:p>
    <w:p>
      <w:pPr>
        <w:ind w:left="1000" w:right="300" w:hanging="317"/>
        <w:spacing w:after="0" w:line="255" w:lineRule="auto"/>
        <w:tabs>
          <w:tab w:leader="none" w:pos="1000" w:val="left"/>
        </w:tabs>
        <w:numPr>
          <w:ilvl w:val="0"/>
          <w:numId w:val="96"/>
        </w:numPr>
        <w:rPr>
          <w:rFonts w:ascii="Arial" w:cs="Arial" w:eastAsia="Arial" w:hAnsi="Arial"/>
          <w:sz w:val="18"/>
          <w:szCs w:val="18"/>
          <w:color w:val="auto"/>
        </w:rPr>
      </w:pPr>
      <w:r>
        <w:rPr>
          <w:rFonts w:ascii="Arial" w:cs="Arial" w:eastAsia="Arial" w:hAnsi="Arial"/>
          <w:sz w:val="18"/>
          <w:szCs w:val="18"/>
          <w:b w:val="1"/>
          <w:bCs w:val="1"/>
          <w:i w:val="1"/>
          <w:iCs w:val="1"/>
          <w:color w:val="auto"/>
        </w:rPr>
        <w:t>Issuance of Undesignated Preferred Stock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the filing of our amended and restated certificate of incorporation, our board of directors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authority, without further action by the stockholders, to issue up to 10,000,000 shares of undesignated preferred stock with rights and preferences, including voting rights, designated from time to time by our board of directors. The existence of authorized but unissued shares of preferred stock enables our board of directors to make it more difficult or to discourage an attempt to obtain control of us by means of a merger, tender offer, proxy contest or otherwise.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00" w:right="100" w:hanging="317"/>
        <w:spacing w:after="0" w:line="256" w:lineRule="auto"/>
        <w:tabs>
          <w:tab w:leader="none" w:pos="1000" w:val="left"/>
        </w:tabs>
        <w:numPr>
          <w:ilvl w:val="0"/>
          <w:numId w:val="97"/>
        </w:numPr>
        <w:rPr>
          <w:rFonts w:ascii="Arial" w:cs="Arial" w:eastAsia="Arial" w:hAnsi="Arial"/>
          <w:sz w:val="18"/>
          <w:szCs w:val="18"/>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amended and restated certificate of incorporation provides for a classified board of directors consisting of three classes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 staggered three-year terms. Only one class of directors will be elected at each annual meeting of our stockholders, with the other classes continuing for the remainder of their respective three-year terms. This provision may have the effect of delaying a change in control of our board.</w:t>
      </w:r>
    </w:p>
    <w:p>
      <w:pPr>
        <w:spacing w:after="0" w:line="62" w:lineRule="exact"/>
        <w:rPr>
          <w:rFonts w:ascii="Arial" w:cs="Arial" w:eastAsia="Arial" w:hAnsi="Arial"/>
          <w:sz w:val="18"/>
          <w:szCs w:val="18"/>
          <w:color w:val="auto"/>
        </w:rPr>
      </w:pPr>
    </w:p>
    <w:p>
      <w:pPr>
        <w:ind w:left="1000" w:right="40" w:hanging="317"/>
        <w:spacing w:after="0" w:line="298"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Board of Directors Vacancies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certificate of incorporation and amended and restated bylaws authorize only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to fill vacant directorships.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31" w:lineRule="exact"/>
        <w:rPr>
          <w:rFonts w:ascii="Arial" w:cs="Arial" w:eastAsia="Arial" w:hAnsi="Arial"/>
          <w:sz w:val="16"/>
          <w:szCs w:val="16"/>
          <w:color w:val="auto"/>
        </w:rPr>
      </w:pPr>
    </w:p>
    <w:p>
      <w:pPr>
        <w:ind w:left="1000" w:hanging="317"/>
        <w:spacing w:after="0" w:line="298"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Stockholder Action; Special Meetings of Stockholders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certificate of incorporation provides that our stockholders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take action by written consent, but may only take action at annual or special meetings of our stockholders. Stockholders will not be permitted to cumulate their votes for the election of directors. Our amended and restated certificate of incorporation further provides that only the chairman of our board of directors or a majority of our board of directors may call special meetings of our stockholders.</w:t>
      </w:r>
    </w:p>
    <w:p>
      <w:pPr>
        <w:spacing w:after="0" w:line="31" w:lineRule="exact"/>
        <w:rPr>
          <w:rFonts w:ascii="Arial" w:cs="Arial" w:eastAsia="Arial" w:hAnsi="Arial"/>
          <w:sz w:val="16"/>
          <w:szCs w:val="16"/>
          <w:color w:val="auto"/>
        </w:rPr>
      </w:pPr>
    </w:p>
    <w:p>
      <w:pPr>
        <w:ind w:left="1000" w:hanging="317"/>
        <w:spacing w:after="0" w:line="294" w:lineRule="auto"/>
        <w:tabs>
          <w:tab w:leader="none" w:pos="1000"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Advance Notice Requirements for Stockholder Proposals and Director Nominations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amended and restated bylaws provide advance notice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our annual meeting of stockholders. Our amended and restated bylaws also specify certain requirements as to the form and content of a stockholder’s notice. These provisions may make it more difficult for our stockholders to bring matters before our annual meeting of stockholders or to nominate directors at annual meetings of stockholders.</w:t>
      </w:r>
    </w:p>
    <w:p>
      <w:pPr>
        <w:spacing w:after="0" w:line="11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designed these provisions to enhance the likelihood of continued stability in the composition of our board of directors and its policies, to discourage certain types of transactions that may involve an actual or threatened acquisition of us,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71"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We are subject to Section 203 of the DGCL, which prohibits a Delaware corporation from engaging in a business combination with any interested stockholder for a period of three years following the date the person became an interested stockholder, with the following exceptions:</w:t>
      </w:r>
    </w:p>
    <w:p>
      <w:pPr>
        <w:spacing w:after="0" w:line="126" w:lineRule="exact"/>
        <w:rPr>
          <w:sz w:val="20"/>
          <w:szCs w:val="20"/>
          <w:color w:val="auto"/>
        </w:rPr>
      </w:pPr>
    </w:p>
    <w:p>
      <w:pPr>
        <w:ind w:left="1000" w:right="760" w:hanging="317"/>
        <w:spacing w:after="0" w:line="268"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holder;</w:t>
      </w:r>
    </w:p>
    <w:p>
      <w:pPr>
        <w:spacing w:after="0" w:line="50" w:lineRule="exact"/>
        <w:rPr>
          <w:rFonts w:ascii="Arial" w:cs="Arial" w:eastAsia="Arial" w:hAnsi="Arial"/>
          <w:sz w:val="18"/>
          <w:szCs w:val="18"/>
          <w:color w:val="auto"/>
        </w:rPr>
      </w:pPr>
    </w:p>
    <w:p>
      <w:pPr>
        <w:jc w:val="both"/>
        <w:ind w:left="1000" w:right="240" w:hanging="317"/>
        <w:spacing w:after="0" w:line="259"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60" w:right="2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260"/>
        <w:spacing w:after="0" w:line="259" w:lineRule="auto"/>
        <w:rPr>
          <w:sz w:val="20"/>
          <w:szCs w:val="20"/>
          <w:color w:val="auto"/>
        </w:rPr>
      </w:pPr>
      <w:r>
        <w:rPr>
          <w:rFonts w:ascii="Arial" w:cs="Arial" w:eastAsia="Arial" w:hAnsi="Arial"/>
          <w:sz w:val="18"/>
          <w:szCs w:val="18"/>
          <w:color w:val="auto"/>
        </w:rPr>
        <w:t>interested stockholder) those shares owned (a) by persons who are directors and also officers and (b) pursuant to employee stock plans in which employee participants do not have the right to determine confidentially whether shares held subject to the plan will be tendered in a tender or exchange offer; and</w:t>
      </w:r>
    </w:p>
    <w:p>
      <w:pPr>
        <w:spacing w:after="0" w:line="59" w:lineRule="exact"/>
        <w:rPr>
          <w:sz w:val="20"/>
          <w:szCs w:val="20"/>
          <w:color w:val="auto"/>
        </w:rPr>
      </w:pPr>
    </w:p>
    <w:p>
      <w:pPr>
        <w:ind w:left="1000" w:right="640" w:hanging="317"/>
        <w:spacing w:after="0" w:line="235" w:lineRule="auto"/>
        <w:tabs>
          <w:tab w:leader="none" w:pos="10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on or after such date, the business combination is approved by the board of directors and authorized at an annual or special meeting of the stockholders, and not by written consent, by the affirmative vote of at least 66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22"/>
          <w:szCs w:val="22"/>
          <w:color w:val="auto"/>
          <w:vertAlign w:val="subscript"/>
        </w:rPr>
        <w:t>3</w:t>
      </w:r>
      <w:r>
        <w:rPr>
          <w:rFonts w:ascii="Arial" w:cs="Arial" w:eastAsia="Arial" w:hAnsi="Arial"/>
          <w:sz w:val="18"/>
          <w:szCs w:val="18"/>
          <w:color w:val="auto"/>
        </w:rPr>
        <w:t>% of the outstanding voting stock that is not owned by the interested stockholder.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of the DGCL defines business combination to include the following:</w:t>
      </w:r>
    </w:p>
    <w:p>
      <w:pPr>
        <w:spacing w:after="0" w:line="212" w:lineRule="exact"/>
        <w:rPr>
          <w:sz w:val="20"/>
          <w:szCs w:val="20"/>
          <w:color w:val="auto"/>
        </w:rPr>
      </w:pPr>
    </w:p>
    <w:p>
      <w:pPr>
        <w:ind w:left="1000" w:hanging="31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90" w:lineRule="exact"/>
        <w:rPr>
          <w:rFonts w:ascii="Arial" w:cs="Arial" w:eastAsia="Arial" w:hAnsi="Arial"/>
          <w:sz w:val="18"/>
          <w:szCs w:val="18"/>
          <w:color w:val="auto"/>
        </w:rPr>
      </w:pPr>
    </w:p>
    <w:p>
      <w:pPr>
        <w:ind w:left="1000" w:hanging="317"/>
        <w:spacing w:after="0"/>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90" w:lineRule="exact"/>
        <w:rPr>
          <w:rFonts w:ascii="Arial" w:cs="Arial" w:eastAsia="Arial" w:hAnsi="Arial"/>
          <w:sz w:val="18"/>
          <w:szCs w:val="18"/>
          <w:color w:val="auto"/>
        </w:rPr>
      </w:pPr>
    </w:p>
    <w:p>
      <w:pPr>
        <w:ind w:left="1000" w:right="620" w:hanging="317"/>
        <w:spacing w:after="0" w:line="268"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50" w:lineRule="exact"/>
        <w:rPr>
          <w:rFonts w:ascii="Arial" w:cs="Arial" w:eastAsia="Arial" w:hAnsi="Arial"/>
          <w:sz w:val="18"/>
          <w:szCs w:val="18"/>
          <w:color w:val="auto"/>
        </w:rPr>
      </w:pPr>
    </w:p>
    <w:p>
      <w:pPr>
        <w:ind w:left="1000" w:right="780" w:hanging="317"/>
        <w:spacing w:after="0" w:line="268"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50" w:lineRule="exact"/>
        <w:rPr>
          <w:rFonts w:ascii="Arial" w:cs="Arial" w:eastAsia="Arial" w:hAnsi="Arial"/>
          <w:sz w:val="18"/>
          <w:szCs w:val="18"/>
          <w:color w:val="auto"/>
        </w:rPr>
      </w:pPr>
    </w:p>
    <w:p>
      <w:pPr>
        <w:ind w:left="1000" w:right="400" w:hanging="317"/>
        <w:spacing w:after="0" w:line="268" w:lineRule="auto"/>
        <w:tabs>
          <w:tab w:leader="none" w:pos="10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general, Section 203 of the DGCL defines an “interested stockholder” as an entity or person who, together with the entity’s or person’s affiliates and associates, beneficially owns, or is an affiliate of the corporation and within three years prior to the time of determination of interested stockholder status did own, 15% or more of the outstanding voting stock of the corporation.</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any derivative action or proceeding brought on our behalf, any action asserting a breach of fiduciary duty owed by any director, officer, employee or agent to us or our stockholders, any action asserting a claim against us arising pursuant to the DGCL or our certificate of incorporation or bylaws, any action to interpret, apply, enforce or determine the validity of our certificate of incorporation or bylaws, or any action asserting a claim against us that is governed by the internal affairs doctrine.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transfer agent and registrar for our common stock is Computershare Trust Company, N.A.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have our common stock approved for listing on the NASDAQ Global Market under the trading symbol “SNDX.”</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this offering, no public market for our common stock existed, and a liquid trading market for our common stock may not develop or be sustained after this offering. Future sales of substantial amounts of our common stock in the public market, including shares issued upon exercise of outstanding options and warrants, or the anticipation of such sales,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14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Based on the number of shares of common stock outstanding as of June 30, 2015, upon completion of this offering, shares of our common stock will be outstanding. The number of shares outstanding upon completion of this offering assumes no exercise of outstanding options or the Bayer Warrant, and no exercise of the underwriters’ over-allotment option.</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All of the shares sold in this offering will be freely tradable unless purchased by our affiliates. The remaining shares of common stock outstanding after this offering will be restricted as a result of securities laws or lock-up agreements as described below. Following the expiration of the lock-up period, all shares will be eligible for resale, subject to compliance with Rule 144 or Rule 701 of the Securities Act to the extent these shares have been released from any repurchase option that we may hold.</w:t>
      </w:r>
    </w:p>
    <w:p>
      <w:pPr>
        <w:spacing w:after="0" w:line="143"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10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and Rule 144 and Rule 701 of the Securities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general, under Rule 144 of the Securities Act, as in effect on the date of this prospectus, beginning 90 days after the date of this prospectus, any person who is not our affiliate at any time during the preceding three months, and who has beneficially owned their shares for at least six months, including the holding period of any prior owner other than one of our affiliates, would be entitled to sell an unlimited number of shares of our common stock provided current public information about us is available, and, after owning such shares for at least one year, including the holding period of any prior owner other than one of our affiliates, would be entitled to sell an unlimited number of shares of our common stock without restriction.</w:t>
      </w:r>
    </w:p>
    <w:p>
      <w:pPr>
        <w:spacing w:after="0" w:line="1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and who has beneficially owned restricted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securities for at least six months, including the holding period of any prior owner other than one of our affiliates, is entitled to sell within any three-month period a number of shares that does not exceed the greater of:</w:t>
      </w:r>
    </w:p>
    <w:p>
      <w:pPr>
        <w:spacing w:after="0" w:line="172" w:lineRule="exact"/>
        <w:rPr>
          <w:sz w:val="20"/>
          <w:szCs w:val="20"/>
          <w:color w:val="auto"/>
        </w:rPr>
      </w:pPr>
    </w:p>
    <w:p>
      <w:pPr>
        <w:ind w:left="1000" w:right="80" w:hanging="319"/>
        <w:spacing w:after="0" w:line="259" w:lineRule="auto"/>
        <w:tabs>
          <w:tab w:leader="none" w:pos="98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shares, or shares if the underwriters exercise their over-allotment option in full, immediately following this offering, based on the number of shares of our common stock outstanding upon completion of this offering; or</w:t>
      </w:r>
    </w:p>
    <w:p>
      <w:pPr>
        <w:spacing w:after="0" w:line="59" w:lineRule="exact"/>
        <w:rPr>
          <w:sz w:val="20"/>
          <w:szCs w:val="20"/>
          <w:color w:val="auto"/>
        </w:rPr>
      </w:pPr>
    </w:p>
    <w:p>
      <w:pPr>
        <w:ind w:left="1000" w:right="40" w:hanging="317"/>
        <w:spacing w:after="0" w:line="268" w:lineRule="auto"/>
        <w:tabs>
          <w:tab w:leader="none" w:pos="10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Upon expiration of the 180-day lock-up period described below, shares of our common stock will be eligible for sale under Rule 144. We cannot estimate the number of shares of our common stock that our existing stockholders will elect to sell under Rule 144.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general, under Rule 701 of the Securities Act, any of an issuer’s employees, directors, officers, consultants or advisors who purchases shares from the issuer in connection with a compensatory stock or option plan or other written agreement before the effective date of a registration statement under the Securities Act, is entitled to sell such shares 90 days after such effective date in reliance on Rule 144. An affiliate of the issuer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along with our directors and executive officers and substantially all of our other stockholders have agreed with the underwriters that, for a period of 180 days following the date of this prospectus, we or they will not offer, sell, contract to sell, pledge, grant any option to purchase, make any short sale or otherwise dispose of any shares of our common stock (including any shares issued in this offering or other issuer-directed shares), or any options or warrants to purchase any shares of our common stock, or any securities convertible into, exchangeable for or that represent the right to receive shares of our common stock, whether now owned or later acquired, owned directly or with respect to which we or they have beneficial ownership within the rules and regulations of the SEC, subject to specified exceptions. The underwriters may, in their sole discretion, at any time without prior notice, release all or any portion of the shares from the restrictions in any such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common stock subject to outstanding stock options and common stock issuable under our equity incentive plans. We expect to file the registration statement covering such shares shortly after the date of this prospectus, permitting the resale of such shares by non-affiliates in the</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340"/>
          </w:cols>
          <w:pgMar w:left="240" w:top="459" w:right="3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public market without restriction under the Securities Act and the sale by affiliates in the public market, subject to compliance with the resale provisions of Rule 144. For more information on our equity incentive plans, see the section entitled “Executive and Director Compensation—Equity Benefit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Holders of shares of our convertible preferred stock, common stock, and common stock issuable upon exercise of the Bayer Warrant, have the right to demand that we file a registration statement or request that we cover their shares by a registration statement that we otherwise file. For more information, see the section titled “Description of Capital Stock—Registration Rights.” Except for shares purchased by affiliates, registration of their shares under the Securities Act would result in these shares becoming freely tradable without restriction under the Securities Act immediately upon the effectiveness of the registration statement, subject to the expiration of the lock-up period and to the extent these shares have been released from any repurchase option that we may hold.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and does not deal with foreign, state and local consequences that may be relevant to Non-U.S. Holders in light of their particular circumstances, nor does it address U.S. federal tax consequences other than income taxes and estate taxes to the limited extent set forth below.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persons that hold our common stock as part of a “straddle,” “hedge,” “conversion transaction,” “synthetic security” or integrated investment or other risk reduction strategy, partnerships and other pass-through entities, and investors in such pass-through entities.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0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following discussion is for general information only and is not tax advice to any investor in light of their particular circumstances. Persons considering the purchase of our common stock pursuant to this offering should consult their own tax advisors concerning the U.S. federal income and estate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43"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that is neither a U.S. Holder, a partnership (or other entity treated as a partnership for U.S. federal income tax purposes regardless of its place of organization or formation), nor an entity that is treated as a disregarded entity for U.S. federal income tax purposes (regardless of its place of organization or formation). A “U.S. Holder” means a beneficial owner of our common stock that is for U.S. federal income tax purposes (a) an individual who is a citizen or resident of the United States, (b) a corporation or other entity treated as a corporation created or organized in or under the laws of the United States, any state thereof or the District of Columbia,</w:t>
      </w:r>
    </w:p>
    <w:p>
      <w:pPr>
        <w:spacing w:after="0" w:line="2" w:lineRule="exact"/>
        <w:rPr>
          <w:sz w:val="20"/>
          <w:szCs w:val="20"/>
          <w:color w:val="auto"/>
        </w:rPr>
      </w:pPr>
    </w:p>
    <w:p>
      <w:pPr>
        <w:ind w:right="100" w:firstLine="8"/>
        <w:spacing w:after="0" w:line="255" w:lineRule="auto"/>
        <w:tabs>
          <w:tab w:leader="none" w:pos="2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 (d) 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Subject to the discussion below, distributions, if any, made on our common stock to a Non-U.S. Holder of our common stock to the extent made out of our current or accumulated earnings and profits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determined under U.S. federal income tax principles) generally will constitute dividends for U.S. tax purposes and will be subject to withholding tax at a 30% rate or such lower rate as may be specified by an applicable income tax treaty. To obtain a reduced rate of withholding under a treaty, a Non-U.S. Holder generally will be required to provide us with a properly executed IRS Form W-8BEN or W-8BEN-E, or other appropriate form, certifying the Non-U.S. Holder’s entitlement to benefits under that treaty.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a Non-U.S. Holder is eligible for a reduced rate of U.S. federal withholding tax under an income tax treaty, the Non-U.S. Holder should contact its tax advisor regarding the possibility of obtaining a refund or credit of any excess amounts withheld by timely filing an appropriate claim for a refund with the IRS.</w:t>
      </w:r>
    </w:p>
    <w:p>
      <w:pPr>
        <w:spacing w:after="0" w:line="12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that such holder maintains in the United States)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graduated rates,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1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 the extent distributions on our common stock, if any, exceed our current and accumulated earnings and profits, they will constitute a non-taxable return of capital and will first reduce the Non-U.S. Holder’s adjusted basis in our common stock, but not below zero, and then will be treated as gain and taxed in the same manner as gain realized from a sale or other disposition of common stock as described in the next section.</w:t>
      </w:r>
    </w:p>
    <w:p>
      <w:pPr>
        <w:spacing w:after="0" w:line="1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additional withholding rules that may apply to dividends paid to certain foreign entities, see the discussion below under the heading “Legislation Affecting Taxation of Our Common Stock Held by or Through Foreign Entities.”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7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Subject to the discussion below, a Non-U.S. Holder generally will not be subject to U.S. federal income tax with respect to gain realized on a sale or other disposition of our common stock unless (a) the gain is effectively connected with a trade or business of such holder in the United States (and, if required by an applicable income tax treaty, is attributable to a permanent establishment that such holder maintains in the United States), (b) the Non-U.S. Holder is a nonresident alien individual and is present in the United States for 183 or more days in the taxable year of the disposition and certain other conditions are met, or</w:t>
      </w:r>
    </w:p>
    <w:p>
      <w:pPr>
        <w:spacing w:after="0" w:line="3" w:lineRule="exact"/>
        <w:rPr>
          <w:sz w:val="20"/>
          <w:szCs w:val="20"/>
          <w:color w:val="auto"/>
        </w:rPr>
      </w:pPr>
    </w:p>
    <w:p>
      <w:pPr>
        <w:ind w:right="280" w:firstLine="8"/>
        <w:spacing w:after="0" w:line="261" w:lineRule="auto"/>
        <w:tabs>
          <w:tab w:leader="none" w:pos="23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within the meaning of Code Section 897(c)(2) at any time within the shorter of the five-year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preceding such disposition or such holder’s holding period. In general, we would be a United States real property holding corporation if interests in U.S. real estate comprised (by fair market value) at least half of our business assets. We believe that we are not, and do not anticipate becoming, a United States real property holding corporation. Even if we are treated as a United States real property holding corporation, gain realized by a Non-U.S. Holder on a disposition of our common stock will not be subject to U.S. federal income tax so long as (1) the Non-U.S. Holder owned, directly, indirectly and constructively, no more than 5%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147"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regular graduated U.S. federal income tax rates, unless a specific treaty exemption applies, and corporate Non-U.S. Holders described in (a) above may be subject to the additional branch profits tax at a 30% rate or such lower rate as may be specified by an applicable income tax treaty. If you are an individual Non-U.S. Holder described in</w:t>
      </w:r>
    </w:p>
    <w:p>
      <w:pPr>
        <w:spacing w:after="0" w:line="1" w:lineRule="exact"/>
        <w:rPr>
          <w:sz w:val="20"/>
          <w:szCs w:val="20"/>
          <w:color w:val="auto"/>
        </w:rPr>
      </w:pPr>
    </w:p>
    <w:p>
      <w:pPr>
        <w:ind w:right="200" w:firstLine="8"/>
        <w:spacing w:after="0" w:line="261" w:lineRule="auto"/>
        <w:tabs>
          <w:tab w:leader="none" w:pos="24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above, you will be required to pay a flat 30% tax on the gain derived from the sale, which gain may be offset by U.S. source capital losses (even though you are not considered a resident of the United States).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Generally, we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or W-8BEN-E or otherwise establishes an exemption. The current backup withholding rate is 28%.</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Under current U.S. federal income tax law, 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or W-8BEN-Eor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18"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Backup withholding is not an additional tax. A holder subject to backup withholding should contact the holder’s tax advisor regarding the possibility of obtaining a refund or a tax credit and any associated requirements to provide information to the IRS or other relevant tax authority.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Affecting Taxation of Our Common Stock Held by or Through Foreign Entities</w:t>
      </w:r>
    </w:p>
    <w:p>
      <w:pPr>
        <w:spacing w:after="0" w:line="1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Foreign Account Tax Compliance Act, or FATCA, which was enacted in 2010, imposes a 30% withholding tax on certain types of payments made to “foreign financial institutions” and certain other non-U.S. entities unless certain due diligence, reporting, withholding, and certification requirements are satisfied.</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a general matter, FATCA imposes a 30% withholding tax on dividends on, and gross proceeds from the sale or other disposition of, our common stock if paid to a foreign entity unless either (i) the foreign entity is a “foreign financial institution” that undertakes certain due diligence, reporting, withholding, and certification obligations, (ii) the foreign entity is not a “foreign financial institution” and identifies certain of its U.S. investors, or (iii) the foreign entity otherwise is excepted under FATCA.</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Pursuant to the delayed effective dates provided for in the final regulations, the required withholding with respect to dividends on our common stock began on July 1, 2014 and the required withholding with respect to gross proceeds from a sale or other disposition of our common stock will begin on January 1, 2017.</w:t>
      </w:r>
    </w:p>
    <w:p>
      <w:pPr>
        <w:spacing w:after="0" w:line="8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If withholding is required under FATCA on a payment related to our common stock, investors that otherwise would not be subject to withholding (or that otherwise would be entitled to a reduced rate of withholding) generally will be required to seek a refund or credit from the IRS to obtain the benefit of such exemption or reduction (provided that such benefit is available). Prospective investors should consult their tax advisors regarding the effect of FATCA in their particular circumstances.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 individual Non-U.S. Holder who is treated as the owner of, or has made certain lifetime transfers of, an interest in our common stock will be required to include the value thereof in his or her gross estate for U.S. federal estate tax purposes, and may be subject to U.S. federal estate tax unless an applicable estate tax treaty provides otherwise, even though such individual was not a citizen or resident of the United States at the time of his or her death.</w:t>
      </w:r>
    </w:p>
    <w:p>
      <w:pPr>
        <w:spacing w:after="0" w:line="10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PRECEDING DISCUSSION OF U.S. FEDERAL INCOME AND ESTATE TAX CONSIDERATIONS IS FOR GENERAL INFORMATION ONLY. IT IS NOT TAX ADVICE TO ANY INVESTOR IN LIGHT OF THEIR PARTICULAR CIRCUMSTANCES. EACH PROSPECTIVE INVESTOR SHOULD CONSULT ITS OWN TAX ADVISOR REGARDING THE TAX CONSEQUENCES OF PURCHASING, HOLDING AND DISPOSING OF OUR COMMON STOCK, INCLUDING THE CONSEQUENCES OF ANY PROPOSED CHANGE IN APPLICABLE LAW.</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Citigroup Global Markets Inc. are acting as representatives, have severally agreed to purchase, and we have agreed to sell to them, severally, the number of shares indicated below:</w:t>
      </w:r>
    </w:p>
    <w:p>
      <w:pPr>
        <w:spacing w:after="0" w:line="164" w:lineRule="exact"/>
        <w:rPr>
          <w:sz w:val="20"/>
          <w:szCs w:val="20"/>
          <w:color w:val="auto"/>
        </w:rPr>
      </w:pPr>
    </w:p>
    <w:tbl>
      <w:tblPr>
        <w:tblLayout w:type="fixed"/>
        <w:tblInd w:w="4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r>
      <w:tr>
        <w:trPr>
          <w:trHeight w:val="168"/>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4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0</wp:posOffset>
            </wp:positionV>
            <wp:extent cx="586613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-129540</wp:posOffset>
            </wp:positionV>
            <wp:extent cx="586613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66130" cy="13716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8"/>
          <w:szCs w:val="18"/>
          <w:color w:val="auto"/>
        </w:rPr>
        <w:t>Oppenheimer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6085205</wp:posOffset>
            </wp:positionH>
            <wp:positionV relativeFrom="paragraph">
              <wp:posOffset>6985</wp:posOffset>
            </wp:positionV>
            <wp:extent cx="48006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80060" cy="8890"/>
                    </a:xfrm>
                    <a:prstGeom prst="rect">
                      <a:avLst/>
                    </a:prstGeom>
                    <a:noFill/>
                  </pic:spPr>
                </pic:pic>
              </a:graphicData>
            </a:graphic>
          </wp:anchor>
        </w:drawing>
      </w:r>
    </w:p>
    <w:p>
      <w:pPr>
        <w:spacing w:after="0" w:line="1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-125730</wp:posOffset>
            </wp:positionV>
            <wp:extent cx="5866130" cy="16319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866130" cy="163195"/>
                    </a:xfrm>
                    <a:prstGeom prst="rect">
                      <a:avLst/>
                    </a:prstGeom>
                    <a:noFill/>
                  </pic:spPr>
                </pic:pic>
              </a:graphicData>
            </a:graphic>
          </wp:anchor>
        </w:drawing>
      </w:r>
    </w:p>
    <w:p>
      <w:pPr>
        <w:spacing w:after="0" w:line="205"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4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initially propose to offer part of the shares of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340" w:type="dxa"/>
            <w:vAlign w:val="bottom"/>
            <w:gridSpan w:val="4"/>
          </w:tcPr>
          <w:p>
            <w:pPr>
              <w:spacing w:after="0"/>
              <w:rPr>
                <w:sz w:val="20"/>
                <w:szCs w:val="20"/>
                <w:color w:val="auto"/>
              </w:rPr>
            </w:pPr>
            <w:r>
              <w:rPr>
                <w:rFonts w:ascii="Arial" w:cs="Arial" w:eastAsia="Arial" w:hAnsi="Arial"/>
                <w:sz w:val="18"/>
                <w:szCs w:val="18"/>
                <w:color w:val="auto"/>
                <w:w w:val="90"/>
              </w:rPr>
              <w:t>These amounts are shown assuming both no exercise and full exercise of the underwriters’ option to purchase up to an additional</w:t>
            </w:r>
          </w:p>
        </w:tc>
        <w:tc>
          <w:tcPr>
            <w:tcW w:w="2080" w:type="dxa"/>
            <w:vAlign w:val="bottom"/>
            <w:gridSpan w:val="4"/>
          </w:tcPr>
          <w:p>
            <w:pPr>
              <w:ind w:left="300"/>
              <w:spacing w:after="0"/>
              <w:rPr>
                <w:sz w:val="20"/>
                <w:szCs w:val="20"/>
                <w:color w:val="auto"/>
              </w:rPr>
            </w:pPr>
            <w:r>
              <w:rPr>
                <w:rFonts w:ascii="Arial" w:cs="Arial" w:eastAsia="Arial" w:hAnsi="Arial"/>
                <w:sz w:val="18"/>
                <w:szCs w:val="18"/>
                <w:color w:val="auto"/>
                <w:w w:val="87"/>
              </w:rPr>
              <w:t>shares of common stock.</w:t>
            </w:r>
          </w:p>
        </w:tc>
        <w:tc>
          <w:tcPr>
            <w:tcW w:w="0" w:type="dxa"/>
            <w:vAlign w:val="bottom"/>
          </w:tcPr>
          <w:p>
            <w:pPr>
              <w:spacing w:after="0"/>
              <w:rPr>
                <w:sz w:val="1"/>
                <w:szCs w:val="1"/>
                <w:color w:val="auto"/>
              </w:rPr>
            </w:pPr>
          </w:p>
        </w:tc>
      </w:tr>
      <w:tr>
        <w:trPr>
          <w:trHeight w:val="347"/>
        </w:trPr>
        <w:tc>
          <w:tcPr>
            <w:tcW w:w="4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 Share</w:t>
            </w:r>
          </w:p>
        </w:tc>
        <w:tc>
          <w:tcPr>
            <w:tcW w:w="680" w:type="dxa"/>
            <w:vAlign w:val="bottom"/>
          </w:tcPr>
          <w:p>
            <w:pPr>
              <w:spacing w:after="0"/>
              <w:rPr>
                <w:sz w:val="24"/>
                <w:szCs w:val="24"/>
                <w:color w:val="auto"/>
              </w:rPr>
            </w:pPr>
          </w:p>
        </w:tc>
        <w:tc>
          <w:tcPr>
            <w:tcW w:w="140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No Exercise</w:t>
            </w:r>
          </w:p>
        </w:tc>
        <w:tc>
          <w:tcPr>
            <w:tcW w:w="5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3"/>
              </w:rPr>
              <w:t>Full Exercise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3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9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94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860" w:type="dxa"/>
            <w:vAlign w:val="bottom"/>
          </w:tcPr>
          <w:p>
            <w:pPr>
              <w:spacing w:after="0"/>
              <w:rPr>
                <w:sz w:val="24"/>
                <w:szCs w:val="24"/>
                <w:color w:val="auto"/>
              </w:rPr>
            </w:pPr>
          </w:p>
        </w:tc>
        <w:tc>
          <w:tcPr>
            <w:tcW w:w="3320" w:type="dxa"/>
            <w:vAlign w:val="bottom"/>
          </w:tcPr>
          <w:p>
            <w:pPr>
              <w:jc w:val="right"/>
              <w:ind w:right="2252"/>
              <w:spacing w:after="0"/>
              <w:rPr>
                <w:sz w:val="20"/>
                <w:szCs w:val="20"/>
                <w:color w:val="auto"/>
              </w:rPr>
            </w:pPr>
            <w:r>
              <w:rPr>
                <w:rFonts w:ascii="Arial" w:cs="Arial" w:eastAsia="Arial" w:hAnsi="Arial"/>
                <w:sz w:val="18"/>
                <w:szCs w:val="18"/>
                <w:color w:val="auto"/>
              </w:rPr>
              <w:t>175</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 . We have agreed to reimburse the underwriters for expenses relating to clearance of this offering with the Financial Industry Regulatory Authority, Inc. up to $25,000.</w:t>
      </w:r>
    </w:p>
    <w:p>
      <w:pPr>
        <w:spacing w:after="0" w:line="8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have our common stock listed for quotation on the NASDAQ Global Market under the trading symbol “SNDX.”</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and all directors and officers and the holders of substantially all of our outstanding stock, stock options and warrants have agreed that, without the prior written consent of Morgan Stanley &amp; Co. LLC and Citigroup Global Markets Inc., on behalf of the underwriters, we and they will not, during the period until and including the 180th day after the date of this prospectus (the “restricted period”), directly or indirectly, offer, sell, pledge, contract to sell (including any short sale), grant any option to purchase or otherwise transfer or dispose of any shares of our common stock (including, without limitation, shares of common stock which may be deemed to be beneficially owned currently or hereafter in accordance with the rules and regulations of the SEC, shares of common stock which may be issued upon exercise of a stock option or warrant and any other security convertible into or exchangeable for common stock), enter into any short sale or any purchase, sale or grant of any right (including, without limitation, any put or call option) with respect to any security (other than a broad-based market basket or index) that includes, relates to or derives any significant part of its value from our common stock, or publicly announce any intention to do so.</w:t>
      </w:r>
    </w:p>
    <w:p>
      <w:pPr>
        <w:spacing w:after="0" w:line="118"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 xml:space="preserve">The restrictions described in the immediately preceding paragraph to do not apply to us (i) to the extent that any such actions give effect to the transactions contemplated by the underwriting agreement for this offering, (ii) if we issue shares pursuant to the exercise of warrants outstanding as of the date of this prospectus and described in the registration statement and prospectus, but only if the holders of such shares or warrants agree in writing with the underwriters not to sell, offer, dispose of or otherwise transfer any such shares or warrants during the restricted period, (iii) if we issue shares or options to purchase shares, or issue shares upon exercise of options, pursuant to any stock option, stock bonus or other stock plan or arrangement described in the registration statement or prospectus, but only if the holders of such shares or options agree in writing with the underwriters not to sell, offer, dispose of or otherwise transfer any such shares or options during the restricted period and (iv) issue shares or any options or warrants or other rights to acquire shares or any securities exchangeable or exercisable for or convertible into shares (“Related Securities”), or to acquire other securities or rights ultimately exchangeable or exercisable for, or convertible into, shares in connection with a licensing arrangement, joint venture, acquisition or business combination or other collaboration or strategic transaction;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that</w:t>
      </w:r>
      <w:r>
        <w:rPr>
          <w:rFonts w:ascii="Arial" w:cs="Arial" w:eastAsia="Arial" w:hAnsi="Arial"/>
          <w:sz w:val="15"/>
          <w:szCs w:val="15"/>
          <w:color w:val="auto"/>
        </w:rPr>
        <w:t>, in the case of clause (iv), recipients of such shares or Related Securities agree to be bound by the terms of the lock-up agreement and the sum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aggregate number of shares or Related Securities so issued does not exceed 5% of the total outstanding shares of our common stock.</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second preceding paragraph do not apply, in the case of our directors, officers and shareholders, to:</w:t>
      </w:r>
    </w:p>
    <w:p>
      <w:pPr>
        <w:spacing w:after="0" w:line="212" w:lineRule="exact"/>
        <w:rPr>
          <w:sz w:val="20"/>
          <w:szCs w:val="20"/>
          <w:color w:val="auto"/>
        </w:rPr>
      </w:pPr>
    </w:p>
    <w:p>
      <w:pPr>
        <w:ind w:left="1020" w:right="360" w:hanging="566"/>
        <w:spacing w:after="0" w:line="268"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transfer of any or all of the shares of common stock or other securities if the transfer does not trigger any filing or reporting requirement or obligation or result in any other voluntary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spacing w:after="0" w:line="282" w:lineRule="auto"/>
        <w:rPr>
          <w:sz w:val="20"/>
          <w:szCs w:val="20"/>
          <w:color w:val="auto"/>
        </w:rPr>
      </w:pPr>
      <w:r>
        <w:rPr>
          <w:rFonts w:ascii="Arial" w:cs="Arial" w:eastAsia="Arial" w:hAnsi="Arial"/>
          <w:sz w:val="16"/>
          <w:szCs w:val="16"/>
          <w:color w:val="auto"/>
        </w:rPr>
        <w:t xml:space="preserve">or mandatory public disclosure under Section 16(a) of the Exchange Act, and the transfer is: (i) by gift, will or intestacy; (ii) to a trust whose beneficiaries consist exclusively such security holder or the family members of such security holder; (iii) a distribution to partners, members or shareholders of such security holder, or to any corporation, partnership or limited liability company that is an affiliate (within the meaning set forth in Rule 405 as promulgated by the SEC under the Securities Act) of such security holder; or (iv) to us upon the exercise of options to cover tax withholding obligations in connection with such exercise or for the primary purpose of paying the exercise price of options to acquire shares of common stock in each case pursuant to a stock option, stock bonus or other stock plan or arrangement existing as of the date of this prospectus and any shares acquired shall remain subject to the lock-up agreement; </w:t>
      </w:r>
      <w:r>
        <w:rPr>
          <w:rFonts w:ascii="Arial" w:cs="Arial" w:eastAsia="Arial" w:hAnsi="Arial"/>
          <w:sz w:val="16"/>
          <w:szCs w:val="16"/>
          <w:i w:val="1"/>
          <w:iCs w:val="1"/>
          <w:color w:val="auto"/>
        </w:rPr>
        <w:t>provided</w:t>
      </w:r>
      <w:r>
        <w:rPr>
          <w:rFonts w:ascii="Arial" w:cs="Arial" w:eastAsia="Arial" w:hAnsi="Arial"/>
          <w:sz w:val="16"/>
          <w:szCs w:val="16"/>
          <w:color w:val="auto"/>
        </w:rPr>
        <w:t>, that the transferee executes an agreement stating that the transferee is receiving and holding the securities subject to the provisions of the lock-up agreement;</w:t>
      </w:r>
    </w:p>
    <w:p>
      <w:pPr>
        <w:spacing w:after="0" w:line="6" w:lineRule="exact"/>
        <w:rPr>
          <w:sz w:val="20"/>
          <w:szCs w:val="20"/>
          <w:color w:val="auto"/>
        </w:rPr>
      </w:pPr>
    </w:p>
    <w:p>
      <w:pPr>
        <w:ind w:left="1020" w:right="100" w:hanging="566"/>
        <w:spacing w:after="0" w:line="250" w:lineRule="auto"/>
        <w:tabs>
          <w:tab w:leader="none" w:pos="10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entering into any plan designed to satisfy the requirements of Rule 10b5-1 under the Exchange Act (other than the entry into such a plan in such a manner as to allow the sale of shares of common stock or other securities, in each case, within the restricted period); </w:t>
      </w:r>
      <w:r>
        <w:rPr>
          <w:rFonts w:ascii="Arial" w:cs="Arial" w:eastAsia="Arial" w:hAnsi="Arial"/>
          <w:sz w:val="18"/>
          <w:szCs w:val="18"/>
          <w:i w:val="1"/>
          <w:iCs w:val="1"/>
          <w:color w:val="auto"/>
        </w:rPr>
        <w:t>provided however</w:t>
      </w:r>
      <w:r>
        <w:rPr>
          <w:rFonts w:ascii="Arial" w:cs="Arial" w:eastAsia="Arial" w:hAnsi="Arial"/>
          <w:sz w:val="18"/>
          <w:szCs w:val="18"/>
          <w:color w:val="auto"/>
        </w:rPr>
        <w:t>, no public announcement or filing under the Exchange Act regarding the establishment of such 10b5-1 Plan shall be required or made during the restricted period; or</w:t>
      </w:r>
    </w:p>
    <w:p>
      <w:pPr>
        <w:spacing w:after="0" w:line="1" w:lineRule="exact"/>
        <w:rPr>
          <w:rFonts w:ascii="Arial" w:cs="Arial" w:eastAsia="Arial" w:hAnsi="Arial"/>
          <w:sz w:val="18"/>
          <w:szCs w:val="18"/>
          <w:color w:val="auto"/>
        </w:rPr>
      </w:pPr>
    </w:p>
    <w:p>
      <w:pPr>
        <w:ind w:left="1020" w:right="60" w:hanging="566"/>
        <w:spacing w:after="0" w:line="288" w:lineRule="auto"/>
        <w:tabs>
          <w:tab w:leader="none" w:pos="102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 exercising any options, warrants or other rights to purchase shares of common stock pursuant to any stock option, stock bonus or other stock plan or any other arrangement existing as of the date of this prospectus (which exercises may be effected on a cashless basis to the extent the instruments representing such options, warrants or other rights permit exercises on a cashless basis) or (ii) the grant by us of stock options or other stock-based awards pursuant to any stock option, stock bonus or other stock plan or arrangement existing as of the date of this prospectus;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any such case, any shares of common stock or other securities acquired remain subject to the lock-up agreement, and</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 that in the case of clause (i), such exercise does not trigger any filing or reporting requirement or obligation or result in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voluntary or mandatory public disclosure under Section 16(a) of the Exchange Act during the restricted period.</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Morgan Stanley &amp; Co. LLC and Citigroup Global Markets Inc., in their sole discretion, may release the common stock and other securities subject to the lock-up agreements described above in whole or in part at any time with or without notice.</w:t>
      </w:r>
    </w:p>
    <w:p>
      <w:pPr>
        <w:spacing w:after="0" w:line="132"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360"/>
          </w:cols>
          <w:pgMar w:left="240" w:top="460" w:right="2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 prospectus in electronic format may be made available on websites maintained by one or more underwriters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current and prospective revenue and earnings, and certain other current and prospective financial and operating information, and the current and prospective price-earnings ratios, price-revenue ratios and market prices of securities, and certain current and prospective financial and operating information with respect to, companies engaged in activities similar to ours.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1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184" w:lineRule="exact"/>
        <w:rPr>
          <w:sz w:val="20"/>
          <w:szCs w:val="20"/>
          <w:color w:val="auto"/>
        </w:rPr>
      </w:pPr>
    </w:p>
    <w:p>
      <w:pPr>
        <w:ind w:left="1020" w:hanging="566"/>
        <w:spacing w:after="0"/>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5" w:lineRule="exact"/>
        <w:rPr>
          <w:rFonts w:ascii="Arial" w:cs="Arial" w:eastAsia="Arial" w:hAnsi="Arial"/>
          <w:sz w:val="18"/>
          <w:szCs w:val="18"/>
          <w:color w:val="auto"/>
        </w:rPr>
      </w:pPr>
    </w:p>
    <w:p>
      <w:pPr>
        <w:ind w:left="1020" w:right="300" w:hanging="566"/>
        <w:spacing w:after="0" w:line="250" w:lineRule="auto"/>
        <w:tabs>
          <w:tab w:leader="none" w:pos="10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 w:lineRule="exact"/>
        <w:rPr>
          <w:rFonts w:ascii="Arial" w:cs="Arial" w:eastAsia="Arial" w:hAnsi="Arial"/>
          <w:sz w:val="18"/>
          <w:szCs w:val="18"/>
          <w:color w:val="auto"/>
        </w:rPr>
      </w:pPr>
    </w:p>
    <w:p>
      <w:pPr>
        <w:ind w:left="1020" w:right="140" w:hanging="566"/>
        <w:spacing w:after="0" w:line="323" w:lineRule="auto"/>
        <w:tabs>
          <w:tab w:leader="none" w:pos="10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jc w:val="both"/>
        <w:ind w:left="1020" w:right="200" w:hanging="566"/>
        <w:spacing w:after="0" w:line="284" w:lineRule="auto"/>
        <w:tabs>
          <w:tab w:leader="none" w:pos="10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of our common stock in circumstances in which Section 21(1) of the FSMA does not apply to us; and</w:t>
      </w:r>
    </w:p>
    <w:p>
      <w:pPr>
        <w:spacing w:after="0" w:line="1" w:lineRule="exact"/>
        <w:rPr>
          <w:rFonts w:ascii="Arial" w:cs="Arial" w:eastAsia="Arial" w:hAnsi="Arial"/>
          <w:sz w:val="16"/>
          <w:szCs w:val="16"/>
          <w:color w:val="auto"/>
        </w:rPr>
      </w:pPr>
    </w:p>
    <w:p>
      <w:pPr>
        <w:ind w:left="1020" w:right="420" w:hanging="566"/>
        <w:spacing w:after="0" w:line="261" w:lineRule="auto"/>
        <w:tabs>
          <w:tab w:leader="none" w:pos="10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validity of the shares of our common stock to be issued in this offering will be passed upon for us by our counsel, Hogan Lovells US LLP, Menlo Park, California. Certain legal matters relating to this offering will be passed upon for the underwriters by Cooley LLP, New York, New York.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financial statements as of December 31, 2013 and 2014, and for the years then ended, included in this prospectus, have been audited by Deloitte &amp; Touche LLP, an independent registered public accounting firm, as stated in their report appearing herein and elsewhere in the registration statement. Such consolidated financial statements have been so included in reliance upon the report of such firm given upon their authority as experts in accounting and auditing.</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offered by this prospectus. This prospectus, which constitutes part of that registration statement, does not contain all of the information set forth in the registration statement or the accompanying exhibits and schedules. Some items included in the registration statement are omitted from this prospectus in accordance with the rules and regulations of the SEC. For further information with respect to us and the common stock offered in this prospectus, we refer you to the registration statement and the accompanying exhibits and schedules. Statements contained in this prospectus regarding the contents of any contract, agreement or any other document are summaries of the material terms of these contracts, agreements or other documents. With respect to each of these contracts, agreements or other documents filed as an exhibit to the registration statement, reference is made to such exhibit for a more complete description of the matter involved.</w:t>
      </w:r>
    </w:p>
    <w:p>
      <w:pPr>
        <w:spacing w:after="0" w:line="118"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 copy of the registration statement and the accompanying exhibits and schedules and any other document we file may be inspected without charge and copied at the SEC’s public reference room at 100 F Street, N.E., Washington, D.C. 20549. The public may obtain information on the operation of the public reference room by calling the SEC at 1-800-SEC-0330. The SEC maintains a website that contains reports, proxy and information statements and other information regarding registrants that file electronically with the SEC. The address of the SEC’s website is http://www.sec.gov.</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completion of this offering, we will become subject to the information and periodic reporting requirements of the Exchange Act, and we will file periodic reports, proxy statements and other information with the SEC. These periodic reports, proxy statements and other information will be available for inspection and copying at the public reference room and website of the SEC referred to above. We maintain a website at http://www.syndax.com. You may access our annual reports on Form 10-K, quarterly reports on Form 10-Q, current reports on Form 8-K and amendments to those reports, proxy statements and other information filed or furnished pursuant to Section 13(a) or 15(d) of the Exchange Act with the SEC free of charge at our website as soon as reasonably practicable after such material is electronically filed with, or furnished to, the SEC. The information contained in, or that can be accessed through, our website is not part of this prospectus.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920" w:type="dxa"/>
            <w:vAlign w:val="bottom"/>
            <w:gridSpan w:val="12"/>
            <w:vMerge w:val="restart"/>
          </w:tcPr>
          <w:p>
            <w:pPr>
              <w:spacing w:after="0"/>
              <w:rPr>
                <w:sz w:val="20"/>
                <w:szCs w:val="20"/>
                <w:color w:val="auto"/>
              </w:rPr>
            </w:pPr>
            <w:r>
              <w:rPr>
                <w:rFonts w:ascii="Arial" w:cs="Arial" w:eastAsia="Arial" w:hAnsi="Arial"/>
                <w:sz w:val="18"/>
                <w:szCs w:val="18"/>
                <w:color w:val="auto"/>
              </w:rPr>
              <w:t>Audited consolidated financial statements for the years ended December 31, 2013 and 2014 :</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2"/>
        </w:trPr>
        <w:tc>
          <w:tcPr>
            <w:tcW w:w="1092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560" w:type="dxa"/>
            <w:vAlign w:val="bottom"/>
            <w:gridSpan w:val="11"/>
          </w:tcPr>
          <w:p>
            <w:pPr>
              <w:spacing w:after="0" w:line="190" w:lineRule="exact"/>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17"/>
                <w:szCs w:val="17"/>
                <w:color w:val="auto"/>
              </w:rPr>
            </w:pPr>
          </w:p>
        </w:tc>
        <w:tc>
          <w:tcPr>
            <w:tcW w:w="634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60" w:type="dxa"/>
            <w:vAlign w:val="bottom"/>
            <w:gridSpan w:val="11"/>
          </w:tcPr>
          <w:p>
            <w:pPr>
              <w:spacing w:after="0" w:line="196" w:lineRule="exact"/>
              <w:rPr>
                <w:rFonts w:ascii="Arial" w:cs="Arial" w:eastAsia="Arial" w:hAnsi="Arial"/>
                <w:sz w:val="18"/>
                <w:szCs w:val="18"/>
                <w:color w:val="0000EE"/>
              </w:rPr>
            </w:pPr>
            <w:hyperlink w:anchor="page187">
              <w:r>
                <w:rPr>
                  <w:rFonts w:ascii="Arial" w:cs="Arial" w:eastAsia="Arial" w:hAnsi="Arial"/>
                  <w:sz w:val="18"/>
                  <w:szCs w:val="18"/>
                  <w:color w:val="0000EE"/>
                </w:rPr>
                <w:t>Consolidated Statements of Operations and Comprehensive Loss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560" w:type="dxa"/>
            <w:vAlign w:val="bottom"/>
            <w:gridSpan w:val="11"/>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Consolidated Statements of Convertible Preferred Stock and Stockholders’ Deficit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90">
              <w:r>
                <w:rPr>
                  <w:rFonts w:ascii="Arial" w:cs="Arial" w:eastAsia="Arial" w:hAnsi="Arial"/>
                  <w:sz w:val="18"/>
                  <w:szCs w:val="18"/>
                  <w:color w:val="0000EE"/>
                  <w:w w:val="89"/>
                </w:rPr>
                <w:t>Consolidated Statements of Cash Flows</w:t>
              </w:r>
            </w:hyperlink>
          </w:p>
        </w:tc>
        <w:tc>
          <w:tcPr>
            <w:tcW w:w="3060" w:type="dxa"/>
            <w:vAlign w:val="bottom"/>
            <w:tcBorders>
              <w:top w:val="single" w:sz="8" w:color="0000EE"/>
            </w:tcBorders>
            <w:gridSpan w:val="8"/>
          </w:tcPr>
          <w:p>
            <w:pPr>
              <w:spacing w:after="0"/>
              <w:rPr>
                <w:sz w:val="17"/>
                <w:szCs w:val="17"/>
                <w:color w:val="auto"/>
              </w:rPr>
            </w:pPr>
          </w:p>
        </w:tc>
        <w:tc>
          <w:tcPr>
            <w:tcW w:w="462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91">
              <w:r>
                <w:rPr>
                  <w:rFonts w:ascii="Arial" w:cs="Arial" w:eastAsia="Arial" w:hAnsi="Arial"/>
                  <w:sz w:val="18"/>
                  <w:szCs w:val="18"/>
                  <w:color w:val="0000EE"/>
                  <w:w w:val="89"/>
                </w:rPr>
                <w:t>Notes to Consolidated Financial Statements</w:t>
              </w:r>
            </w:hyperlink>
          </w:p>
        </w:tc>
        <w:tc>
          <w:tcPr>
            <w:tcW w:w="740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30"/>
        </w:trPr>
        <w:tc>
          <w:tcPr>
            <w:tcW w:w="10920" w:type="dxa"/>
            <w:vAlign w:val="bottom"/>
            <w:gridSpan w:val="12"/>
          </w:tcPr>
          <w:p>
            <w:pPr>
              <w:spacing w:after="0"/>
              <w:rPr>
                <w:sz w:val="20"/>
                <w:szCs w:val="20"/>
                <w:color w:val="auto"/>
              </w:rPr>
            </w:pPr>
            <w:r>
              <w:rPr>
                <w:rFonts w:ascii="Arial" w:cs="Arial" w:eastAsia="Arial" w:hAnsi="Arial"/>
                <w:sz w:val="18"/>
                <w:szCs w:val="18"/>
                <w:color w:val="auto"/>
              </w:rPr>
              <w:t>Unaudited consolidated financial statements for the six months ended June 30, 2014 and 2015: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560" w:type="dxa"/>
            <w:vAlign w:val="bottom"/>
            <w:gridSpan w:val="11"/>
          </w:tcPr>
          <w:p>
            <w:pPr>
              <w:spacing w:after="0" w:line="190" w:lineRule="exact"/>
              <w:rPr>
                <w:rFonts w:ascii="Arial" w:cs="Arial" w:eastAsia="Arial" w:hAnsi="Arial"/>
                <w:sz w:val="18"/>
                <w:szCs w:val="18"/>
                <w:color w:val="0000EE"/>
              </w:rPr>
            </w:pPr>
            <w:hyperlink w:anchor="page218">
              <w:r>
                <w:rPr>
                  <w:rFonts w:ascii="Arial" w:cs="Arial" w:eastAsia="Arial" w:hAnsi="Arial"/>
                  <w:sz w:val="18"/>
                  <w:szCs w:val="18"/>
                  <w:color w:val="0000EE"/>
                </w:rPr>
                <w:t>Condensed Consolidated Balance Sheets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F-35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219">
              <w:r>
                <w:rPr>
                  <w:rFonts w:ascii="Arial" w:cs="Arial" w:eastAsia="Arial" w:hAnsi="Arial"/>
                  <w:sz w:val="18"/>
                  <w:szCs w:val="18"/>
                  <w:color w:val="0000EE"/>
                  <w:w w:val="88"/>
                </w:rPr>
                <w:t>Condensed Consolidated Statements of Operations and Comprehensive Loss</w:t>
              </w:r>
            </w:hyperlink>
          </w:p>
        </w:tc>
        <w:tc>
          <w:tcPr>
            <w:tcW w:w="502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560" w:type="dxa"/>
            <w:vAlign w:val="bottom"/>
            <w:gridSpan w:val="11"/>
          </w:tcPr>
          <w:p>
            <w:pPr>
              <w:spacing w:after="0" w:line="196" w:lineRule="exact"/>
              <w:rPr>
                <w:rFonts w:ascii="Arial" w:cs="Arial" w:eastAsia="Arial" w:hAnsi="Arial"/>
                <w:sz w:val="18"/>
                <w:szCs w:val="18"/>
                <w:color w:val="0000EE"/>
              </w:rPr>
            </w:pPr>
            <w:hyperlink w:anchor="page220">
              <w:r>
                <w:rPr>
                  <w:rFonts w:ascii="Arial" w:cs="Arial" w:eastAsia="Arial" w:hAnsi="Arial"/>
                  <w:sz w:val="18"/>
                  <w:szCs w:val="18"/>
                  <w:color w:val="0000EE"/>
                </w:rPr>
                <w:t>Condensed Consolidated Statements of Cash Flows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72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5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560" w:type="dxa"/>
            <w:vAlign w:val="bottom"/>
            <w:gridSpan w:val="11"/>
          </w:tcPr>
          <w:p>
            <w:pPr>
              <w:spacing w:after="0" w:line="196" w:lineRule="exact"/>
              <w:rPr>
                <w:rFonts w:ascii="Arial" w:cs="Arial" w:eastAsia="Arial" w:hAnsi="Arial"/>
                <w:sz w:val="18"/>
                <w:szCs w:val="18"/>
                <w:color w:val="0000EE"/>
              </w:rPr>
            </w:pPr>
            <w:hyperlink w:anchor="page221">
              <w:r>
                <w:rPr>
                  <w:rFonts w:ascii="Arial" w:cs="Arial" w:eastAsia="Arial" w:hAnsi="Arial"/>
                  <w:sz w:val="18"/>
                  <w:szCs w:val="18"/>
                  <w:color w:val="0000EE"/>
                </w:rPr>
                <w:t>Notes to Condensed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10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80" w:type="dxa"/>
            <w:vAlign w:val="bottom"/>
            <w:gridSpan w:val="3"/>
          </w:tcPr>
          <w:p>
            <w:pPr>
              <w:ind w:left="54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Waltham, Massachusetts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Syndax Pharmaceuticals, Inc. and its subsidiaries (the “Company”) as of December 31, 2013 and 2014, and the related consolidated statements of operations and comprehensive loss, convertible preferred stock and stockholders’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7"/>
          <w:szCs w:val="17"/>
          <w:i w:val="1"/>
          <w:iCs w:val="1"/>
          <w:color w:val="auto"/>
        </w:rPr>
        <w:t>.</w:t>
      </w:r>
      <w:r>
        <w:rPr>
          <w:rFonts w:ascii="Arial" w:cs="Arial" w:eastAsia="Arial" w:hAnsi="Arial"/>
          <w:sz w:val="17"/>
          <w:szCs w:val="17"/>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Syndax Pharmaceuticals, Inc. and subsidiaries as of December 31, 2013 and 2014, and the results of their operations and their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24, 2015</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Short-term deposits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14,544</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2,477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9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1,077</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9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2,730</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5,212</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18,532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(Note 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Convertible preferred stock (Note 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140,324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146,853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340"/>
              <w:spacing w:after="0" w:line="201" w:lineRule="exact"/>
              <w:rPr>
                <w:sz w:val="20"/>
                <w:szCs w:val="20"/>
                <w:color w:val="auto"/>
              </w:rPr>
            </w:pPr>
            <w:r>
              <w:rPr>
                <w:rFonts w:ascii="Arial" w:cs="Arial" w:eastAsia="Arial" w:hAnsi="Arial"/>
                <w:sz w:val="18"/>
                <w:szCs w:val="18"/>
                <w:color w:val="auto"/>
                <w:w w:val="97"/>
              </w:rPr>
              <w:t>Series A convertible preferred stock, $0.001 par value, 4,390,243 shares authorized at December 31, 2013 and</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520"/>
              <w:spacing w:after="0"/>
              <w:rPr>
                <w:sz w:val="20"/>
                <w:szCs w:val="20"/>
                <w:color w:val="auto"/>
              </w:rPr>
            </w:pPr>
            <w:r>
              <w:rPr>
                <w:rFonts w:ascii="Arial" w:cs="Arial" w:eastAsia="Arial" w:hAnsi="Arial"/>
                <w:sz w:val="18"/>
                <w:szCs w:val="18"/>
                <w:color w:val="auto"/>
              </w:rPr>
              <w:t>2014; 875,545 shares issued and outstanding at December 31, 2013 and 2014</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7,231</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$0.0001 par value, 9,837,398 and 12,000,000 shares authorized at December 31, 2013 and</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 respectively; 70,722 and 73,152 shares issued and outstanding at December 31, 2013 and 2014,</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(135,707)</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(159,801)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(128,475)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(152,569)</w:t>
            </w:r>
          </w:p>
        </w:tc>
        <w:tc>
          <w:tcPr>
            <w:tcW w:w="0" w:type="dxa"/>
            <w:vAlign w:val="bottom"/>
          </w:tcPr>
          <w:p>
            <w:pPr>
              <w:spacing w:after="0"/>
              <w:rPr>
                <w:sz w:val="1"/>
                <w:szCs w:val="1"/>
                <w:color w:val="auto"/>
              </w:rPr>
            </w:pPr>
          </w:p>
        </w:tc>
      </w:tr>
      <w:tr>
        <w:trPr>
          <w:trHeight w:val="291"/>
        </w:trPr>
        <w:tc>
          <w:tcPr>
            <w:tcW w:w="8980" w:type="dxa"/>
            <w:vAlign w:val="bottom"/>
            <w:gridSpan w:val="2"/>
          </w:tcPr>
          <w:p>
            <w:pPr>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17,061</w:t>
            </w:r>
          </w:p>
        </w:tc>
        <w:tc>
          <w:tcPr>
            <w:tcW w:w="66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3,208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1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8,571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tranche liability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1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income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(14,171)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preferences and convertible extinguishments (Note 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0"/>
        </w:trPr>
        <w:tc>
          <w:tcPr>
            <w:tcW w:w="91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14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(60,454)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(1,139.14)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(362.38)</w:t>
            </w:r>
          </w:p>
        </w:tc>
        <w:tc>
          <w:tcPr>
            <w:tcW w:w="0" w:type="dxa"/>
            <w:vAlign w:val="bottom"/>
          </w:tcPr>
          <w:p>
            <w:pPr>
              <w:spacing w:after="0"/>
              <w:rPr>
                <w:sz w:val="1"/>
                <w:szCs w:val="1"/>
                <w:color w:val="auto"/>
              </w:rPr>
            </w:pPr>
          </w:p>
        </w:tc>
      </w:tr>
      <w:tr>
        <w:trPr>
          <w:trHeight w:val="20"/>
        </w:trPr>
        <w:tc>
          <w:tcPr>
            <w:tcW w:w="91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14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outstanding—basic and diluted</w:t>
            </w:r>
          </w:p>
        </w:tc>
        <w:tc>
          <w:tcPr>
            <w:tcW w:w="1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53,070</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72,733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(unaudited)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w w:val="95"/>
              </w:rPr>
              <w:t>Pro forma weighted-average common shares used in net loss per share applicable to common stockholders—basic and</w:t>
            </w: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1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tcPr>
          <w:p>
            <w:pPr>
              <w:ind w:left="160"/>
              <w:spacing w:after="0"/>
              <w:rPr>
                <w:sz w:val="20"/>
                <w:szCs w:val="20"/>
                <w:color w:val="auto"/>
              </w:rPr>
            </w:pPr>
            <w:r>
              <w:rPr>
                <w:rFonts w:ascii="Arial" w:cs="Arial" w:eastAsia="Arial" w:hAnsi="Arial"/>
                <w:sz w:val="18"/>
                <w:szCs w:val="18"/>
                <w:color w:val="auto"/>
              </w:rPr>
              <w:t>diluted (unaudited)</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8,007,439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3660" w:type="dxa"/>
            <w:vAlign w:val="bottom"/>
          </w:tcPr>
          <w:p>
            <w:pPr>
              <w:spacing w:after="0"/>
              <w:rPr>
                <w:sz w:val="3"/>
                <w:szCs w:val="3"/>
                <w:color w:val="auto"/>
              </w:rPr>
            </w:pPr>
          </w:p>
        </w:tc>
        <w:tc>
          <w:tcPr>
            <w:tcW w:w="170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Convertible</w:t>
            </w:r>
          </w:p>
        </w:tc>
        <w:tc>
          <w:tcPr>
            <w:tcW w:w="180" w:type="dxa"/>
            <w:vAlign w:val="bottom"/>
          </w:tcPr>
          <w:p>
            <w:pPr>
              <w:spacing w:after="0"/>
              <w:rPr>
                <w:sz w:val="3"/>
                <w:szCs w:val="3"/>
                <w:color w:val="auto"/>
              </w:rPr>
            </w:pPr>
          </w:p>
        </w:tc>
        <w:tc>
          <w:tcPr>
            <w:tcW w:w="110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w w:val="89"/>
              </w:rPr>
              <w:t>Series A</w:t>
            </w: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gridSpan w:val="3"/>
            <w:vMerge w:val="restart"/>
          </w:tcPr>
          <w:p>
            <w:pPr>
              <w:jc w:val="center"/>
              <w:ind w:left="48"/>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3660" w:type="dxa"/>
            <w:vAlign w:val="bottom"/>
          </w:tcPr>
          <w:p>
            <w:pPr>
              <w:spacing w:after="0"/>
              <w:rPr>
                <w:sz w:val="10"/>
                <w:szCs w:val="10"/>
                <w:color w:val="auto"/>
              </w:rPr>
            </w:pPr>
          </w:p>
        </w:tc>
        <w:tc>
          <w:tcPr>
            <w:tcW w:w="1700" w:type="dxa"/>
            <w:vAlign w:val="bottom"/>
            <w:gridSpan w:val="4"/>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700" w:type="dxa"/>
            <w:vAlign w:val="bottom"/>
            <w:gridSpan w:val="4"/>
            <w:vMerge w:val="continue"/>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10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6"/>
              </w:rPr>
              <w:t>Convertible</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700" w:type="dxa"/>
            <w:vAlign w:val="bottom"/>
            <w:gridSpan w:val="4"/>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80" w:type="dxa"/>
            <w:vAlign w:val="bottom"/>
            <w:tcBorders>
              <w:left w:val="single" w:sz="8" w:color="auto"/>
            </w:tcBorders>
          </w:tcPr>
          <w:p>
            <w:pPr>
              <w:spacing w:after="0"/>
              <w:rPr>
                <w:sz w:val="13"/>
                <w:szCs w:val="13"/>
                <w:color w:val="auto"/>
              </w:rPr>
            </w:pPr>
          </w:p>
        </w:tc>
        <w:tc>
          <w:tcPr>
            <w:tcW w:w="1100" w:type="dxa"/>
            <w:vAlign w:val="bottom"/>
            <w:gridSpan w:val="3"/>
          </w:tcPr>
          <w:p>
            <w:pPr>
              <w:jc w:val="center"/>
              <w:ind w:left="8"/>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3"/>
          </w:tcPr>
          <w:p>
            <w:pPr>
              <w:jc w:val="center"/>
              <w:ind w:left="48"/>
              <w:spacing w:after="0" w:line="158" w:lineRule="exact"/>
              <w:rPr>
                <w:sz w:val="20"/>
                <w:szCs w:val="20"/>
                <w:color w:val="auto"/>
              </w:rPr>
            </w:pPr>
            <w:r>
              <w:rPr>
                <w:rFonts w:ascii="Arial" w:cs="Arial" w:eastAsia="Arial" w:hAnsi="Arial"/>
                <w:sz w:val="14"/>
                <w:szCs w:val="14"/>
                <w:b w:val="1"/>
                <w:bCs w:val="1"/>
                <w:color w:val="auto"/>
                <w:w w:val="90"/>
              </w:rPr>
              <w:t>$0.0001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$0.001 Par Value</w:t>
            </w:r>
          </w:p>
        </w:tc>
        <w:tc>
          <w:tcPr>
            <w:tcW w:w="180" w:type="dxa"/>
            <w:vAlign w:val="bottom"/>
            <w:tcBorders>
              <w:left w:val="single" w:sz="8" w:color="auto"/>
            </w:tcBorders>
          </w:tcPr>
          <w:p>
            <w:pPr>
              <w:spacing w:after="0"/>
              <w:rPr>
                <w:sz w:val="14"/>
                <w:szCs w:val="14"/>
                <w:color w:val="auto"/>
              </w:rPr>
            </w:pPr>
          </w:p>
        </w:tc>
        <w:tc>
          <w:tcPr>
            <w:tcW w:w="1100" w:type="dxa"/>
            <w:vAlign w:val="bottom"/>
            <w:gridSpan w:val="3"/>
          </w:tcPr>
          <w:p>
            <w:pPr>
              <w:jc w:val="center"/>
              <w:ind w:left="8"/>
              <w:spacing w:after="0"/>
              <w:rPr>
                <w:sz w:val="20"/>
                <w:szCs w:val="20"/>
                <w:color w:val="auto"/>
              </w:rPr>
            </w:pPr>
            <w:r>
              <w:rPr>
                <w:rFonts w:ascii="Arial" w:cs="Arial" w:eastAsia="Arial" w:hAnsi="Arial"/>
                <w:sz w:val="14"/>
                <w:szCs w:val="14"/>
                <w:b w:val="1"/>
                <w:bCs w:val="1"/>
                <w:color w:val="auto"/>
                <w:w w:val="92"/>
              </w:rPr>
              <w:t>$0.001 Par Value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86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BALANCE—DECEMBER 31, 2012</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437,773</w:t>
            </w:r>
          </w:p>
        </w:tc>
        <w:tc>
          <w:tcPr>
            <w:tcW w:w="2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$ 49,000</w:t>
            </w:r>
          </w:p>
        </w:tc>
        <w:tc>
          <w:tcPr>
            <w:tcW w:w="3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left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50,397</w:t>
            </w:r>
          </w:p>
        </w:tc>
        <w:tc>
          <w:tcPr>
            <w:tcW w:w="2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766</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(79,054)</w:t>
            </w:r>
          </w:p>
        </w:tc>
        <w:tc>
          <w:tcPr>
            <w:tcW w:w="2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(78,288)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60" w:type="dxa"/>
            <w:vAlign w:val="bottom"/>
          </w:tcPr>
          <w:p>
            <w:pPr>
              <w:spacing w:after="0" w:line="130" w:lineRule="exact"/>
              <w:rPr>
                <w:sz w:val="20"/>
                <w:szCs w:val="20"/>
                <w:color w:val="auto"/>
              </w:rPr>
            </w:pPr>
            <w:r>
              <w:rPr>
                <w:rFonts w:ascii="Arial" w:cs="Arial" w:eastAsia="Arial" w:hAnsi="Arial"/>
                <w:sz w:val="14"/>
                <w:szCs w:val="14"/>
                <w:color w:val="auto"/>
              </w:rPr>
              <w:t>Conversion of Series A convertible preferred stock into</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60"/>
              <w:spacing w:after="0" w:line="149" w:lineRule="exact"/>
              <w:rPr>
                <w:sz w:val="20"/>
                <w:szCs w:val="20"/>
                <w:color w:val="auto"/>
              </w:rPr>
            </w:pPr>
            <w:r>
              <w:rPr>
                <w:rFonts w:ascii="Arial" w:cs="Arial" w:eastAsia="Arial" w:hAnsi="Arial"/>
                <w:sz w:val="14"/>
                <w:szCs w:val="14"/>
                <w:color w:val="auto"/>
                <w:w w:val="98"/>
              </w:rPr>
              <w:t>Series A-1 convertible preferred stock and cancellation of</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160"/>
              <w:spacing w:after="0"/>
              <w:rPr>
                <w:sz w:val="20"/>
                <w:szCs w:val="20"/>
                <w:color w:val="auto"/>
              </w:rPr>
            </w:pPr>
            <w:r>
              <w:rPr>
                <w:rFonts w:ascii="Arial" w:cs="Arial" w:eastAsia="Arial" w:hAnsi="Arial"/>
                <w:sz w:val="14"/>
                <w:szCs w:val="14"/>
                <w:color w:val="auto"/>
              </w:rPr>
              <w:t>warrants pursuant to the recapitalization (Note 10)</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w w:val="96"/>
              </w:rPr>
              <w:t>3,939,957</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(2,746)</w:t>
            </w:r>
          </w:p>
        </w:tc>
        <w:tc>
          <w:tcPr>
            <w:tcW w:w="180" w:type="dxa"/>
            <w:vAlign w:val="bottom"/>
            <w:tcBorders>
              <w:left w:val="single" w:sz="8" w:color="auto"/>
            </w:tcBorders>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4,433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4,433</w:t>
            </w: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convertible notes and accrued interest into</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Series B-1 convertible preferred stock and cancellation of</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lef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9"/>
              </w:rPr>
              <w:t>warrants and forced conversion into Series B convertible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tcBorders>
              <w:left w:val="single" w:sz="8" w:color="auto"/>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preferred stock pursuant to the recapitalization (Note 10)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1,753,850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18,702</w:t>
            </w:r>
          </w:p>
        </w:tc>
        <w:tc>
          <w:tcPr>
            <w:tcW w:w="180" w:type="dxa"/>
            <w:vAlign w:val="bottom"/>
            <w:tcBorders>
              <w:lef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4,425</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Issuance of Series B-1 convertible preferred stock:</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In March 2013, net of offering costs of $626 and</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tranche obligation of $206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118,370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493</w:t>
            </w:r>
          </w:p>
        </w:tc>
        <w:tc>
          <w:tcPr>
            <w:tcW w:w="180" w:type="dxa"/>
            <w:vAlign w:val="bottom"/>
            <w:tcBorders>
              <w:lef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60" w:type="dxa"/>
            <w:vAlign w:val="bottom"/>
          </w:tcPr>
          <w:p>
            <w:pPr>
              <w:ind w:left="300"/>
              <w:spacing w:after="0" w:line="149" w:lineRule="exact"/>
              <w:rPr>
                <w:sz w:val="20"/>
                <w:szCs w:val="20"/>
                <w:color w:val="auto"/>
              </w:rPr>
            </w:pPr>
            <w:r>
              <w:rPr>
                <w:rFonts w:ascii="Arial" w:cs="Arial" w:eastAsia="Arial" w:hAnsi="Arial"/>
                <w:sz w:val="14"/>
                <w:szCs w:val="14"/>
                <w:color w:val="auto"/>
              </w:rPr>
              <w:t>In April 2013</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98,268</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1,100</w:t>
            </w:r>
          </w:p>
        </w:tc>
        <w:tc>
          <w:tcPr>
            <w:tcW w:w="180" w:type="dxa"/>
            <w:vAlign w:val="bottom"/>
            <w:tcBorders>
              <w:left w:val="single" w:sz="8" w:color="auto"/>
            </w:tcBorders>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3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In July 2013, net of tranche obligation of $754 and</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beneficial conversion feature of $452</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223,353</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1,294</w:t>
            </w:r>
          </w:p>
        </w:tc>
        <w:tc>
          <w:tcPr>
            <w:tcW w:w="180" w:type="dxa"/>
            <w:vAlign w:val="bottom"/>
            <w:tcBorders>
              <w:lef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60" w:type="dxa"/>
            <w:vAlign w:val="bottom"/>
          </w:tcPr>
          <w:p>
            <w:pPr>
              <w:ind w:left="300"/>
              <w:spacing w:after="0" w:line="130" w:lineRule="exact"/>
              <w:rPr>
                <w:sz w:val="20"/>
                <w:szCs w:val="20"/>
                <w:color w:val="auto"/>
              </w:rPr>
            </w:pPr>
            <w:r>
              <w:rPr>
                <w:rFonts w:ascii="Arial" w:cs="Arial" w:eastAsia="Arial" w:hAnsi="Arial"/>
                <w:sz w:val="14"/>
                <w:szCs w:val="14"/>
                <w:color w:val="auto"/>
              </w:rPr>
              <w:t>In August 2013, net of offering costs of $365 and</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left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440"/>
              <w:spacing w:after="0" w:line="149" w:lineRule="exact"/>
              <w:rPr>
                <w:sz w:val="20"/>
                <w:szCs w:val="20"/>
                <w:color w:val="auto"/>
              </w:rPr>
            </w:pPr>
            <w:r>
              <w:rPr>
                <w:rFonts w:ascii="Arial" w:cs="Arial" w:eastAsia="Arial" w:hAnsi="Arial"/>
                <w:sz w:val="14"/>
                <w:szCs w:val="14"/>
                <w:color w:val="auto"/>
              </w:rPr>
              <w:t>tranche obligation of $1,964 and beneficial</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60" w:type="dxa"/>
            <w:vAlign w:val="bottom"/>
          </w:tcPr>
          <w:p>
            <w:pPr>
              <w:ind w:left="440"/>
              <w:spacing w:after="0"/>
              <w:rPr>
                <w:sz w:val="20"/>
                <w:szCs w:val="20"/>
                <w:color w:val="auto"/>
              </w:rPr>
            </w:pPr>
            <w:r>
              <w:rPr>
                <w:rFonts w:ascii="Arial" w:cs="Arial" w:eastAsia="Arial" w:hAnsi="Arial"/>
                <w:sz w:val="14"/>
                <w:szCs w:val="14"/>
                <w:color w:val="auto"/>
              </w:rPr>
              <w:t>conversion feature of $842</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605,280</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3,604</w:t>
            </w:r>
          </w:p>
        </w:tc>
        <w:tc>
          <w:tcPr>
            <w:tcW w:w="180" w:type="dxa"/>
            <w:vAlign w:val="bottom"/>
            <w:tcBorders>
              <w:left w:val="single" w:sz="8" w:color="auto"/>
            </w:tcBorders>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340" w:type="dxa"/>
            <w:vAlign w:val="bottom"/>
            <w:gridSpan w:val="2"/>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130"/>
        </w:trPr>
        <w:tc>
          <w:tcPr>
            <w:tcW w:w="366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In November 2013, including $7,008 de-recognition of</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remaining tranche obligation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6"/>
              </w:rPr>
              <w:t>1,331,180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21,908</w:t>
            </w:r>
          </w:p>
        </w:tc>
        <w:tc>
          <w:tcPr>
            <w:tcW w:w="180" w:type="dxa"/>
            <w:vAlign w:val="bottom"/>
            <w:tcBorders>
              <w:left w:val="single" w:sz="8" w:color="auto"/>
            </w:tcBorders>
            <w:shd w:val="clear" w:color="auto" w:fill="CCEEFF"/>
          </w:tcPr>
          <w:p>
            <w:pPr>
              <w:spacing w:after="0"/>
              <w:rPr>
                <w:sz w:val="14"/>
                <w:szCs w:val="1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CONSOLIDATED STATEMENTS OF CONVERTIBLE PREFERRED STOCK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560" w:type="dxa"/>
            <w:vAlign w:val="bottom"/>
          </w:tcPr>
          <w:p>
            <w:pPr>
              <w:spacing w:after="0"/>
              <w:rPr>
                <w:sz w:val="3"/>
                <w:szCs w:val="3"/>
                <w:color w:val="auto"/>
              </w:rPr>
            </w:pPr>
          </w:p>
        </w:tc>
        <w:tc>
          <w:tcPr>
            <w:tcW w:w="1760" w:type="dxa"/>
            <w:vAlign w:val="bottom"/>
            <w:gridSpan w:val="5"/>
            <w:vMerge w:val="restart"/>
          </w:tcPr>
          <w:p>
            <w:pPr>
              <w:jc w:val="center"/>
              <w:ind w:right="340"/>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3"/>
                <w:szCs w:val="3"/>
                <w:color w:val="auto"/>
              </w:rPr>
            </w:pPr>
          </w:p>
        </w:tc>
        <w:tc>
          <w:tcPr>
            <w:tcW w:w="152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9"/>
              </w:rPr>
              <w:t>Series A</w:t>
            </w:r>
          </w:p>
        </w:tc>
        <w:tc>
          <w:tcPr>
            <w:tcW w:w="1100" w:type="dxa"/>
            <w:vAlign w:val="bottom"/>
            <w:gridSpan w:val="3"/>
            <w:vMerge w:val="restart"/>
          </w:tcPr>
          <w:p>
            <w:pPr>
              <w:jc w:val="center"/>
              <w:ind w:left="8"/>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80" w:type="dxa"/>
            <w:vAlign w:val="bottom"/>
            <w:tcBorders>
              <w:left w:val="single" w:sz="8" w:color="auto"/>
            </w:tcBorders>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15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760" w:type="dxa"/>
            <w:vAlign w:val="bottom"/>
            <w:gridSpan w:val="5"/>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80" w:type="dxa"/>
            <w:vAlign w:val="bottom"/>
            <w:tcBorders>
              <w:left w:val="single" w:sz="8" w:color="auto"/>
            </w:tcBorders>
          </w:tcPr>
          <w:p>
            <w:pPr>
              <w:spacing w:after="0"/>
              <w:rPr>
                <w:sz w:val="13"/>
                <w:szCs w:val="13"/>
                <w:color w:val="auto"/>
              </w:rPr>
            </w:pPr>
          </w:p>
        </w:tc>
        <w:tc>
          <w:tcPr>
            <w:tcW w:w="152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Preferred Stock</w:t>
            </w:r>
          </w:p>
        </w:tc>
        <w:tc>
          <w:tcPr>
            <w:tcW w:w="1100" w:type="dxa"/>
            <w:vAlign w:val="bottom"/>
            <w:gridSpan w:val="3"/>
          </w:tcPr>
          <w:p>
            <w:pPr>
              <w:jc w:val="center"/>
              <w:ind w:left="8"/>
              <w:spacing w:after="0" w:line="158" w:lineRule="exact"/>
              <w:rPr>
                <w:sz w:val="20"/>
                <w:szCs w:val="20"/>
                <w:color w:val="auto"/>
              </w:rPr>
            </w:pPr>
            <w:r>
              <w:rPr>
                <w:rFonts w:ascii="Arial" w:cs="Arial" w:eastAsia="Arial" w:hAnsi="Arial"/>
                <w:sz w:val="14"/>
                <w:szCs w:val="14"/>
                <w:b w:val="1"/>
                <w:bCs w:val="1"/>
                <w:color w:val="auto"/>
                <w:w w:val="90"/>
              </w:rPr>
              <w:t>$0.0001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Additional</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7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2"/>
              </w:rPr>
              <w:t>$0.001 Par Value</w:t>
            </w:r>
          </w:p>
        </w:tc>
        <w:tc>
          <w:tcPr>
            <w:tcW w:w="180" w:type="dxa"/>
            <w:vAlign w:val="bottom"/>
            <w:tcBorders>
              <w:left w:val="single" w:sz="8" w:color="auto"/>
            </w:tcBorders>
          </w:tcPr>
          <w:p>
            <w:pPr>
              <w:spacing w:after="0"/>
              <w:rPr>
                <w:sz w:val="14"/>
                <w:szCs w:val="14"/>
                <w:color w:val="auto"/>
              </w:rPr>
            </w:pPr>
          </w:p>
        </w:tc>
        <w:tc>
          <w:tcPr>
            <w:tcW w:w="15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$0.001 Par Value</w:t>
            </w:r>
          </w:p>
        </w:tc>
        <w:tc>
          <w:tcPr>
            <w:tcW w:w="11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Paid-In</w:t>
            </w:r>
          </w:p>
        </w:tc>
        <w:tc>
          <w:tcPr>
            <w:tcW w:w="1080" w:type="dxa"/>
            <w:vAlign w:val="bottom"/>
            <w:gridSpan w:val="3"/>
            <w:vMerge w:val="continue"/>
          </w:tcPr>
          <w:p>
            <w:pPr>
              <w:spacing w:after="0"/>
              <w:rPr>
                <w:sz w:val="14"/>
                <w:szCs w:val="1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2"/>
                <w:szCs w:val="12"/>
                <w:color w:val="auto"/>
              </w:rPr>
            </w:pPr>
          </w:p>
        </w:tc>
        <w:tc>
          <w:tcPr>
            <w:tcW w:w="180" w:type="dxa"/>
            <w:vAlign w:val="bottom"/>
            <w:tcBorders>
              <w:left w:val="single" w:sz="8" w:color="auto"/>
            </w:tcBorders>
          </w:tcPr>
          <w:p>
            <w:pPr>
              <w:spacing w:after="0"/>
              <w:rPr>
                <w:sz w:val="12"/>
                <w:szCs w:val="12"/>
                <w:color w:val="auto"/>
              </w:rPr>
            </w:pPr>
          </w:p>
        </w:tc>
        <w:tc>
          <w:tcPr>
            <w:tcW w:w="64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6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Beneficial conversion feature in Series B-1 convertible</w:t>
            </w:r>
          </w:p>
        </w:tc>
        <w:tc>
          <w:tcPr>
            <w:tcW w:w="6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left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1,295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w w:val="98"/>
              </w:rPr>
              <w:t>Forced conversion of Series A-1 convertible preferred into</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lef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Series A convertible preferred stock</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(875,545)</w:t>
            </w: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(7,231)</w:t>
            </w:r>
          </w:p>
        </w:tc>
        <w:tc>
          <w:tcPr>
            <w:tcW w:w="180" w:type="dxa"/>
            <w:vAlign w:val="bottom"/>
            <w:tcBorders>
              <w:left w:val="single" w:sz="8" w:color="auto"/>
            </w:tcBorders>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875,545</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7,231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7,231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Extinguishment and modification of convertible preferred</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(Note 10)</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32,366</w:t>
            </w:r>
          </w:p>
        </w:tc>
        <w:tc>
          <w:tcPr>
            <w:tcW w:w="180" w:type="dxa"/>
            <w:vAlign w:val="bottom"/>
            <w:tcBorders>
              <w:lef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(6,968)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(25,552)</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(32,520)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tcPr>
          <w:p>
            <w:pPr>
              <w:spacing w:after="0" w:line="130" w:lineRule="exact"/>
              <w:rPr>
                <w:sz w:val="20"/>
                <w:szCs w:val="20"/>
                <w:color w:val="auto"/>
              </w:rPr>
            </w:pPr>
            <w:r>
              <w:rPr>
                <w:rFonts w:ascii="Arial" w:cs="Arial" w:eastAsia="Arial" w:hAnsi="Arial"/>
                <w:sz w:val="14"/>
                <w:szCs w:val="14"/>
                <w:color w:val="auto"/>
              </w:rPr>
              <w:t>Accretion of convertible preferred stock to redemption</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left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tcPr>
          <w:p>
            <w:pPr>
              <w:ind w:left="140"/>
              <w:spacing w:after="0"/>
              <w:rPr>
                <w:sz w:val="20"/>
                <w:szCs w:val="20"/>
                <w:color w:val="auto"/>
              </w:rPr>
            </w:pPr>
            <w:r>
              <w:rPr>
                <w:rFonts w:ascii="Arial" w:cs="Arial" w:eastAsia="Arial" w:hAnsi="Arial"/>
                <w:sz w:val="14"/>
                <w:szCs w:val="14"/>
                <w:color w:val="auto"/>
              </w:rPr>
              <w:t>value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340"/>
              <w:spacing w:after="0"/>
              <w:rPr>
                <w:sz w:val="20"/>
                <w:szCs w:val="20"/>
                <w:color w:val="auto"/>
              </w:rPr>
            </w:pPr>
            <w:r>
              <w:rPr>
                <w:rFonts w:ascii="Arial" w:cs="Arial" w:eastAsia="Arial" w:hAnsi="Arial"/>
                <w:sz w:val="14"/>
                <w:szCs w:val="14"/>
                <w:color w:val="auto"/>
              </w:rPr>
              <w:t>17,875</w:t>
            </w:r>
          </w:p>
        </w:tc>
        <w:tc>
          <w:tcPr>
            <w:tcW w:w="180" w:type="dxa"/>
            <w:vAlign w:val="bottom"/>
            <w:tcBorders>
              <w:left w:val="single" w:sz="8" w:color="auto"/>
            </w:tcBorders>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(2,609)</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(15,266)</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(17,875)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convertible preferred stock dividends</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3,959</w:t>
            </w:r>
          </w:p>
        </w:tc>
        <w:tc>
          <w:tcPr>
            <w:tcW w:w="180" w:type="dxa"/>
            <w:vAlign w:val="bottom"/>
            <w:tcBorders>
              <w:lef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(2,295)</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(1,664)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1,415</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as consideration for license</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tcBorders>
              <w:left w:val="single" w:sz="8" w:color="auto"/>
            </w:tcBorders>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fees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7"/>
              </w:rPr>
              <w:t>20,325</w:t>
            </w:r>
          </w:p>
        </w:tc>
        <w:tc>
          <w:tcPr>
            <w:tcW w:w="4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(14,171)</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(14,171)</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356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Borders>
              <w:left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BALANCE–December 31, 2013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7,632,486</w:t>
            </w:r>
          </w:p>
        </w:tc>
        <w:tc>
          <w:tcPr>
            <w:tcW w:w="14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140,324</w:t>
            </w:r>
          </w:p>
        </w:tc>
        <w:tc>
          <w:tcPr>
            <w:tcW w:w="180" w:type="dxa"/>
            <w:vAlign w:val="bottom"/>
            <w:tcBorders>
              <w:lef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8"/>
              </w:rPr>
              <w:t>875,545</w:t>
            </w:r>
          </w:p>
        </w:tc>
        <w:tc>
          <w:tcPr>
            <w:tcW w:w="8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7,231</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70,722</w:t>
            </w:r>
          </w:p>
        </w:tc>
        <w:tc>
          <w:tcPr>
            <w:tcW w:w="4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(135,707)</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2,430</w:t>
            </w:r>
          </w:p>
        </w:tc>
        <w:tc>
          <w:tcPr>
            <w:tcW w:w="42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Accretion for convertible preferred stock dividends</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6,529</w:t>
            </w:r>
          </w:p>
        </w:tc>
        <w:tc>
          <w:tcPr>
            <w:tcW w:w="180" w:type="dxa"/>
            <w:vAlign w:val="bottom"/>
            <w:tcBorders>
              <w:lef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(2,263)</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(4,266)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2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2,257</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and comprehensive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auto"/>
            </w:tcBorders>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(19,828)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(19,828)</w:t>
            </w:r>
          </w:p>
        </w:tc>
        <w:tc>
          <w:tcPr>
            <w:tcW w:w="0" w:type="dxa"/>
            <w:vAlign w:val="bottom"/>
          </w:tcPr>
          <w:p>
            <w:pPr>
              <w:spacing w:after="0"/>
              <w:rPr>
                <w:sz w:val="1"/>
                <w:szCs w:val="1"/>
                <w:color w:val="auto"/>
              </w:rPr>
            </w:pPr>
          </w:p>
        </w:tc>
      </w:tr>
      <w:tr>
        <w:trPr>
          <w:trHeight w:val="20"/>
        </w:trPr>
        <w:tc>
          <w:tcPr>
            <w:tcW w:w="35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gridSpan w:val="2"/>
          </w:tcPr>
          <w:p>
            <w:pPr>
              <w:spacing w:after="0"/>
              <w:rPr>
                <w:sz w:val="20"/>
                <w:szCs w:val="20"/>
                <w:color w:val="auto"/>
              </w:rPr>
            </w:pPr>
            <w:r>
              <w:rPr>
                <w:rFonts w:ascii="Arial" w:cs="Arial" w:eastAsia="Arial" w:hAnsi="Arial"/>
                <w:sz w:val="14"/>
                <w:szCs w:val="14"/>
                <w:color w:val="auto"/>
              </w:rPr>
              <w:t>BALANCE—December 31, 2014</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7,632,486</w:t>
            </w:r>
          </w:p>
        </w:tc>
        <w:tc>
          <w:tcPr>
            <w:tcW w:w="140" w:type="dxa"/>
            <w:vAlign w:val="bottom"/>
          </w:tcPr>
          <w:p>
            <w:pPr>
              <w:spacing w:after="0"/>
              <w:rPr>
                <w:sz w:val="19"/>
                <w:szCs w:val="19"/>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xml:space="preserve"> 146,853</w:t>
            </w:r>
          </w:p>
        </w:tc>
        <w:tc>
          <w:tcPr>
            <w:tcW w:w="180" w:type="dxa"/>
            <w:vAlign w:val="bottom"/>
            <w:tcBorders>
              <w:left w:val="single" w:sz="8" w:color="auto"/>
            </w:tcBorders>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w w:val="98"/>
              </w:rPr>
              <w:t>875,545</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color w:val="auto"/>
              </w:rPr>
              <w:t>$  7,231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w w:val="97"/>
              </w:rPr>
              <w:t>73,152</w:t>
            </w:r>
          </w:p>
        </w:tc>
        <w:tc>
          <w:tcPr>
            <w:tcW w:w="420" w:type="dxa"/>
            <w:vAlign w:val="bottom"/>
          </w:tcPr>
          <w:p>
            <w:pPr>
              <w:jc w:val="right"/>
              <w:ind w:right="268"/>
              <w:spacing w:after="0"/>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1</w:t>
            </w: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(159,801)</w:t>
            </w:r>
          </w:p>
        </w:tc>
        <w:tc>
          <w:tcPr>
            <w:tcW w:w="140" w:type="dxa"/>
            <w:vAlign w:val="bottom"/>
          </w:tcPr>
          <w:p>
            <w:pPr>
              <w:jc w:val="right"/>
              <w:ind w:right="18"/>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(152,569)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Borders>
              <w:left w:val="single" w:sz="8" w:color="auto"/>
            </w:tcBorders>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96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Net loss</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(14,171)</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(19,828)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1,415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Noncash research and development expense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326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fair value of derivative</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3,144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Change in fair value of warrants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1,815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(1,789)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Write-off of deferred costs associated with postponed IPO</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Gain recognized on extinguishment of common stock warrants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(133)</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debt discount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Amortization of debt issuance and deferred financing costs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and accretion of investments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640"/>
              <w:spacing w:after="0"/>
              <w:rPr>
                <w:sz w:val="20"/>
                <w:szCs w:val="20"/>
                <w:color w:val="auto"/>
              </w:rPr>
            </w:pPr>
            <w:r>
              <w:rPr>
                <w:rFonts w:ascii="Arial" w:cs="Arial" w:eastAsia="Arial" w:hAnsi="Arial"/>
                <w:sz w:val="16"/>
                <w:szCs w:val="16"/>
                <w:color w:val="auto"/>
              </w:rPr>
              <w:t>Loss on sale of property and equipment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960"/>
              <w:spacing w:after="0"/>
              <w:rPr>
                <w:sz w:val="20"/>
                <w:szCs w:val="20"/>
                <w:color w:val="auto"/>
              </w:rPr>
            </w:pPr>
            <w:r>
              <w:rPr>
                <w:rFonts w:ascii="Arial" w:cs="Arial" w:eastAsia="Arial" w:hAnsi="Arial"/>
                <w:sz w:val="16"/>
                <w:szCs w:val="16"/>
                <w:color w:val="auto"/>
              </w:rPr>
              <w:t>Short-term deposits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(286)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 and other liabilities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598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8960" w:type="dxa"/>
            <w:vAlign w:val="bottom"/>
          </w:tcPr>
          <w:p>
            <w:pPr>
              <w:ind w:left="1280"/>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(7,295)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(14,393)</w:t>
            </w: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Decrease (increase) in restricted cash</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Purchases of short-term investments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(4,022)</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sales and maturities of short-term investments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8960" w:type="dxa"/>
            <w:vAlign w:val="bottom"/>
          </w:tcPr>
          <w:p>
            <w:pPr>
              <w:ind w:left="1280"/>
              <w:spacing w:after="0"/>
              <w:rPr>
                <w:sz w:val="20"/>
                <w:szCs w:val="20"/>
                <w:color w:val="auto"/>
              </w:rPr>
            </w:pPr>
            <w:r>
              <w:rPr>
                <w:rFonts w:ascii="Arial" w:cs="Arial" w:eastAsia="Arial" w:hAnsi="Arial"/>
                <w:sz w:val="16"/>
                <w:szCs w:val="16"/>
                <w:color w:val="auto"/>
              </w:rPr>
              <w:t>Net cash (used in) provided by investing activities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(4,027)</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Principal payments on capital lease obligation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common stock</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Proceeds from issuance of convertible preferred stock,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26,116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issuance of debt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745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ind w:left="320"/>
              <w:spacing w:after="0"/>
              <w:rPr>
                <w:sz w:val="20"/>
                <w:szCs w:val="20"/>
                <w:color w:val="auto"/>
              </w:rPr>
            </w:pPr>
            <w:r>
              <w:rPr>
                <w:rFonts w:ascii="Arial" w:cs="Arial" w:eastAsia="Arial" w:hAnsi="Arial"/>
                <w:sz w:val="16"/>
                <w:szCs w:val="16"/>
                <w:color w:val="auto"/>
              </w:rPr>
              <w:t>Deferred issuance costs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(1,549)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Payments on term loan</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(4,422)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8960" w:type="dxa"/>
            <w:vAlign w:val="bottom"/>
          </w:tcPr>
          <w:p>
            <w:pPr>
              <w:ind w:left="9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20,889</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12,410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9,567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color w:val="auto"/>
              </w:rPr>
              <w:t>CASH AND CASH EQUIVALENTS—beginning of year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537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9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EQUIVALENTS—end of year</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8980" w:type="dxa"/>
            <w:vAlign w:val="bottom"/>
            <w:gridSpan w:val="2"/>
            <w:vMerge w:val="continue"/>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Interest paid</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b w:val="1"/>
                <w:bCs w:val="1"/>
                <w:color w:val="auto"/>
              </w:rPr>
              <w:t>SUPPLEMENTAL DISCLOSURES OF NONCASH FINANCING ACTIVITIES: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w w:val="96"/>
              </w:rPr>
              <w:t>Conversion of Series A convertible preferred stock into Series A-1 convertible preferred stock and cancellation of warrants with fair</w:t>
            </w: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value of $1,686 pursuant to recapitalization (Note 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4,433</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960" w:type="dxa"/>
            <w:vAlign w:val="bottom"/>
          </w:tcPr>
          <w:p>
            <w:pPr>
              <w:spacing w:after="0"/>
              <w:rPr>
                <w:sz w:val="20"/>
                <w:szCs w:val="20"/>
                <w:color w:val="auto"/>
              </w:rPr>
            </w:pPr>
            <w:r>
              <w:rPr>
                <w:rFonts w:ascii="Arial" w:cs="Arial" w:eastAsia="Arial" w:hAnsi="Arial"/>
                <w:sz w:val="16"/>
                <w:szCs w:val="16"/>
                <w:color w:val="auto"/>
                <w:w w:val="95"/>
              </w:rPr>
              <w:t>Conversion of convertible notes and accrued interest into Series B-1 convertible preferred stock and cancellation of warrants with fair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60" w:type="dxa"/>
            <w:vAlign w:val="bottom"/>
          </w:tcPr>
          <w:p>
            <w:pPr>
              <w:ind w:left="160"/>
              <w:spacing w:after="0"/>
              <w:rPr>
                <w:sz w:val="20"/>
                <w:szCs w:val="20"/>
                <w:color w:val="auto"/>
              </w:rPr>
            </w:pPr>
            <w:r>
              <w:rPr>
                <w:rFonts w:ascii="Arial" w:cs="Arial" w:eastAsia="Arial" w:hAnsi="Arial"/>
                <w:sz w:val="16"/>
                <w:szCs w:val="16"/>
                <w:color w:val="auto"/>
              </w:rPr>
              <w:t>value of $3,341 and forced conversion into Series B convertible preferred stock pursuant to recapitalization (Note 10)</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23,127</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Extinguishment and modification of convertible preferred stock (Note 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32,520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color w:val="auto"/>
              </w:rPr>
              <w:t>Accretion of convertible preferred stock to redemption value</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17,875</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Accretion of dividends on convertible preferred stock</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3,959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color w:val="auto"/>
              </w:rPr>
              <w:t>Term loan proceeds allocated to derivative liability</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Recognition and de-recognition of tranche liability</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(3,144)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color w:val="auto"/>
              </w:rPr>
              <w:t>Equipment purchased under capital lease obligations</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13</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purchases included in accounts payable</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960" w:type="dxa"/>
            <w:vAlign w:val="bottom"/>
          </w:tcPr>
          <w:p>
            <w:pPr>
              <w:spacing w:after="0"/>
              <w:rPr>
                <w:sz w:val="20"/>
                <w:szCs w:val="20"/>
                <w:color w:val="auto"/>
              </w:rPr>
            </w:pPr>
            <w:r>
              <w:rPr>
                <w:rFonts w:ascii="Arial" w:cs="Arial" w:eastAsia="Arial" w:hAnsi="Arial"/>
                <w:sz w:val="16"/>
                <w:szCs w:val="16"/>
                <w:color w:val="auto"/>
              </w:rPr>
              <w:t>Deferred issuance costs included in accounts payable and accrued expenses</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rPr>
              <w:t>910</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color w:val="auto"/>
        </w:rPr>
        <w:t>– Syndax Pharmaceuticals, Inc. (the “Company”) is a clinical stage biopharmaceutical company developing entinostat as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therapy in multiple cancer indications with an initial focus on tumors that have shown sensitivity to immunotherapy, including lung cancer, melanoma and triple negative breast cancer. The Company was incorporated under the laws of the State of Delaware on October 11, 2005 (date of inception) and is headquartered in Waltham, Massachusetts.</w:t>
      </w:r>
    </w:p>
    <w:p>
      <w:pPr>
        <w:spacing w:after="0" w:line="180" w:lineRule="exact"/>
        <w:rPr>
          <w:sz w:val="20"/>
          <w:szCs w:val="20"/>
          <w:color w:val="auto"/>
        </w:rPr>
      </w:pPr>
    </w:p>
    <w:p>
      <w:pPr>
        <w:ind w:right="380" w:firstLine="456"/>
        <w:spacing w:after="0" w:line="258"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Company has prepared the accompanying consolidated financial statements in conformity with accounting principles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accepted in the United States of America (“U.S. GAAP”). The financial statements have been prepared on a going concern basis, which contemplates the realization of assets and the satisfaction of liabilities in the ordinary course of business. The financial statements do not include any adjustments relating to the recoverability and classification of recorded assets and liabilities that might be necessary should the Company be unable to continue as a going concern.</w:t>
      </w:r>
    </w:p>
    <w:p>
      <w:pPr>
        <w:spacing w:after="0" w:line="184"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Management’s Plans </w:t>
      </w:r>
      <w:r>
        <w:rPr>
          <w:rFonts w:ascii="Arial" w:cs="Arial" w:eastAsia="Arial" w:hAnsi="Arial"/>
          <w:sz w:val="18"/>
          <w:szCs w:val="18"/>
          <w:color w:val="auto"/>
        </w:rPr>
        <w:t>– Since its inception, the Company has devoted its efforts principally to research and development and raising capital.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 has financed its operations to date primarily with the proceeds from the sale of convertible preferred stock and the issuance of notes payable.</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Company’s long-term success is dependent upon its ability to successfully develop and market entinostat, earn revenue, obtain additional capital when needed, and ultimately, achieve profitable operations. The Company anticipates that it will be several years before entinostat is approved and the Company begins to generate revenue from sales of entinostat; accordingly, management fully expects to incur substantial losses on the ongoing development of entinostat and does not expect to achieve positive cash flow from operations for the foreseeable future.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During 2014, the Company expanded its headcount and initiated clinical trials, which has increased its spending. In the first quarter of 2015, the Company received $25.0 million of funding and non-refundable license fees though a license agreement with Kyowa Hakko Kirin Co., Ltd. (see Note 3). In the second quarter of 2015, the Company closed its Series C-1 Convertible Preferred Stock (“Series C-1”) financing and received proceeds of $18.5 million, net of offering costs of $0.2 million (see Note 9). In August 2015, the Company issued additional shares of Series C-1 for gross proceeds of $61.3 million. The Company’s management believes that the December 31, 2014 cash and short-term investments balances together with the $25.0 million from the Company’s license agreement with KHK and the $80.0 million from the Series C-1 financings should enable the Company to maintain its current and essential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at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59" w:right="2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Reverse Stock Split </w:t>
      </w:r>
      <w:r>
        <w:rPr>
          <w:rFonts w:ascii="Arial" w:cs="Arial" w:eastAsia="Arial" w:hAnsi="Arial"/>
          <w:sz w:val="18"/>
          <w:szCs w:val="18"/>
          <w:color w:val="auto"/>
        </w:rPr>
        <w:t>– The Board of Directors (the “Board”) and the stockholders of the Company approved a 1-for-10 reverse stock split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common stock and convertible preferred stock, which was effected on November 18, 2013; and on June 3, 2014, the Board and the stockholders of the Company approved a 1-for-12.3 reverse stock split of the Company’s outstanding common stock and convertible preferred stock, which was effected on June 3, 2014. Stockholders entitled to fractional shares as a result of the reverse stock split will receive a cash payment in lieu of receiving fractional shares. All of the Company’s historical share and per share information shown in the accompanying financial statements and related notes have been retroactively adjusted to give effect to these reverse stock splits.</w:t>
      </w:r>
    </w:p>
    <w:p>
      <w:pPr>
        <w:spacing w:after="0" w:line="188"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In 2012, the Company established a wholly owned subsidiary in the United Kingdom. There have been no activities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entity to date. In 2014, the Company established Syndax Securities Corporation. The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consolidated financial statements in conformity with U.S.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5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 Cash equivalents include all highly liquid investments maturing within 90 days or less from the date of purchase. Cash equivalents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money market funds, corporate debt securities, and U.S. government agency notes.</w:t>
      </w:r>
    </w:p>
    <w:p>
      <w:pPr>
        <w:spacing w:after="0" w:line="162"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Restricted Cash </w:t>
      </w:r>
      <w:r>
        <w:rPr>
          <w:rFonts w:ascii="Arial" w:cs="Arial" w:eastAsia="Arial" w:hAnsi="Arial"/>
          <w:sz w:val="18"/>
          <w:szCs w:val="18"/>
          <w:color w:val="auto"/>
        </w:rPr>
        <w:t>– The Company classifies as restricted cash all cash pledged as collateral to secure long-term obligations and all cash whose use is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limited by contractual provisions. Amounts are reported as non-current unless restrictions are expected to be released in the next 12 months. As of December 31, 2013 and 2014, restricted cash represents a security interest in a short-term certificate of deposit account held by the financial institution issuing the Company’s credit cards, in accordance with the credit card agreement.</w:t>
      </w:r>
    </w:p>
    <w:p>
      <w:pPr>
        <w:spacing w:after="0" w:line="18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color w:val="auto"/>
        </w:rPr>
        <w:t xml:space="preserve">Short-Term Investments </w:t>
      </w:r>
      <w:r>
        <w:rPr>
          <w:rFonts w:ascii="Arial" w:cs="Arial" w:eastAsia="Arial" w:hAnsi="Arial"/>
          <w:sz w:val="18"/>
          <w:szCs w:val="18"/>
          <w:color w:val="auto"/>
        </w:rPr>
        <w:t>– Investments in marketable securities with maturities of less than one year or where management’s intent is to use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to fund current operations or to make them available for current operations. All investments in marketable securities are classified as available-for-sale and are reported at fair value with unrealized gains and losses excluded from earnings and reported net of tax in accumulated other comprehensive loss, which is a component of stockholders’ deficit.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 Investments with remaining maturities or that are due within one year from the balance sheet date are classified as current.</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Operating segments are identified as components of an enterprise about which separate discrete financial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evaluation by the chief operating decision maker in making decisions regarding resource allocation and assessing performance. The Company has one operating segment.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Other Assets </w:t>
      </w:r>
      <w:r>
        <w:rPr>
          <w:rFonts w:ascii="Arial" w:cs="Arial" w:eastAsia="Arial" w:hAnsi="Arial"/>
          <w:sz w:val="17"/>
          <w:szCs w:val="17"/>
          <w:color w:val="auto"/>
        </w:rPr>
        <w:t>– Other assets consist of deferred issuance costs and long-term security deposits. Deferred issuance costs consist primarily of direct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incremental legal and accounting fees relating to the Company’s initial public offering (“IPO”) and issuance of debt. As of December 31, 2013 and 2014, the Company had capitalized deferred IPO issuance costs of $2.4 million and $0, respectively. In September 2014, the Company determined that it was likely its IPO would be postponed for a period in excess of 90 days. As a result, in accordance with the Securities and Exchange Commission guidance in Staff Accounting Bulletin Topic 5-A, </w:t>
      </w:r>
      <w:r>
        <w:rPr>
          <w:rFonts w:ascii="Arial" w:cs="Arial" w:eastAsia="Arial" w:hAnsi="Arial"/>
          <w:sz w:val="17"/>
          <w:szCs w:val="17"/>
          <w:i w:val="1"/>
          <w:iCs w:val="1"/>
          <w:color w:val="auto"/>
        </w:rPr>
        <w:t>Expenses of Offering,</w:t>
      </w:r>
      <w:r>
        <w:rPr>
          <w:rFonts w:ascii="Arial" w:cs="Arial" w:eastAsia="Arial" w:hAnsi="Arial"/>
          <w:sz w:val="17"/>
          <w:szCs w:val="17"/>
          <w:color w:val="auto"/>
        </w:rPr>
        <w:t xml:space="preserve"> the Company expensed as general and administrative expenses previously deferred IPO costs of $4.3 million associated with its registration statement on Form S-1. The deferred debt issuance costs are related to the Company’s term loans and convertible notes and will be amortized as interest expense over the period that the related debts are outstanding. As of December 31, 2013 and 2014, the Company had capitalized debt issuance costs of $0 and $0.3 million, respectively.</w:t>
      </w:r>
    </w:p>
    <w:p>
      <w:pPr>
        <w:spacing w:after="0" w:line="172"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Cash and cash equivalents, restricted cash, and short-term investments are financial instruments that potentially</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the Company to concentrations of credit risk. Substantially all of the Company’s cash, cash equivalents, and short-term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84" w:lineRule="exact"/>
        <w:rPr>
          <w:sz w:val="20"/>
          <w:szCs w:val="20"/>
          <w:color w:val="auto"/>
        </w:rPr>
      </w:pPr>
    </w:p>
    <w:p>
      <w:pPr>
        <w:jc w:val="both"/>
        <w:ind w:right="180" w:firstLine="456"/>
        <w:spacing w:after="0" w:line="314" w:lineRule="auto"/>
        <w:rPr>
          <w:sz w:val="20"/>
          <w:szCs w:val="20"/>
          <w:color w:val="auto"/>
        </w:rPr>
      </w:pPr>
      <w:r>
        <w:rPr>
          <w:rFonts w:ascii="Arial" w:cs="Arial" w:eastAsia="Arial" w:hAnsi="Arial"/>
          <w:sz w:val="16"/>
          <w:szCs w:val="16"/>
          <w:b w:val="1"/>
          <w:bCs w:val="1"/>
          <w:color w:val="auto"/>
        </w:rPr>
        <w:t xml:space="preserve">Property and Equipment </w:t>
      </w:r>
      <w:r>
        <w:rPr>
          <w:rFonts w:ascii="Arial" w:cs="Arial" w:eastAsia="Arial" w:hAnsi="Arial"/>
          <w:sz w:val="16"/>
          <w:szCs w:val="16"/>
          <w:color w:val="auto"/>
        </w:rPr>
        <w:t>– Property and equipment are recorded at cost. Depreciation is recorded using the straight-line method over the estimated</w:t>
      </w:r>
      <w:r>
        <w:rPr>
          <w:rFonts w:ascii="Arial" w:cs="Arial" w:eastAsia="Arial" w:hAnsi="Arial"/>
          <w:sz w:val="16"/>
          <w:szCs w:val="16"/>
          <w:b w:val="1"/>
          <w:bCs w:val="1"/>
          <w:color w:val="auto"/>
        </w:rPr>
        <w:t xml:space="preserve"> </w:t>
      </w:r>
      <w:r>
        <w:rPr>
          <w:rFonts w:ascii="Arial" w:cs="Arial" w:eastAsia="Arial" w:hAnsi="Arial"/>
          <w:sz w:val="16"/>
          <w:szCs w:val="16"/>
          <w:color w:val="auto"/>
        </w:rPr>
        <w:t>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w:t>
      </w:r>
    </w:p>
    <w:p>
      <w:pPr>
        <w:spacing w:after="0" w:line="142"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 Long-lived assets are reviewed for impairment whenever events or changes in circumstances indicate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w:t>
      </w:r>
    </w:p>
    <w:p>
      <w:pPr>
        <w:spacing w:after="0" w:line="180"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 The Company enters into license agreements for the development and commercialization of our product candidate, entinostat.</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agreements may include non-refundable upfront payments, contingent payments based on the occurrence of specified events under the Company’s license arrangements, partial or complete reimbursement of research and development expenses, license fees and royalties on sales of entinostat if they are successfully approved and commercialized. The Company’s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 with the collaboration partners.</w:t>
      </w:r>
    </w:p>
    <w:p>
      <w:pPr>
        <w:spacing w:after="0" w:line="178"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Revenue is recognized when (i) persuasive evidence of an arrangement exists, (ii) transfer of technology has been completed, services have been performed or products have been delivered, (iii) the fee is fixed and determinable, and (iv) collection is reasonably assured. For revenue agreements with multiple-elements, the Company identifies the deliverables included within the agreement and evaluates which deliverables represent separate units of accounting based on the achievement of certain criteria including whether the deliverable has stand-alone value. Upfront payments received in connection with licenses of the Company’s technology rights are deferred if facts and circumstances dictate that the license does not have stand-alone value and are recognized as license revenue over the estimated period of performance that is generally consistent with the terms of the research and development obligations contained in the specific license agreement. The Company periodically</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reviews its estimated periods of performance based on the progress under each arrangement and accounts for the impact of any changes in estimated periods of performance on a prospective basis.</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At the inception of each agreement that includes milestone payments, the Company evaluates whether each milestone is substantive and at risk to both parties on the basis of the contingent nature of the milestone. The Company evaluates factors such as the scientific, regulatory, commercial and other risks that must be overcome to achieve the respective milestone, the level of effort and investment required to achieve the respective milestone and whether the milestone consideration is reasonable relative to all deliverables and payment terms in the arrangement in making this assessment. Non-refundable payments that are contingent upon achievement of a substantive milestone are recognized in their entirety in the period in which the milestone is achieved, assuming all other revenue recognition criteria are met. Other contingent payments in which a portion of the milestone consideration is refundable or adjusts based on future performance or non-performance (e.g., through a penalty or claw-back provision) are not considered to relate solely to past performance, and therefore, not considered substantive. Amounts that are not recognized as revenue due to the uncertainty as to whether they will be retained or because they are expected to be refunded are recorded as a liability. The Company recognizes non-substantive milestone payments over the remaining estimated period of performance once the milestone is achieved. Contingent payments associated with the achievement of specific objectives in certain contracts that are not considered substantive because the Company does not contribute effort to the achievement of such milestones are recognized as revenue upon achievement of the objective, as long as there are no undelivered elements remaining and no continuing performance obligations by the Company, assuming all other revenue recognition criteria are met.</w:t>
      </w:r>
    </w:p>
    <w:p>
      <w:pPr>
        <w:spacing w:after="0" w:line="184"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 Research and development costs are expensed as incurred. Research and development expenses include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w:t>
      </w:r>
    </w:p>
    <w:p>
      <w:pPr>
        <w:spacing w:after="0" w:line="18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Clinical Trial Costs </w:t>
      </w:r>
      <w:r>
        <w:rPr>
          <w:rFonts w:ascii="Arial" w:cs="Arial" w:eastAsia="Arial" w:hAnsi="Arial"/>
          <w:sz w:val="18"/>
          <w:szCs w:val="18"/>
          <w:color w:val="auto"/>
        </w:rPr>
        <w:t>– Clinical trial costs are a component of research and development expenses. The Company accrues and expenses clinical trial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performed by third parties based on an evaluation of the progress to completion of specific tasks using data such as patient enrollment, clinical site activations, or other information provided to us by our vendors.</w:t>
      </w:r>
    </w:p>
    <w:p>
      <w:pPr>
        <w:spacing w:after="0" w:line="17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 The Company records deferred tax assets and liabilities for the expected future tax consequences of temporary differences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w:t>
      </w:r>
    </w:p>
    <w:p>
      <w:pPr>
        <w:spacing w:after="0" w:line="18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Guarantees and Indemnifications </w:t>
      </w:r>
      <w:r>
        <w:rPr>
          <w:rFonts w:ascii="Arial" w:cs="Arial" w:eastAsia="Arial" w:hAnsi="Arial"/>
          <w:sz w:val="18"/>
          <w:szCs w:val="18"/>
          <w:color w:val="auto"/>
        </w:rPr>
        <w:t>– As permitted under Delaware law, the Company indemnifies its officers, directors, and employees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occurrences that happen by reason of the relationship with, or position held at, the Company. The Company has standard indemnification arrangements under office leases (as described in Note 14) that require it to indemnify the landlord against all costs, expenses, fines, suits, claims, demands, liabilities, and actions directly resulting from any breach, violation, or nonperformance of 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60" w:right="2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covenant or condition of the Company’s lease. Through December 31, 2014,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17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The Company accounts for all stock option awards granted to employees and non-employees using a fair value method.</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is measured at the grant date fair value of employee stock option grants and is recognized over the requisite service period of the awards (usually the vesting period) on a straight-line basis, net of estimated forfeitures. Stock option awards to non-employees are subject to periodic revaluation over their vesting terms.</w:t>
      </w:r>
    </w:p>
    <w:p>
      <w:pPr>
        <w:spacing w:after="0" w:line="180" w:lineRule="exact"/>
        <w:rPr>
          <w:sz w:val="20"/>
          <w:szCs w:val="20"/>
          <w:color w:val="auto"/>
        </w:rPr>
      </w:pPr>
    </w:p>
    <w:p>
      <w:pPr>
        <w:ind w:right="500" w:firstLine="456"/>
        <w:spacing w:after="0" w:line="258" w:lineRule="auto"/>
        <w:rPr>
          <w:sz w:val="20"/>
          <w:szCs w:val="20"/>
          <w:color w:val="auto"/>
        </w:rPr>
      </w:pPr>
      <w:r>
        <w:rPr>
          <w:rFonts w:ascii="Arial" w:cs="Arial" w:eastAsia="Arial" w:hAnsi="Arial"/>
          <w:sz w:val="18"/>
          <w:szCs w:val="18"/>
          <w:b w:val="1"/>
          <w:bCs w:val="1"/>
          <w:color w:val="auto"/>
        </w:rPr>
        <w:t xml:space="preserve">Convertible Preferred Stock </w:t>
      </w:r>
      <w:r>
        <w:rPr>
          <w:rFonts w:ascii="Arial" w:cs="Arial" w:eastAsia="Arial" w:hAnsi="Arial"/>
          <w:sz w:val="18"/>
          <w:szCs w:val="18"/>
          <w:color w:val="auto"/>
        </w:rPr>
        <w:t>– The Company has classified certain series of convertible preferred stock as temporary equity in the consolidated</w:t>
      </w:r>
      <w:r>
        <w:rPr>
          <w:rFonts w:ascii="Arial" w:cs="Arial" w:eastAsia="Arial" w:hAnsi="Arial"/>
          <w:sz w:val="18"/>
          <w:szCs w:val="18"/>
          <w:b w:val="1"/>
          <w:bCs w:val="1"/>
          <w:color w:val="auto"/>
        </w:rPr>
        <w:t xml:space="preserve"> </w:t>
      </w:r>
      <w:r>
        <w:rPr>
          <w:rFonts w:ascii="Arial" w:cs="Arial" w:eastAsia="Arial" w:hAnsi="Arial"/>
          <w:sz w:val="18"/>
          <w:szCs w:val="18"/>
          <w:color w:val="auto"/>
        </w:rPr>
        <w:t>balance sheets due to certain change in control events that are outside of the Company’s control, including liquidation, sale, or transfer of control of the Company, as holders of the convertible preferred stock could cause redemption of the shares in these situations. The carrying value of the convertible preferred stock is presented at its maximum redemption value. As of December 31, 2014, the Series A has no liquidation preference and is presented in permanent equity.</w:t>
      </w:r>
    </w:p>
    <w:p>
      <w:pPr>
        <w:spacing w:after="0" w:line="184"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 xml:space="preserve">Debt Discount </w:t>
      </w:r>
      <w:r>
        <w:rPr>
          <w:rFonts w:ascii="Arial" w:cs="Arial" w:eastAsia="Arial" w:hAnsi="Arial"/>
          <w:sz w:val="16"/>
          <w:szCs w:val="16"/>
          <w:color w:val="auto"/>
        </w:rPr>
        <w:t>– The Company has recorded the fair value of the derivative liability related to its term loans as debt discount, which is presented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balance sheets as an offset to the carrying value amount of the long-term debt. Debt discount is amortized to interest expense using the effective interest rate method or a method that approximates the effective interest rate method over the expected period that the debt is expected to be outstanding.</w:t>
      </w:r>
    </w:p>
    <w:p>
      <w:pPr>
        <w:spacing w:after="0" w:line="14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Derivative Liabilities </w:t>
      </w:r>
      <w:r>
        <w:rPr>
          <w:rFonts w:ascii="Arial" w:cs="Arial" w:eastAsia="Arial" w:hAnsi="Arial"/>
          <w:sz w:val="18"/>
          <w:szCs w:val="18"/>
          <w:color w:val="auto"/>
        </w:rPr>
        <w:t>– The Company records potential payments that would be made to lenders upon certain triggering events as a derivative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liabilities. The derivative liability is initially valued at fair value using a probability-weighted expected return model. Gains and losses arising from changes in fair value recognized in other income (expense) in the consolidated statements of operations and comprehensive loss at each period end while such liabilities are outstanding.</w:t>
      </w:r>
    </w:p>
    <w:p>
      <w:pPr>
        <w:spacing w:after="0" w:line="18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 xml:space="preserve">Common and Convertible Preferred Stock Warrants </w:t>
      </w:r>
      <w:r>
        <w:rPr>
          <w:rFonts w:ascii="Arial" w:cs="Arial" w:eastAsia="Arial" w:hAnsi="Arial"/>
          <w:sz w:val="18"/>
          <w:szCs w:val="18"/>
          <w:color w:val="auto"/>
        </w:rPr>
        <w:t>– The Company has recorded common and convertible preferred stock warrants issued to</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and note holders and common stock warrants issued with license agreements as derivative financial liabilities, as the terms of the warrants are not fixed due to potential adjustments in the exercise price and/or the number of shares issuable under the warrants. Both the common and convertible preferred stock warrants are initially recorded at fair value, with gains and losses arising from changes in fair value recognized in other income (expense) in the consolidated statements of operations and comprehensive loss at each period end while such instruments are outstanding. The warrant liabilities were valued using a Black-Scholes option-pricing model.</w:t>
      </w:r>
    </w:p>
    <w:p>
      <w:pPr>
        <w:spacing w:after="0" w:line="188"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color w:val="auto"/>
        </w:rPr>
        <w:t xml:space="preserve">Convertible Preferred Stock Tranche Liability </w:t>
      </w:r>
      <w:r>
        <w:rPr>
          <w:rFonts w:ascii="Arial" w:cs="Arial" w:eastAsia="Arial" w:hAnsi="Arial"/>
          <w:sz w:val="16"/>
          <w:szCs w:val="16"/>
          <w:color w:val="auto"/>
        </w:rPr>
        <w:t>– The Company has determined that the Company’s obligation to issue and the investors’ obligation</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additional shares of the Company’s Series B-1 represents a freestanding instrument. The freestanding tranche liability was initially recorded at fair value, with gains and losses arising from changes in fair value recognized in other income (expense) in the consolidated statements of operations and comprehensive loss at each period end while such instruments are outstanding. The freestanding tranches were valued using a Black-Scholes option-pricing model. At December 31, 2013, these instruments had been extinguished or settled and are no longer carried on the balance sheet.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 In May 2014, the Financial Accounting Standards Board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Update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ASU 2014-09 supersedes the revenue recognition requirements of FASB Accounting Standards Codification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most industry-specific guidance throughout the Accounting Standards Codification, resulting in the creation of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ASU 2014-09 requires entities to recognize revenue in a way that depicts the transfer of promised goods or services to customers in an amount that reflects the consideration to which the entity expects to be entitled to in exchange for those goods or services. Adoption will be permitted using either a retrospective or modified retrospective approach. In July 2015, FASB voted to delay the effective date of the standard by one year to the first quarter of 2018 to provide companies sufficient time to implement the standard. Early adoption will be permitted, but not before the first quarter of 2017. The Company is currently evaluating the method by which it will implement this standard and the impact of the adoption of this standard on the Company’s consolidated financial statements.</w:t>
      </w:r>
    </w:p>
    <w:p>
      <w:pPr>
        <w:spacing w:after="0" w:line="16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In June 2014, FASB, issued ASU 2014-10, </w:t>
      </w:r>
      <w:r>
        <w:rPr>
          <w:rFonts w:ascii="Arial" w:cs="Arial" w:eastAsia="Arial" w:hAnsi="Arial"/>
          <w:sz w:val="18"/>
          <w:szCs w:val="18"/>
          <w:i w:val="1"/>
          <w:iCs w:val="1"/>
          <w:color w:val="auto"/>
        </w:rPr>
        <w:t>Development Stage Entities</w:t>
      </w:r>
      <w:r>
        <w:rPr>
          <w:rFonts w:ascii="Arial" w:cs="Arial" w:eastAsia="Arial" w:hAnsi="Arial"/>
          <w:sz w:val="18"/>
          <w:szCs w:val="18"/>
          <w:color w:val="auto"/>
        </w:rPr>
        <w:t xml:space="preserve"> (Topic 915): </w:t>
      </w:r>
      <w:r>
        <w:rPr>
          <w:rFonts w:ascii="Arial" w:cs="Arial" w:eastAsia="Arial" w:hAnsi="Arial"/>
          <w:sz w:val="18"/>
          <w:szCs w:val="18"/>
          <w:i w:val="1"/>
          <w:iCs w:val="1"/>
          <w:color w:val="auto"/>
        </w:rPr>
        <w:t>Elimination of Certain Financial Reporting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an Amendment to Variable Interest Entities Guidance in Topic 810, Consolidation</w:t>
      </w:r>
      <w:r>
        <w:rPr>
          <w:rFonts w:ascii="Arial" w:cs="Arial" w:eastAsia="Arial" w:hAnsi="Arial"/>
          <w:sz w:val="18"/>
          <w:szCs w:val="18"/>
          <w:color w:val="auto"/>
        </w:rPr>
        <w:t>. The amendments in this guidance remove all incremental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requirements for development stage entities. Among other changes, this guidance will no longer require development stage entities to present inception-to-date information about income statement line items, cash flows, and equity transactions. These presentation and disclosure requirements will no longer be required for the first annual period beginning after December 15, 2014 for public companies. Early application is permitted for interim and annual periods for which financial statements have not yet been issued or made available for issuance. The Company elected to early adopt this guidance in the fourth quarter of 2014.</w:t>
      </w:r>
    </w:p>
    <w:p>
      <w:pPr>
        <w:spacing w:after="0" w:line="18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In August 2014, FASB issued ASU 2014-15, </w:t>
      </w:r>
      <w:r>
        <w:rPr>
          <w:rFonts w:ascii="Arial" w:cs="Arial" w:eastAsia="Arial" w:hAnsi="Arial"/>
          <w:sz w:val="17"/>
          <w:szCs w:val="17"/>
          <w:i w:val="1"/>
          <w:iCs w:val="1"/>
          <w:color w:val="auto"/>
        </w:rPr>
        <w:t>Presentation of Financial Statements-Going Concern</w:t>
      </w:r>
      <w:r>
        <w:rPr>
          <w:rFonts w:ascii="Arial" w:cs="Arial" w:eastAsia="Arial" w:hAnsi="Arial"/>
          <w:sz w:val="17"/>
          <w:szCs w:val="17"/>
          <w:color w:val="auto"/>
        </w:rPr>
        <w:t xml:space="preserve"> (“ASU 2014-15”). ASU 2014-15 provides guidance on management’s responsibility in evaluating whether there are conditions or events that raise substantial doubt about a company’s ability to continue as a going concern within one year from the date the financial statements are issued, and about related footnote disclosures. ASU 2014-15 is effective for the annual period ending after December 15, 2016, and for annual periods and interim periods thereafter. Early application is permitted. The Company is currently evaluating the impact of adopting ASU 2014-15 on its consolidated financial statements and related disclosures.</w:t>
      </w:r>
    </w:p>
    <w:p>
      <w:pPr>
        <w:spacing w:after="0" w:line="1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In November 2014, FASB issued ASU 2014-16, </w:t>
      </w:r>
      <w:r>
        <w:rPr>
          <w:rFonts w:ascii="Arial" w:cs="Arial" w:eastAsia="Arial" w:hAnsi="Arial"/>
          <w:sz w:val="18"/>
          <w:szCs w:val="18"/>
          <w:i w:val="1"/>
          <w:iCs w:val="1"/>
          <w:color w:val="auto"/>
        </w:rPr>
        <w:t>Derivatives and Hedging (Topic 815): Determining Whether the Host Contract in a Hybrid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Issued in the form of a Share Is More Akin to Debt or to Equity (a consensus of the FASB Emerging Issues Task Force) (“ASU 2014-16”). </w:t>
      </w:r>
      <w:r>
        <w:rPr>
          <w:rFonts w:ascii="Arial" w:cs="Arial" w:eastAsia="Arial" w:hAnsi="Arial"/>
          <w:sz w:val="18"/>
          <w:szCs w:val="18"/>
          <w:color w:val="auto"/>
        </w:rPr>
        <w:t>ASU</w:t>
      </w:r>
      <w:r>
        <w:rPr>
          <w:rFonts w:ascii="Arial" w:cs="Arial" w:eastAsia="Arial" w:hAnsi="Arial"/>
          <w:sz w:val="18"/>
          <w:szCs w:val="18"/>
          <w:i w:val="1"/>
          <w:iCs w:val="1"/>
          <w:color w:val="auto"/>
        </w:rPr>
        <w:t xml:space="preserve"> </w:t>
      </w:r>
      <w:r>
        <w:rPr>
          <w:rFonts w:ascii="Arial" w:cs="Arial" w:eastAsia="Arial" w:hAnsi="Arial"/>
          <w:sz w:val="18"/>
          <w:szCs w:val="18"/>
          <w:color w:val="auto"/>
        </w:rPr>
        <w:t>2014-16 clarifies how current guidance should be interpreted in evaluating the economic characteristics and risks of a host contract in a hybrid financial instrument that is issued in the form of a share. Specifically, the amendments clarify that an entity should consider all relevant terms and features, including the embedded derivative feature being evaluated for bifurcation, in evaluating the nature of a host contract. ASU 2014-16 is effective for fiscal years and interim periods beginning after December 15, 2015. The Company is currently in the process of evaluating the impact of adopting ASU 2014-16 on its consolidated financial statements and related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 Attributable to Common Stockholders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years ended December 31, 2013 and 2014, diluted net loss per common share is the same as basic net loss per common share for those periods.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Numerator—basic and diluted:</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(14,171)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(19,828)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Series A into Series A-1 and cancellation of warrants pursuant to recapitalization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spacing w:after="0" w:line="201" w:lineRule="exact"/>
              <w:rPr>
                <w:sz w:val="20"/>
                <w:szCs w:val="20"/>
                <w:color w:val="auto"/>
              </w:rPr>
            </w:pPr>
            <w:r>
              <w:rPr>
                <w:rFonts w:ascii="Arial" w:cs="Arial" w:eastAsia="Arial" w:hAnsi="Arial"/>
                <w:sz w:val="18"/>
                <w:szCs w:val="18"/>
                <w:color w:val="auto"/>
                <w:w w:val="94"/>
              </w:rPr>
              <w:t>Conversion of convertible notes and accrued interest and cancellation of warrants into Series B-1 and forced conversion into</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tcPr>
          <w:p>
            <w:pPr>
              <w:ind w:left="160"/>
              <w:spacing w:after="0"/>
              <w:rPr>
                <w:sz w:val="20"/>
                <w:szCs w:val="20"/>
                <w:color w:val="auto"/>
              </w:rPr>
            </w:pPr>
            <w:r>
              <w:rPr>
                <w:rFonts w:ascii="Arial" w:cs="Arial" w:eastAsia="Arial" w:hAnsi="Arial"/>
                <w:sz w:val="18"/>
                <w:szCs w:val="18"/>
                <w:color w:val="auto"/>
              </w:rPr>
              <w:t>Series B pursuant to recapitalization</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4,425</w:t>
            </w:r>
          </w:p>
        </w:tc>
        <w:tc>
          <w:tcPr>
            <w:tcW w:w="4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(3,959)</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Extinguishment and modification of convertible preferred stock</w:t>
            </w: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(32,520)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Modification of tranche obligation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(787)</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2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(17,875)</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(60,454)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(26,357)</w:t>
            </w:r>
          </w:p>
        </w:tc>
        <w:tc>
          <w:tcPr>
            <w:tcW w:w="0" w:type="dxa"/>
            <w:vAlign w:val="bottom"/>
          </w:tcPr>
          <w:p>
            <w:pPr>
              <w:spacing w:after="0"/>
              <w:rPr>
                <w:sz w:val="1"/>
                <w:szCs w:val="1"/>
                <w:color w:val="auto"/>
              </w:rPr>
            </w:pPr>
          </w:p>
        </w:tc>
      </w:tr>
      <w:tr>
        <w:trPr>
          <w:trHeight w:val="20"/>
        </w:trPr>
        <w:tc>
          <w:tcPr>
            <w:tcW w:w="93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360" w:type="dxa"/>
            <w:vAlign w:val="bottom"/>
            <w:gridSpan w:val="2"/>
          </w:tcPr>
          <w:p>
            <w:pPr>
              <w:spacing w:after="0"/>
              <w:rPr>
                <w:sz w:val="20"/>
                <w:szCs w:val="20"/>
                <w:color w:val="auto"/>
              </w:rPr>
            </w:pPr>
            <w:r>
              <w:rPr>
                <w:rFonts w:ascii="Arial" w:cs="Arial" w:eastAsia="Arial" w:hAnsi="Arial"/>
                <w:sz w:val="18"/>
                <w:szCs w:val="18"/>
                <w:color w:val="auto"/>
              </w:rPr>
              <w:t>Net loss per share—basic and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(1,139.14)</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 (362.38)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Weighted-average common shares used to compute net loss per share—basic and diluted</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53,070</w:t>
            </w: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72,733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4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6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7,807,593</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7,807,593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781,663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1,038,967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154,248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158,875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Convertible notes and related accrued interest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454,404</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unaudited pro forma basic and diluted loss per share attributable to common stockholders for the year ended December 31, 2014 has been computed using the weighted-average number of shares of common stock outstanding after giving pro forma effect to (i) the automatic conversion of all shares of convertible preferred stock into shares of common stock and ii) the conversion of convertible notes into shares of convertible preferred stock and then converted into shares of common stock as if such conversions had occurred at the beginning of the period presented or the date of original issuance, if later. Upon conversion of the convertible preferred stock into common stock in the event of an IPO, the holders on the convertible preferred stock are not entitled to receive undeclared dividends. Accordingly, the impact of the accretion of accrued but unpaid dividends has been excluded from the determination of net loss attributable to common stockholders as the holders of the convertible preferred stock are not entitled to receive accrued but unpaid dividends upon such conversion. The interest expense associated with the convertible debt has been excluded from the determination of net loss attributable to common stockholders as this expense would not have occurred if the notes had converted at the beginning of the period presented. The gains and losses associated with the changes in the fair value of the common stock warrant have been excluded from the determination of net loss attributable to common stockholders as these re-measurements would not have occurred if the common stock warrant converted at the beginning of the period presented.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Unaudited pro forma basic and diluted loss per share attributable to common stockholders are computed as follows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Numerator—basic and diluted: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Interest expense related to convertible notes</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common stock warrant liability</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0"/>
        </w:trPr>
        <w:tc>
          <w:tcPr>
            <w:tcW w:w="101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0160" w:type="dxa"/>
            <w:vAlign w:val="bottom"/>
            <w:gridSpan w:val="2"/>
          </w:tcPr>
          <w:p>
            <w:pPr>
              <w:spacing w:after="0"/>
              <w:rPr>
                <w:sz w:val="20"/>
                <w:szCs w:val="20"/>
                <w:color w:val="auto"/>
              </w:rPr>
            </w:pPr>
            <w:r>
              <w:rPr>
                <w:rFonts w:ascii="Arial" w:cs="Arial" w:eastAsia="Arial" w:hAnsi="Arial"/>
                <w:sz w:val="18"/>
                <w:szCs w:val="18"/>
                <w:color w:val="auto"/>
              </w:rPr>
              <w:t>Pro forma net loss attributable to common stockholders—basic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0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Weighted-average number of shares outstanding—basic and diluted</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assumed effect of conversion of convertible notes into common stock</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Adjustment for assumed effect of conversion of convertible preferred stock</w:t>
            </w: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7,807,593</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14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Pro forma weighted-average number of common shares used to compute pro forma net loss per share—basic and diluted</w:t>
            </w: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8,007,439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6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160" w:type="dxa"/>
            <w:vAlign w:val="bottom"/>
            <w:gridSpan w:val="2"/>
          </w:tcPr>
          <w:p>
            <w:pPr>
              <w:spacing w:after="0"/>
              <w:rPr>
                <w:sz w:val="20"/>
                <w:szCs w:val="20"/>
                <w:color w:val="auto"/>
              </w:rPr>
            </w:pPr>
            <w:r>
              <w:rPr>
                <w:rFonts w:ascii="Arial" w:cs="Arial" w:eastAsia="Arial" w:hAnsi="Arial"/>
                <w:sz w:val="18"/>
                <w:szCs w:val="18"/>
                <w:color w:val="auto"/>
              </w:rPr>
              <w:t>Pro forma net loss per share—basic and 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Agreements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Kyowa Hakko Kirin Co., Ltd. – </w:t>
      </w:r>
      <w:r>
        <w:rPr>
          <w:rFonts w:ascii="Arial" w:cs="Arial" w:eastAsia="Arial" w:hAnsi="Arial"/>
          <w:sz w:val="17"/>
          <w:szCs w:val="17"/>
          <w:color w:val="auto"/>
        </w:rPr>
        <w:t>On December 19, 2014, (the “Effective Date”) the Company entered into a license agreement (the “KHK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Kyowa Hakko Kirin Co., Ltd. (“KHK”), under which the Company granted an exclusive license to develop and commercialize entinostat in Japan and Korea. Under the terms of the KHK License Agreement, the Company will be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will receive the right to the intellectual property when and if available. KHK will conduct the development, regulatory approval filings, and commercialization activities of entinostat in Japan and Korea. KHK will pay $25.0 million upfront, which includes a $7.5 million equity investment of 670,062 shares of Series B-1 convertible preferred stock and a $17.5 million non-refundable cash payment. In addition, to the extent certain development and commercial milestones are achieved, KHK will be required to pay the Company up to $75.0 million in milestone payments over the term of the license agreement. The term of the agreement will commence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purchase of the Series B-1 and the up-front payment of the license fee will be accounted for separately. The Company will allocate the amount of consideration related to Series B-1 equal to the fair value of the Series B-1 shares on the effective date of the KHK License Agreement based on a share price of $11.51 per share, which will result in $7.7 million of proceeds allocated to the Series B-1 and the remaining consideration of $17.3 million allocated to the up-front license fee. The fair value of the Series B-1 of $11.51 per share was based on a contemporaneous valuation.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received $7.5 million and issued the Series B-1 in January 2015 and received the remaining $17.5 million in February 2015.</w:t>
      </w:r>
    </w:p>
    <w:p>
      <w:pPr>
        <w:spacing w:after="0" w:line="23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The Company has concluded that this agreement is within the scope of ASC 605-25, </w:t>
      </w:r>
      <w:r>
        <w:rPr>
          <w:rFonts w:ascii="Arial" w:cs="Arial" w:eastAsia="Arial" w:hAnsi="Arial"/>
          <w:sz w:val="17"/>
          <w:szCs w:val="17"/>
          <w:i w:val="1"/>
          <w:iCs w:val="1"/>
          <w:color w:val="auto"/>
        </w:rPr>
        <w:t>Revenue Recognition, Multiple-Element Arrangements</w:t>
      </w:r>
      <w:r>
        <w:rPr>
          <w:rFonts w:ascii="Arial" w:cs="Arial" w:eastAsia="Arial" w:hAnsi="Arial"/>
          <w:sz w:val="17"/>
          <w:szCs w:val="17"/>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 (i) 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 As of December 31, 2014, no revenue has been recognized related to this agreement.</w:t>
      </w:r>
    </w:p>
    <w:p>
      <w:pPr>
        <w:spacing w:after="0" w:line="179" w:lineRule="exact"/>
        <w:rPr>
          <w:sz w:val="20"/>
          <w:szCs w:val="20"/>
          <w:color w:val="auto"/>
        </w:rPr>
      </w:pPr>
    </w:p>
    <w:p>
      <w:pPr>
        <w:jc w:val="both"/>
        <w:ind w:right="80" w:firstLine="456"/>
        <w:spacing w:after="0" w:line="289" w:lineRule="auto"/>
        <w:rPr>
          <w:sz w:val="20"/>
          <w:szCs w:val="20"/>
          <w:color w:val="auto"/>
        </w:rPr>
      </w:pPr>
      <w:r>
        <w:rPr>
          <w:rFonts w:ascii="Arial" w:cs="Arial" w:eastAsia="Arial" w:hAnsi="Arial"/>
          <w:sz w:val="16"/>
          <w:szCs w:val="16"/>
          <w:b w:val="1"/>
          <w:bCs w:val="1"/>
          <w:color w:val="auto"/>
        </w:rPr>
        <w:t xml:space="preserve">Eastern Cooperative Oncology Group </w:t>
      </w:r>
      <w:r>
        <w:rPr>
          <w:rFonts w:ascii="Arial" w:cs="Arial" w:eastAsia="Arial" w:hAnsi="Arial"/>
          <w:sz w:val="16"/>
          <w:szCs w:val="16"/>
          <w:color w:val="auto"/>
        </w:rPr>
        <w:t>– In March 2014, the Company entered into a clinical trial agreement (the “ECOG Agreement”) with Eastern</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Under the terms of the ECOG Agreement, ECOG-ACRIN will perform this clinical trial in accordance with the clinical trial protocol and a mutually agreed scope of work. The Company will provide a fixed level of financial support for the clinical trial through an upfront payment of $695,000 and a series of time-and milestone-based payments of up to $1.0 million and is obligated to supply entinostat and placebo to ECOG-ACRIN for use in the clinical trial. In February 2015, the Company amended the ECOG Agreement to include an additional $1.2 million of payment obligations; and as of the effective date of the amendment, the Company’s aggregate payment obligations are $20.6 million.</w:t>
      </w:r>
    </w:p>
    <w:p>
      <w:pPr>
        <w:spacing w:after="0" w:line="191"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color w:val="auto"/>
        </w:rPr>
        <w:t xml:space="preserve">Bayer Pharma AG (formerly known as Bayer Schering Pharma AG) </w:t>
      </w:r>
      <w:r>
        <w:rPr>
          <w:rFonts w:ascii="Arial" w:cs="Arial" w:eastAsia="Arial" w:hAnsi="Arial"/>
          <w:sz w:val="16"/>
          <w:szCs w:val="16"/>
          <w:color w:val="auto"/>
        </w:rPr>
        <w:t>– In March 2007, the Company entered into a license agreement (the “Bayer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The milestone payment was originally due on July 30, 2014. During the third quarter of 2014, the Company negotiated the following extended payment terms: $1.0 million is due before December 31, 2014 and $1.0 million before the earlier of (i) the Company’s receipt of at least $50.0 million in gross proceeds from an equity financing or (ii) July 31, 2015. Interest is being accrued at LIBOR plus 2% per annum during the period the amount is outstanding. The outstanding balance related to this milestone payment as of December 31, 2014, of $1.0 million was paid in January 2015.</w:t>
      </w:r>
    </w:p>
    <w:p>
      <w:pPr>
        <w:spacing w:after="0" w:line="16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Company’s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$1.23 per share and expires upon the earlier of the 10-year anniversary of the closing of the Company’s IPO or the date of the consummation of a disposition transaction.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warrant is classified as a long-term liability and recorded at fair value with the changes in the fair value recorded in other income (expense). The Company uses the Black-Scholes option-pricing model to determine the fair value of the warrant. The total shares exercisable under the warrant, the fair value associated with the warrant and the Black-Scholes option-pricing model assumptions used to value the shares of common stock issuable pursuant to the warrant are as follows (in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Shares of</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4"/>
                <w:szCs w:val="14"/>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Risk-Free</w:t>
            </w: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Estimated</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4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of</w:t>
            </w:r>
          </w:p>
        </w:tc>
        <w:tc>
          <w:tcPr>
            <w:tcW w:w="11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89"/>
              </w:rPr>
              <w:t>Estimated</w:t>
            </w: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9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of Warrant</w:t>
            </w:r>
          </w:p>
        </w:tc>
        <w:tc>
          <w:tcPr>
            <w:tcW w:w="0" w:type="dxa"/>
            <w:vAlign w:val="bottom"/>
          </w:tcPr>
          <w:p>
            <w:pPr>
              <w:spacing w:after="0"/>
              <w:rPr>
                <w:sz w:val="1"/>
                <w:szCs w:val="1"/>
                <w:color w:val="auto"/>
              </w:rPr>
            </w:pPr>
          </w:p>
        </w:tc>
      </w:tr>
      <w:tr>
        <w:trPr>
          <w:trHeight w:val="144"/>
        </w:trPr>
        <w:tc>
          <w:tcPr>
            <w:tcW w:w="2300" w:type="dxa"/>
            <w:vAlign w:val="bottom"/>
            <w:gridSpan w:val="2"/>
            <w:vMerge w:val="continue"/>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Issuable Under</w:t>
            </w:r>
          </w:p>
        </w:tc>
        <w:tc>
          <w:tcPr>
            <w:tcW w:w="440" w:type="dxa"/>
            <w:vAlign w:val="bottom"/>
          </w:tcPr>
          <w:p>
            <w:pPr>
              <w:spacing w:after="0"/>
              <w:rPr>
                <w:sz w:val="12"/>
                <w:szCs w:val="12"/>
                <w:color w:val="auto"/>
              </w:rPr>
            </w:pPr>
          </w:p>
        </w:tc>
        <w:tc>
          <w:tcPr>
            <w:tcW w:w="76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Exercise</w:t>
            </w:r>
          </w:p>
        </w:tc>
        <w:tc>
          <w:tcPr>
            <w:tcW w:w="220" w:type="dxa"/>
            <w:vAlign w:val="bottom"/>
          </w:tcPr>
          <w:p>
            <w:pPr>
              <w:spacing w:after="0"/>
              <w:rPr>
                <w:sz w:val="12"/>
                <w:szCs w:val="12"/>
                <w:color w:val="auto"/>
              </w:rPr>
            </w:pPr>
          </w:p>
        </w:tc>
        <w:tc>
          <w:tcPr>
            <w:tcW w:w="1100" w:type="dxa"/>
            <w:vAlign w:val="bottom"/>
            <w:gridSpan w:val="3"/>
          </w:tcPr>
          <w:p>
            <w:pPr>
              <w:jc w:val="center"/>
              <w:ind w:right="460"/>
              <w:spacing w:after="0" w:line="145" w:lineRule="exact"/>
              <w:rPr>
                <w:sz w:val="20"/>
                <w:szCs w:val="20"/>
                <w:color w:val="auto"/>
              </w:rPr>
            </w:pPr>
            <w:r>
              <w:rPr>
                <w:rFonts w:ascii="Arial" w:cs="Arial" w:eastAsia="Arial" w:hAnsi="Arial"/>
                <w:sz w:val="14"/>
                <w:szCs w:val="14"/>
                <w:b w:val="1"/>
                <w:bCs w:val="1"/>
                <w:color w:val="auto"/>
                <w:w w:val="92"/>
              </w:rPr>
              <w:t>Common</w:t>
            </w:r>
          </w:p>
        </w:tc>
        <w:tc>
          <w:tcPr>
            <w:tcW w:w="1160" w:type="dxa"/>
            <w:vAlign w:val="bottom"/>
            <w:gridSpan w:val="2"/>
            <w:vMerge w:val="continue"/>
          </w:tcPr>
          <w:p>
            <w:pPr>
              <w:spacing w:after="0"/>
              <w:rPr>
                <w:sz w:val="12"/>
                <w:szCs w:val="12"/>
                <w:color w:val="auto"/>
              </w:rPr>
            </w:pPr>
          </w:p>
        </w:tc>
        <w:tc>
          <w:tcPr>
            <w:tcW w:w="116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540"/>
              <w:spacing w:after="0" w:line="145" w:lineRule="exact"/>
              <w:rPr>
                <w:sz w:val="20"/>
                <w:szCs w:val="20"/>
                <w:color w:val="auto"/>
              </w:rPr>
            </w:pPr>
            <w:r>
              <w:rPr>
                <w:rFonts w:ascii="Arial" w:cs="Arial" w:eastAsia="Arial" w:hAnsi="Arial"/>
                <w:sz w:val="14"/>
                <w:szCs w:val="14"/>
                <w:b w:val="1"/>
                <w:bCs w:val="1"/>
                <w:color w:val="auto"/>
                <w:w w:val="94"/>
              </w:rPr>
              <w:t>Dividend</w:t>
            </w:r>
          </w:p>
        </w:tc>
        <w:tc>
          <w:tcPr>
            <w:tcW w:w="1200" w:type="dxa"/>
            <w:vAlign w:val="bottom"/>
            <w:gridSpan w:val="2"/>
          </w:tcPr>
          <w:p>
            <w:pPr>
              <w:jc w:val="center"/>
              <w:ind w:right="460"/>
              <w:spacing w:after="0" w:line="145" w:lineRule="exact"/>
              <w:rPr>
                <w:sz w:val="20"/>
                <w:szCs w:val="20"/>
                <w:color w:val="auto"/>
              </w:rPr>
            </w:pPr>
            <w:r>
              <w:rPr>
                <w:rFonts w:ascii="Arial" w:cs="Arial" w:eastAsia="Arial" w:hAnsi="Arial"/>
                <w:sz w:val="14"/>
                <w:szCs w:val="14"/>
                <w:b w:val="1"/>
                <w:bCs w:val="1"/>
                <w:color w:val="auto"/>
              </w:rPr>
              <w:t>Life</w:t>
            </w:r>
          </w:p>
        </w:tc>
        <w:tc>
          <w:tcPr>
            <w:tcW w:w="940" w:type="dxa"/>
            <w:vAlign w:val="bottom"/>
            <w:gridSpan w:val="3"/>
          </w:tcPr>
          <w:p>
            <w:pPr>
              <w:spacing w:after="0" w:line="145" w:lineRule="exact"/>
              <w:rPr>
                <w:sz w:val="20"/>
                <w:szCs w:val="20"/>
                <w:color w:val="auto"/>
              </w:rPr>
            </w:pPr>
            <w:r>
              <w:rPr>
                <w:rFonts w:ascii="Arial" w:cs="Arial" w:eastAsia="Arial" w:hAnsi="Arial"/>
                <w:sz w:val="14"/>
                <w:szCs w:val="14"/>
                <w:b w:val="1"/>
                <w:bCs w:val="1"/>
                <w:color w:val="auto"/>
              </w:rPr>
              <w:t>Liability as of</w:t>
            </w: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7"/>
              </w:rPr>
              <w:t>the Warrant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w w:val="99"/>
              </w:rPr>
              <w:t>Volatility</w:t>
            </w:r>
          </w:p>
        </w:tc>
        <w:tc>
          <w:tcPr>
            <w:tcW w:w="116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8"/>
              </w:rPr>
              <w:t>Rate</w:t>
            </w:r>
          </w:p>
        </w:tc>
        <w:tc>
          <w:tcPr>
            <w:tcW w:w="118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5"/>
              </w:rPr>
              <w:t>Yield</w:t>
            </w:r>
          </w:p>
        </w:tc>
        <w:tc>
          <w:tcPr>
            <w:tcW w:w="120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3"/>
              </w:rPr>
              <w:t>(in years)</w:t>
            </w: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2013</w:t>
            </w:r>
          </w:p>
        </w:tc>
        <w:tc>
          <w:tcPr>
            <w:tcW w:w="14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154,248</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16.85</w:t>
            </w:r>
          </w:p>
        </w:tc>
        <w:tc>
          <w:tcPr>
            <w:tcW w:w="4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67%</w:t>
            </w:r>
          </w:p>
        </w:tc>
        <w:tc>
          <w:tcPr>
            <w:tcW w:w="11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2.65%</w:t>
            </w:r>
          </w:p>
        </w:tc>
        <w:tc>
          <w:tcPr>
            <w:tcW w:w="11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0.0%</w:t>
            </w:r>
          </w:p>
        </w:tc>
        <w:tc>
          <w:tcPr>
            <w:tcW w:w="740" w:type="dxa"/>
            <w:vAlign w:val="bottom"/>
            <w:shd w:val="clear" w:color="auto" w:fill="CCEEFF"/>
          </w:tcPr>
          <w:p>
            <w:pPr>
              <w:ind w:left="440"/>
              <w:spacing w:after="0" w:line="196" w:lineRule="exact"/>
              <w:rPr>
                <w:sz w:val="20"/>
                <w:szCs w:val="20"/>
                <w:color w:val="auto"/>
              </w:rPr>
            </w:pPr>
            <w:r>
              <w:rPr>
                <w:rFonts w:ascii="Arial" w:cs="Arial" w:eastAsia="Arial" w:hAnsi="Arial"/>
                <w:sz w:val="18"/>
                <w:szCs w:val="18"/>
                <w:color w:val="auto"/>
                <w:w w:val="79"/>
              </w:rPr>
              <w:t>9.23</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2014</w:t>
            </w:r>
          </w:p>
        </w:tc>
        <w:tc>
          <w:tcPr>
            <w:tcW w:w="1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158,875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5.01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2.00%</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200" w:type="dxa"/>
            <w:vAlign w:val="bottom"/>
            <w:gridSpan w:val="2"/>
          </w:tcPr>
          <w:p>
            <w:pPr>
              <w:ind w:left="44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b w:val="1"/>
          <w:bCs w:val="1"/>
          <w:color w:val="auto"/>
        </w:rPr>
        <w:t xml:space="preserve">University of Colorado </w:t>
      </w:r>
      <w:r>
        <w:rPr>
          <w:rFonts w:ascii="Arial" w:cs="Arial" w:eastAsia="Arial" w:hAnsi="Arial"/>
          <w:sz w:val="17"/>
          <w:szCs w:val="17"/>
          <w:color w:val="auto"/>
        </w:rPr>
        <w:t>– In July 2007, the Company entered into an exclusive option agreement (the “Option Agreement”) with the Regents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University of Colorado (“Colorado”), whereby the Company was granted the exclusive 12-month option to license at a future date certain patents owned by Colorado. Under the terms of the Option Agreement, the Company agreed to reimburse Colorado for fees and costs incurred to date and ongoing patent prosecution costs. From September 2008 to December 2010, the Company paid Colorado a total of $0.1 million to extend the option period through December 31, 2010 for certain of the patents, and paid patent prosecution costs on those patents. In April 2013, the Company entered into an exclusive license agreement (the “Colorado Agreement”) with Colorado for certain of the patents owned by Colorado. Under the terms of the Colorado Agreement, the Company will pay Colorado a license fee of $0.2 million, with $0.1</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million payable within 30 days of execution of the Colorado Agreement and the balance upon the close of a financing with proceeds specifically earmarked in writing for the development of a lung cancer indication involving the licensed patents. In each case, the license fee is payable in cash or the equivalent value of shares of the Company’s common stock. Upon the execution of the Colorado Agreement in April 2013, the Company recorded a liability of $0.1 million in research and development expense. In November 2013, the Company issued 20,325 shares of its common stock to University License Equity Holdings, Inc. (“ULEH”), an affiliate of Colorado, to extinguish the liability and recorded additional research and development expense of $0.3 million to reflect the fair value of shares granted to ULEH. Under the Colorado Agreement, the Company is obligated to pay Colorado royalties on net sales, if any, and milestone payments related to the achievement of certain clinical and regulatory goals. As of December 31, 2014, none of these goals had been achieved, and no milestones were payable. In December 2014, the Company notified Colorado of its intentions to terminate the Colorado Agreement effective January 2015. There were no incremental obligations in connection with the termination of the agreement.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Office and computer equipment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under capital lease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8140" w:type="dxa"/>
            <w:vAlign w:val="bottom"/>
          </w:tcPr>
          <w:p>
            <w:pPr>
              <w:ind w:left="34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210</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(185)</w:t>
            </w:r>
          </w:p>
        </w:tc>
      </w:tr>
      <w:tr>
        <w:trPr>
          <w:trHeight w:val="20"/>
        </w:trPr>
        <w:tc>
          <w:tcPr>
            <w:tcW w:w="8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81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Property and equipment under capital leases consist of office equipment with a cost basis of $13,000 and accumulated amortization of $0 and $3,000, as of December 31, 2013 and 2014,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20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jc w:val="both"/>
        <w:ind w:left="1040" w:right="80" w:hanging="1039"/>
        <w:spacing w:after="0" w:line="264" w:lineRule="auto"/>
        <w:tabs>
          <w:tab w:leader="none" w:pos="102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years ended December 31, 2013 and 2014.</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Fair Value Measurements Using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Quoted</w:t>
            </w:r>
          </w:p>
        </w:tc>
        <w:tc>
          <w:tcPr>
            <w:tcW w:w="60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Significant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Prices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9"/>
              </w:rPr>
              <w:t>in Active</w:t>
            </w:r>
          </w:p>
        </w:tc>
        <w:tc>
          <w:tcPr>
            <w:tcW w:w="17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rPr>
              <w:t>Observable</w:t>
            </w:r>
          </w:p>
        </w:tc>
        <w:tc>
          <w:tcPr>
            <w:tcW w:w="11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Markets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3"/>
          </w:tcPr>
          <w:p>
            <w:pPr>
              <w:ind w:left="60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December 31, 2013</w:t>
            </w:r>
          </w:p>
        </w:tc>
        <w:tc>
          <w:tcPr>
            <w:tcW w:w="36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10,093</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4,538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3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14,115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4,538</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Liability: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2014</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4,986</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503</w:t>
            </w:r>
          </w:p>
        </w:tc>
        <w:tc>
          <w:tcPr>
            <w:tcW w:w="400" w:type="dxa"/>
            <w:vAlign w:val="bottom"/>
          </w:tcPr>
          <w:p>
            <w:pPr>
              <w:spacing w:after="0"/>
              <w:rPr>
                <w:sz w:val="18"/>
                <w:szCs w:val="18"/>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00" w:type="dxa"/>
            <w:vAlign w:val="bottom"/>
            <w:gridSpan w:val="2"/>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7,068</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2,585</w:t>
            </w:r>
          </w:p>
        </w:tc>
        <w:tc>
          <w:tcPr>
            <w:tcW w:w="400" w:type="dxa"/>
            <w:vAlign w:val="bottom"/>
          </w:tcPr>
          <w:p>
            <w:pPr>
              <w:spacing w:after="0"/>
              <w:rPr>
                <w:sz w:val="24"/>
                <w:szCs w:val="24"/>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44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100" w:type="dxa"/>
            <w:vAlign w:val="bottom"/>
            <w:gridSpan w:val="2"/>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819</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Cash equivalents of $4.5 million as of December 31, 2013 and December 31, 2014 consisted of money market funds and are classified within Level 1 of the fair value hierarchy because they are valued using quoted market prices in active markets. Cash equivalents of $5.6 million as of December 31, 2013 and $0.5 million as of December 31, 2014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Short-term investments of $4.0 million as of December 31, 2013 and $2.1 million as of December 31, 2014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The short-term investments are classified as available-for-sale securities. As of December 31, 2014, the remaining contractual maturities of the available-for-sale securities were less than one year. There have been no significant realized or unrealized gains or losses on available-for-sale securities for the periods presented.</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A roll-forward of the recurring fair value measurements of the convertible preferred stock warrants liability, common stock warrant liability, embedded derivative liability, derivative liability, and convertible preferred stock tranche liability categorized with Level 3 inputs are as follows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3"/>
              </w:rPr>
              <w:t>Convertible</w:t>
            </w:r>
          </w:p>
        </w:tc>
        <w:tc>
          <w:tcPr>
            <w:tcW w:w="1180" w:type="dxa"/>
            <w:vAlign w:val="bottom"/>
            <w:gridSpan w:val="5"/>
            <w:vMerge w:val="restart"/>
          </w:tcPr>
          <w:p>
            <w:pPr>
              <w:jc w:val="center"/>
              <w:ind w:right="60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Convertible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80" w:type="dxa"/>
            <w:vAlign w:val="bottom"/>
            <w:gridSpan w:val="5"/>
            <w:vMerge w:val="continue"/>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Embedded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Stock</w:t>
            </w:r>
          </w:p>
        </w:tc>
        <w:tc>
          <w:tcPr>
            <w:tcW w:w="11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Warrant</w:t>
            </w:r>
          </w:p>
        </w:tc>
        <w:tc>
          <w:tcPr>
            <w:tcW w:w="1180" w:type="dxa"/>
            <w:vAlign w:val="bottom"/>
            <w:gridSpan w:val="5"/>
          </w:tcPr>
          <w:p>
            <w:pPr>
              <w:jc w:val="center"/>
              <w:ind w:right="600"/>
              <w:spacing w:after="0" w:line="149" w:lineRule="exact"/>
              <w:rPr>
                <w:sz w:val="20"/>
                <w:szCs w:val="20"/>
                <w:color w:val="auto"/>
              </w:rPr>
            </w:pPr>
            <w:r>
              <w:rPr>
                <w:rFonts w:ascii="Arial" w:cs="Arial" w:eastAsia="Arial" w:hAnsi="Arial"/>
                <w:sz w:val="14"/>
                <w:szCs w:val="14"/>
                <w:b w:val="1"/>
                <w:bCs w:val="1"/>
                <w:color w:val="auto"/>
              </w:rPr>
              <w:t>Warrant</w:t>
            </w:r>
          </w:p>
        </w:tc>
        <w:tc>
          <w:tcPr>
            <w:tcW w:w="8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Tranche</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Liability</w:t>
            </w:r>
          </w:p>
        </w:tc>
        <w:tc>
          <w:tcPr>
            <w:tcW w:w="11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rPr>
              <w:t>Liability</w:t>
            </w:r>
          </w:p>
        </w:tc>
        <w:tc>
          <w:tcPr>
            <w:tcW w:w="80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Liability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Balance—December 31, 2012</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6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$ 3,880</w:t>
            </w: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Tranche liability on stock issuance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3"/>
          </w:tcPr>
          <w:p>
            <w:pPr>
              <w:jc w:val="right"/>
              <w:ind w:right="6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De-recognition of tranche liability on closings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6"/>
        </w:trPr>
        <w:tc>
          <w:tcPr>
            <w:tcW w:w="5400" w:type="dxa"/>
            <w:vAlign w:val="bottom"/>
            <w:gridSpan w:val="2"/>
          </w:tcPr>
          <w:p>
            <w:pPr>
              <w:ind w:left="360"/>
              <w:spacing w:after="0"/>
              <w:rPr>
                <w:sz w:val="20"/>
                <w:szCs w:val="20"/>
                <w:color w:val="auto"/>
              </w:rPr>
            </w:pPr>
            <w:r>
              <w:rPr>
                <w:rFonts w:ascii="Arial" w:cs="Arial" w:eastAsia="Arial" w:hAnsi="Arial"/>
                <w:sz w:val="18"/>
                <w:szCs w:val="18"/>
                <w:color w:val="auto"/>
              </w:rPr>
              <w:t>Change in fair value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(128)</w:t>
            </w:r>
          </w:p>
        </w:tc>
        <w:tc>
          <w:tcPr>
            <w:tcW w:w="1020" w:type="dxa"/>
            <w:vAlign w:val="bottom"/>
            <w:gridSpan w:val="4"/>
          </w:tcPr>
          <w:p>
            <w:pPr>
              <w:jc w:val="right"/>
              <w:ind w:right="350"/>
              <w:spacing w:after="0"/>
              <w:rPr>
                <w:sz w:val="20"/>
                <w:szCs w:val="20"/>
                <w:color w:val="auto"/>
              </w:rPr>
            </w:pPr>
            <w:r>
              <w:rPr>
                <w:rFonts w:ascii="Arial" w:cs="Arial" w:eastAsia="Arial" w:hAnsi="Arial"/>
                <w:sz w:val="18"/>
                <w:szCs w:val="18"/>
                <w:color w:val="auto"/>
              </w:rPr>
              <w:t>1,943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02"/>
        </w:trPr>
        <w:tc>
          <w:tcPr>
            <w:tcW w:w="54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Cancellation of warrants and embedded derivative</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(Note 10)</w:t>
            </w: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(1,686)</w:t>
            </w:r>
          </w:p>
        </w:tc>
        <w:tc>
          <w:tcPr>
            <w:tcW w:w="1020" w:type="dxa"/>
            <w:vAlign w:val="bottom"/>
            <w:gridSpan w:val="4"/>
            <w:shd w:val="clear" w:color="auto" w:fill="CCEEFF"/>
          </w:tcPr>
          <w:p>
            <w:pPr>
              <w:jc w:val="right"/>
              <w:ind w:right="290"/>
              <w:spacing w:after="0"/>
              <w:rPr>
                <w:sz w:val="20"/>
                <w:szCs w:val="20"/>
                <w:color w:val="auto"/>
              </w:rPr>
            </w:pPr>
            <w:r>
              <w:rPr>
                <w:rFonts w:ascii="Arial" w:cs="Arial" w:eastAsia="Arial" w:hAnsi="Arial"/>
                <w:sz w:val="18"/>
                <w:szCs w:val="18"/>
                <w:color w:val="auto"/>
              </w:rPr>
              <w:t>(3,341)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0" w:type="dxa"/>
            <w:vAlign w:val="bottom"/>
            <w:gridSpan w:val="2"/>
          </w:tcPr>
          <w:p>
            <w:pPr>
              <w:spacing w:after="0"/>
              <w:rPr>
                <w:sz w:val="20"/>
                <w:szCs w:val="20"/>
                <w:color w:val="auto"/>
              </w:rPr>
            </w:pPr>
            <w:r>
              <w:rPr>
                <w:rFonts w:ascii="Arial" w:cs="Arial" w:eastAsia="Arial" w:hAnsi="Arial"/>
                <w:sz w:val="18"/>
                <w:szCs w:val="18"/>
                <w:color w:val="auto"/>
              </w:rPr>
              <w:t>Balance—December 31, 2013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350"/>
              <w:spacing w:after="0"/>
              <w:rPr>
                <w:sz w:val="20"/>
                <w:szCs w:val="20"/>
                <w:color w:val="auto"/>
              </w:rPr>
            </w:pPr>
            <w:r>
              <w:rPr>
                <w:rFonts w:ascii="Arial" w:cs="Arial" w:eastAsia="Arial" w:hAnsi="Arial"/>
                <w:sz w:val="18"/>
                <w:szCs w:val="18"/>
                <w:color w:val="auto"/>
                <w:w w:val="93"/>
              </w:rPr>
              <w:t>$ 2,482</w:t>
            </w:r>
          </w:p>
        </w:tc>
        <w:tc>
          <w:tcPr>
            <w:tcW w:w="16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2"/>
                <w:szCs w:val="12"/>
                <w:color w:val="auto"/>
              </w:rPr>
            </w:pPr>
          </w:p>
        </w:tc>
        <w:tc>
          <w:tcPr>
            <w:tcW w:w="1140" w:type="dxa"/>
            <w:vAlign w:val="bottom"/>
            <w:gridSpan w:val="7"/>
            <w:vMerge w:val="restart"/>
          </w:tcPr>
          <w:p>
            <w:pPr>
              <w:jc w:val="right"/>
              <w:ind w:right="162"/>
              <w:spacing w:after="0"/>
              <w:rPr>
                <w:sz w:val="20"/>
                <w:szCs w:val="20"/>
                <w:color w:val="auto"/>
              </w:rPr>
            </w:pPr>
            <w:r>
              <w:rPr>
                <w:rFonts w:ascii="Arial" w:cs="Arial" w:eastAsia="Arial" w:hAnsi="Arial"/>
                <w:sz w:val="14"/>
                <w:szCs w:val="14"/>
                <w:b w:val="1"/>
                <w:bCs w:val="1"/>
                <w:color w:val="auto"/>
              </w:rPr>
              <w:t>Derivative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Warrant</w:t>
            </w:r>
          </w:p>
        </w:tc>
        <w:tc>
          <w:tcPr>
            <w:tcW w:w="220" w:type="dxa"/>
            <w:vAlign w:val="bottom"/>
          </w:tcPr>
          <w:p>
            <w:pPr>
              <w:spacing w:after="0"/>
              <w:rPr>
                <w:sz w:val="12"/>
                <w:szCs w:val="12"/>
                <w:color w:val="auto"/>
              </w:rPr>
            </w:pPr>
          </w:p>
        </w:tc>
        <w:tc>
          <w:tcPr>
            <w:tcW w:w="1140" w:type="dxa"/>
            <w:vAlign w:val="bottom"/>
            <w:gridSpan w:val="7"/>
            <w:vMerge w:val="continue"/>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Liability</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6"/>
          </w:tcPr>
          <w:p>
            <w:pPr>
              <w:jc w:val="right"/>
              <w:ind w:right="202"/>
              <w:spacing w:after="0"/>
              <w:rPr>
                <w:sz w:val="20"/>
                <w:szCs w:val="20"/>
                <w:color w:val="auto"/>
              </w:rPr>
            </w:pPr>
            <w:r>
              <w:rPr>
                <w:rFonts w:ascii="Arial" w:cs="Arial" w:eastAsia="Arial" w:hAnsi="Arial"/>
                <w:sz w:val="14"/>
                <w:szCs w:val="14"/>
                <w:b w:val="1"/>
                <w:bCs w:val="1"/>
                <w:color w:val="auto"/>
              </w:rPr>
              <w:t>Liability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jc w:val="center"/>
              <w:ind w:right="2270"/>
              <w:spacing w:after="0"/>
              <w:rPr>
                <w:sz w:val="20"/>
                <w:szCs w:val="20"/>
                <w:color w:val="auto"/>
              </w:rPr>
            </w:pPr>
            <w:r>
              <w:rPr>
                <w:rFonts w:ascii="Arial" w:cs="Arial" w:eastAsia="Arial" w:hAnsi="Arial"/>
                <w:sz w:val="18"/>
                <w:szCs w:val="18"/>
                <w:color w:val="auto"/>
                <w:w w:val="89"/>
              </w:rPr>
              <w:t>Balance—December 31, 2013</w:t>
            </w: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$ 2,482</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Arial" w:cs="Arial" w:eastAsia="Arial" w:hAnsi="Arial"/>
                <w:sz w:val="18"/>
                <w:szCs w:val="18"/>
                <w:color w:val="auto"/>
              </w:rPr>
              <w:t>Initial fair value of derivative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20" w:type="dxa"/>
            <w:vAlign w:val="bottom"/>
            <w:shd w:val="clear" w:color="auto" w:fill="CCEEFF"/>
          </w:tcPr>
          <w:p>
            <w:pPr>
              <w:jc w:val="center"/>
              <w:ind w:right="2270"/>
              <w:spacing w:after="0"/>
              <w:rPr>
                <w:sz w:val="20"/>
                <w:szCs w:val="20"/>
                <w:color w:val="auto"/>
              </w:rPr>
            </w:pPr>
            <w:r>
              <w:rPr>
                <w:rFonts w:ascii="Arial" w:cs="Arial" w:eastAsia="Arial" w:hAnsi="Arial"/>
                <w:sz w:val="18"/>
                <w:szCs w:val="18"/>
                <w:color w:val="auto"/>
                <w:w w:val="92"/>
              </w:rPr>
              <w:t>Change in fair value</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(1,789)</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400" w:type="dxa"/>
            <w:vAlign w:val="bottom"/>
            <w:gridSpan w:val="2"/>
          </w:tcPr>
          <w:p>
            <w:pPr>
              <w:jc w:val="center"/>
              <w:ind w:right="1410"/>
              <w:spacing w:after="0"/>
              <w:rPr>
                <w:sz w:val="20"/>
                <w:szCs w:val="20"/>
                <w:color w:val="auto"/>
              </w:rPr>
            </w:pPr>
            <w:r>
              <w:rPr>
                <w:rFonts w:ascii="Arial" w:cs="Arial" w:eastAsia="Arial" w:hAnsi="Arial"/>
                <w:sz w:val="18"/>
                <w:szCs w:val="18"/>
                <w:color w:val="auto"/>
                <w:w w:val="90"/>
              </w:rPr>
              <w:t>Balance—December 31, 2014</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   693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With the exception of the common stock warrant issued to Bayer, all other warrants to purchase common stock and convertible preferred stock issued to investors and note holders were canceled and the embedded derivative was eliminated in March 2013 as a part of the recapitalization described in Note 10.</w:t>
      </w:r>
    </w:p>
    <w:p>
      <w:pPr>
        <w:spacing w:after="0" w:line="124"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convertible preferred stock tranche liability was recorded at fair value using the Black-Scholes option-pricing model on the date of the issuance using the following assumptions: fair value of convertible preferred stock of $11.19; expected life of 0.08 to 0.76 years; risk-free interest rate of 0.04% to 0.13%; and expensed volatility of 50%.</w:t>
      </w:r>
    </w:p>
    <w:p>
      <w:pPr>
        <w:spacing w:after="0" w:line="181" w:lineRule="exact"/>
        <w:rPr>
          <w:sz w:val="20"/>
          <w:szCs w:val="20"/>
          <w:color w:val="auto"/>
        </w:rPr>
      </w:pPr>
    </w:p>
    <w:p>
      <w:pPr>
        <w:jc w:val="both"/>
        <w:ind w:right="40" w:firstLine="456"/>
        <w:spacing w:after="0" w:line="257" w:lineRule="auto"/>
        <w:rPr>
          <w:sz w:val="20"/>
          <w:szCs w:val="20"/>
          <w:color w:val="auto"/>
        </w:rPr>
      </w:pPr>
      <w:r>
        <w:rPr>
          <w:rFonts w:ascii="Arial" w:cs="Arial" w:eastAsia="Arial" w:hAnsi="Arial"/>
          <w:sz w:val="18"/>
          <w:szCs w:val="18"/>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See Note 3 for further discussion of the accounting for the Bayer common stock warrant, as well as for a summary of the significant inputs and assumptions used to determine the fair value of the warrant.</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derivative liability was recorded at fair value using the following assumptions: weighted-average probability of 60% likelihood of a successful IPO in 0.75 years; 40% to the sale of the Company in 2.50 years; and a market-based discount rate that will increase or decrease each period based on changes in the probability in the future cash flows. A significant fluctuation in the probability would not result in a material increase or decrease in the fair value of the derivative liability.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carrying value and estimated fair value of the Company’s debt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6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Carrying</w:t>
            </w:r>
          </w:p>
        </w:tc>
        <w:tc>
          <w:tcPr>
            <w:tcW w:w="5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w w:val="90"/>
              </w:rPr>
              <w:t>Value</w:t>
            </w:r>
          </w:p>
        </w:tc>
        <w:tc>
          <w:tcPr>
            <w:tcW w:w="1300" w:type="dxa"/>
            <w:vAlign w:val="bottom"/>
            <w:gridSpan w:val="4"/>
          </w:tcPr>
          <w:p>
            <w:pPr>
              <w:ind w:left="5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Convertible notes</w:t>
            </w:r>
          </w:p>
        </w:tc>
        <w:tc>
          <w:tcPr>
            <w:tcW w:w="3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5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ind w:left="3260"/>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13,884</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carrying value of long-term debt is net of debt discount. The fair value of the long-term debt is based on the discounted future cash flows of the long-term debt using a discount rate derived from market interest rates based on the creditworthiness of the Company. The fair value of the convertible notes is based upon the fair value of the underlying equity securities that the convertible notes can be converted into. The valuation of the long-term debt and convertible notes are classified within Level 3 of the hierarchy of fair value measurements.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4"/>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2013</w:t>
            </w:r>
          </w:p>
        </w:tc>
        <w:tc>
          <w:tcPr>
            <w:tcW w:w="9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license fees</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91"/>
        </w:trPr>
        <w:tc>
          <w:tcPr>
            <w:tcW w:w="814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1,653</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3,543</w:t>
            </w: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Notes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As of December 31, 2012, the Company had convertible notes outstanding of $16.9 million (“2012 Notes”), which included an aggregate of $16.9 million of principal and $0 of unamortized debt discount. In 2013, the Company issued an additional $0.7 million of convertible notes. Pursuant to the Series B-1 financing and the recapitalization, all outstanding convertible notes were converted to shares of various classes of convertible preferred stock; and as of December 31, 2013, no convertible notes were outstanding.</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September 2014, the Company entered into a bridge loan financing with various investors, in which it issued convertible unsecured promissory notes for an aggregate principal amount of $5.0 million (the “2014 Notes”), in two closings. The first closing occurred in September 2014 and $4.9 million was received, and the balance of $0.1 million was received in October 2014. The 2014 Notes accrue interest at 6% per annum and mature on September 30, 2015 (the “Maturity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2014 Notes are convertible upon the occurrence of the earlier to occur of the following events during the period that the loans are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 effective upon closing a qualified preferred stock financing before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60" w:right="2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January 1, 2015, in consideration of which the Company receives aggregate gross proceeds of at least $10.0 million, the outstanding principal and accrued interest on the 2014 Notes will automatically convert into the new series of preferred stock based upon the same price paid by those investors; (ii) effective upon closing a qualified preferred stock financing after January 1, 2015, in consideration of which the Company receives aggregate gross proceeds of at least $40.0 million, the outstanding principal and accrued interest on the 2014 Notes will automatically convert into the new series of preferred stock based upon the same price paid by those investors; (iii) upon an IPO, the outstanding principal and accrued interest on the 2014 Notes will automatically convert to the Company’s common stock equal to the outstanding principal plus accrued interest divided by the IPO price of the common stock shares issued to the public;</w:t>
      </w:r>
    </w:p>
    <w:p>
      <w:pPr>
        <w:spacing w:after="0" w:line="5" w:lineRule="exact"/>
        <w:rPr>
          <w:sz w:val="20"/>
          <w:szCs w:val="20"/>
          <w:color w:val="auto"/>
        </w:rPr>
      </w:pPr>
    </w:p>
    <w:p>
      <w:pPr>
        <w:ind w:firstLine="8"/>
        <w:spacing w:after="0" w:line="288" w:lineRule="auto"/>
        <w:tabs>
          <w:tab w:leader="none" w:pos="3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upon a change of control, the outstanding principal and accrued interest of the 2014 Notes will be automatically converted into the number of shares of the Company’s Series B-1, equal to the outstanding principal amount plus accrued interest divided by the Series B-1 conversion price; (v) if the Company issues preferred stock (other than in a qualified financing), upon the election and approval of at least a majority of the principal amount of the then outstanding 2014 Notes (the “Purchaser Majority”), the investors have the option to convert all of the 2014 Notes into the shares of preferred stock issued in the non-qualified financing equal to the outstanding principal plus accrued interest divided by the lowest price per share paid by the purchasers in the non-qualified financing. At maturity, if the 2014 Notes are still outstanding, upon the written election of the Purchaser Majority, the entire unpaid principal amount and unpaid accrued interest of each 2014 Notes shall be automatically converted into shares of the Company’s Series B-1 at the Series B-1 conversion price.</w:t>
      </w:r>
    </w:p>
    <w:p>
      <w:pPr>
        <w:spacing w:after="0" w:line="16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Company incurred $24,000 of debt issuance costs related to the 2014 Notes, which will be amortized to interest expense over the term of the 2014 Notes. As of December 31, 2014, $5.0 million in an aggregate principal amount of the 2014 Notes was outstanding and the amount of accrued interest related to the 2014 Notes was $0.1 million.</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June 2015, in conjunction with the Series C-1 financing, the outstanding principal on the 2014 Notes of $5.0 million and the related accrued interest of $0.2 million were converted into 465,563 shares of Series C-1 at $11.193 per share, which was the same price paid by Series C-1 investors.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17" w:lineRule="exact"/>
        <w:rPr>
          <w:sz w:val="20"/>
          <w:szCs w:val="20"/>
          <w:color w:val="auto"/>
        </w:rPr>
      </w:pPr>
    </w:p>
    <w:p>
      <w:pPr>
        <w:ind w:right="580" w:firstLine="456"/>
        <w:spacing w:after="0" w:line="293" w:lineRule="auto"/>
        <w:rPr>
          <w:sz w:val="20"/>
          <w:szCs w:val="20"/>
          <w:color w:val="auto"/>
        </w:rPr>
      </w:pPr>
      <w:r>
        <w:rPr>
          <w:rFonts w:ascii="Arial" w:cs="Arial" w:eastAsia="Arial" w:hAnsi="Arial"/>
          <w:sz w:val="16"/>
          <w:szCs w:val="16"/>
          <w:b w:val="1"/>
          <w:bCs w:val="1"/>
          <w:color w:val="auto"/>
        </w:rPr>
        <w:t xml:space="preserve">General Electric Capital Term Loan </w:t>
      </w:r>
      <w:r>
        <w:rPr>
          <w:rFonts w:ascii="Arial" w:cs="Arial" w:eastAsia="Arial" w:hAnsi="Arial"/>
          <w:sz w:val="16"/>
          <w:szCs w:val="16"/>
          <w:color w:val="auto"/>
        </w:rPr>
        <w:t>– In March 2011, the Company entered into a $6.0 million senior secured term loan facility with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 Capital Corporation (“GE”). The loan was secured by all tangible property and intellectual property of the Company. An initial amount of</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$3.0 million was borrowed by the Company on March 29, 2011, and an additional amount of $3.0 million was borrowed by the Company on September 29, 2011. The initial term loan had a duration of 42 months, and the second term loan had a term of 36 months. Both loans were due on September 29, 2014. Interest accrued based on the three-year treasury rate in effect three business days prior to the funding date of each applicable term loan, plus 8.75% per annum, which was 10.01% for the tranche borrowed on March 29, 2011 and 9.75% for the tranche borrowed on September 29, 2011. A nonrefundable closing fee of $0.2 million was due at maturity and was recorded in the notes payable balance as of December 31, 2012. In March and May 2013, the Company entered into an agreement with GE to modify the existing loan agreement to allow for interest-only payments for the period March 1 through May 31, 2013. In June 2013, the agreement was further amended to extend the interest-only period through July 15, 2013 in exchange for a commitment by the Company to accelerate the repayment of the loan. Under the terms of the commitment, the Company paid $2.0 million of the outstanding loan balance in July 2013 in connection with the third tranche of the Series B-1 financing along with principal payments of $0.9 million through September 30, 2013, leaving $1.5 million outstanding, which the Company paid off on November 21, 2013, in connection with a fourth tranche closing of the Series B-1 financing. During December 2011, GE participated in the December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2011 Notes offering and purchased $0.3 million of convertible notes, and in April 2012 purchased an additional $0.3 million of notes, and in June 2012 purchased an additional $33,000 of notes. As part of the recapitalization described in Note 9, in March 2013, the entire $0.8 million in principal and accrued interest converted into shares of Series B-1. As a result of this extinguishment, for the year ended December 31, 2013, the Company recorded a gain on extinguishment of $0.1 million in other income (expense) in the consolidated statements of operations and comprehensive loss.</w:t>
      </w:r>
    </w:p>
    <w:p>
      <w:pPr>
        <w:spacing w:after="0" w:line="16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 xml:space="preserve">Solar Capital, Ltd Term Loan </w:t>
      </w:r>
      <w:r>
        <w:rPr>
          <w:rFonts w:ascii="Arial" w:cs="Arial" w:eastAsia="Arial" w:hAnsi="Arial"/>
          <w:sz w:val="17"/>
          <w:szCs w:val="17"/>
          <w:color w:val="auto"/>
        </w:rPr>
        <w:t>– In June 2014, the Company entered into a loan and security agreement with Solar Capital Ltd. (“Solar”), as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lender, consisting of a $15.0 million senior secured term loan facility. The loan is secured by substantially all of the Company’s existing and after-acquired assets except its intellectual property, but including right of payment with respect to any such intellectual property and all proceeds from the disposition of any such intellectual property. The intellectual property of the Company is subject to a negative pledge. In September and December 2014, the Company amended the term loan facility. The term loan facility has a maturity date of June 13, 2018.</w:t>
      </w:r>
    </w:p>
    <w:p>
      <w:pPr>
        <w:spacing w:after="0" w:line="17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September 2014, the initial term loan (the “Term A Loan”), in the aggregate principal amount of $5.0 million was funded; and in December 2014, a second term loan (the “Term C Loan”) in the aggregate principal amount of $4.0 million was funded with the following post-closing conditions: Pursuant to the KHK License Agreement, the Company must receive $7.5 million in net equity proceeds no later than January 9, 2015 and no later than February 13, 2015, must receive $17.5 million in license-related proceeds or return the $4.0 million of proceeds from Term Loan C to Solar. The Company achieved the post-closing conditions.</w:t>
      </w:r>
    </w:p>
    <w:p>
      <w:pPr>
        <w:spacing w:after="0" w:line="18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the Company’s request and upon the completion of a bona fide financing in the form of a sale of the Company’s Series C Preferred Stock by March 31, 2015 resulting in the receipt of at least $15.0 million in net proceeds, a term loan in the aggregate principal amount of up to $3.0 million (the “Term B Loan”) will be funded. Solar has no obligations to fund the Term B Loan after March 31, 2015. At the Company’s request and upon the consummation of an IPO resulting in the receipt of at least $37.0 million in net proceeds, an additional term loan (the “Term D Loan”) of up to $7.0 million will be funded, provided that the total term loan commitment under the loan and security agreement does not exceed $15.0 million. Solar has no obligations to fund the Term D Loan after September 30, 2015.</w:t>
      </w:r>
    </w:p>
    <w:p>
      <w:pPr>
        <w:spacing w:after="0" w:line="19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Interest accrues at a floating rate per annum equal to LIBOR plus 8.8%, payable monthly in arrears (which was 9.0% as of December 31, 2014). The Company is required to make interest-only payments on any term loans funded under the term loan facility until July 1, 2015; and beginning on July 1, 2015, it is required to make payments of principal plus accrued interest in equal monthly installments until the maturity date. If the Term A Loan, the Term C Loan and the Term D Loan are fully funded, the Company would be permitted to make interest-only payments until October 1, 2016, rather than July 1, 2015, and beginning on October 1, 2016, to make consecutive equal monthly payments of principal and interest until the maturity date.</w:t>
      </w:r>
    </w:p>
    <w:p>
      <w:pPr>
        <w:spacing w:after="0" w:line="17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Upon the completion of an IPO or upon the occurrence of certain change of control or liquidity events, the Company is required to pay a $0.2 million success fee that will be due on the earlier of the maturity date of the term loan facility or upon the occurrence of certain change of control or liquidity events. The Company has recorded the success fee as a derivative financial liability. The initial fair value of the derivative of $0.1 million has been recorded as a debt discount.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Company is required to pay a final fee equal to 4% of the amount of term loans funded that will be due on the earlier of the maturity date of the term loan facility or upon the occurrence of certain change of control or liquidity events. The Company will accrue the final fee of $0.4 million on the outstanding term loans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through interest expense using the effective-interest method from the date of issuance through the maturity date of the loan. As of December 31, 2014,</w:t>
      </w:r>
    </w:p>
    <w:p>
      <w:pPr>
        <w:spacing w:after="0" w:line="3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$23,000 has been accrued for the final fee. The Company incurred $0.3 million of debt issuance costs for this term loan facility, which will be amortized to interest expense over the period the loans are outstanding. The Company has the option to prepay the term loans provided it pays a prepayment fee equal to 2% of the outstanding principal if paid prior to the one-year anniversary of the funding and 1% of the outstanding principal if paid after the one-year anniversary of the funding.</w:t>
      </w:r>
    </w:p>
    <w:p>
      <w:pPr>
        <w:spacing w:after="0" w:line="190" w:lineRule="exact"/>
        <w:rPr>
          <w:sz w:val="20"/>
          <w:szCs w:val="20"/>
          <w:color w:val="auto"/>
        </w:rPr>
      </w:pPr>
    </w:p>
    <w:p>
      <w:pPr>
        <w:jc w:val="both"/>
        <w:ind w:right="720" w:firstLine="456"/>
        <w:spacing w:after="0" w:line="342" w:lineRule="auto"/>
        <w:rPr>
          <w:sz w:val="20"/>
          <w:szCs w:val="20"/>
          <w:color w:val="auto"/>
        </w:rPr>
      </w:pPr>
      <w:r>
        <w:rPr>
          <w:rFonts w:ascii="Arial" w:cs="Arial" w:eastAsia="Arial" w:hAnsi="Arial"/>
          <w:sz w:val="16"/>
          <w:szCs w:val="16"/>
          <w:color w:val="auto"/>
        </w:rPr>
        <w:t>As of December 31, 2014, the carrying amount of the debt of $8.9 million is net of the debt discount of $0.1 million; and the principal amount outstanding under this term loan facility is $9.0 million. Estimated future principal payments due under the term loans are as follows (in thousands):</w:t>
      </w:r>
    </w:p>
    <w:p>
      <w:pPr>
        <w:spacing w:after="0" w:line="143" w:lineRule="exact"/>
        <w:rPr>
          <w:sz w:val="20"/>
          <w:szCs w:val="20"/>
          <w:color w:val="auto"/>
        </w:rPr>
      </w:pPr>
    </w:p>
    <w:tbl>
      <w:tblPr>
        <w:tblLayout w:type="fixed"/>
        <w:tblInd w:w="860" w:type="dxa"/>
        <w:tblCellMar>
          <w:top w:w="0" w:type="dxa"/>
          <w:left w:w="0" w:type="dxa"/>
          <w:bottom w:w="0" w:type="dxa"/>
          <w:right w:w="0" w:type="dxa"/>
        </w:tblCellMar>
      </w:tblPr>
      <w:tr>
        <w:trPr>
          <w:trHeight w:val="185"/>
        </w:trPr>
        <w:tc>
          <w:tcPr>
            <w:tcW w:w="1720" w:type="dxa"/>
            <w:vAlign w:val="bottom"/>
            <w:gridSpan w:val="2"/>
          </w:tcPr>
          <w:p>
            <w:pPr>
              <w:spacing w:after="0"/>
              <w:rPr>
                <w:sz w:val="20"/>
                <w:szCs w:val="20"/>
                <w:color w:val="auto"/>
              </w:rPr>
            </w:pPr>
            <w:r>
              <w:rPr>
                <w:rFonts w:ascii="Arial" w:cs="Arial" w:eastAsia="Arial" w:hAnsi="Arial"/>
                <w:sz w:val="14"/>
                <w:szCs w:val="14"/>
                <w:b w:val="1"/>
                <w:bCs w:val="1"/>
                <w:color w:val="auto"/>
                <w:w w:val="92"/>
              </w:rPr>
              <w:t>Years Ending December 31,</w:t>
            </w:r>
          </w:p>
        </w:tc>
        <w:tc>
          <w:tcPr>
            <w:tcW w:w="6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7280" w:type="dxa"/>
            <w:vAlign w:val="bottom"/>
            <w:tcBorders>
              <w:top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2016</w:t>
            </w:r>
          </w:p>
        </w:tc>
        <w:tc>
          <w:tcPr>
            <w:tcW w:w="6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6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2018</w:t>
            </w:r>
          </w:p>
        </w:tc>
        <w:tc>
          <w:tcPr>
            <w:tcW w:w="6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r>
      <w:tr>
        <w:trPr>
          <w:trHeight w:val="75"/>
        </w:trPr>
        <w:tc>
          <w:tcPr>
            <w:tcW w:w="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69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consisted of the following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Preferred</w:t>
            </w:r>
          </w:p>
        </w:tc>
        <w:tc>
          <w:tcPr>
            <w:tcW w:w="3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Issuance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Preferred</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14"/>
                <w:szCs w:val="14"/>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4"/>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2013</w:t>
            </w:r>
          </w:p>
        </w:tc>
        <w:tc>
          <w:tcPr>
            <w:tcW w:w="2420" w:type="dxa"/>
            <w:vAlign w:val="bottom"/>
          </w:tcPr>
          <w:p>
            <w:pPr>
              <w:spacing w:after="0"/>
              <w:rPr>
                <w:sz w:val="12"/>
                <w:szCs w:val="12"/>
                <w:color w:val="auto"/>
              </w:rPr>
            </w:pPr>
          </w:p>
        </w:tc>
        <w:tc>
          <w:tcPr>
            <w:tcW w:w="12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Shares</w:t>
            </w:r>
          </w:p>
        </w:tc>
        <w:tc>
          <w:tcPr>
            <w:tcW w:w="3260" w:type="dxa"/>
            <w:vAlign w:val="bottom"/>
            <w:gridSpan w:val="2"/>
            <w:vMerge w:val="continue"/>
          </w:tcPr>
          <w:p>
            <w:pPr>
              <w:spacing w:after="0"/>
              <w:rPr>
                <w:sz w:val="12"/>
                <w:szCs w:val="12"/>
                <w:color w:val="auto"/>
              </w:rPr>
            </w:pPr>
          </w:p>
        </w:tc>
        <w:tc>
          <w:tcPr>
            <w:tcW w:w="14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Shares Issued</w:t>
            </w: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6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Designated</w:t>
            </w:r>
          </w:p>
        </w:tc>
        <w:tc>
          <w:tcPr>
            <w:tcW w:w="3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and Outstanding</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2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3,951,219</w:t>
            </w:r>
          </w:p>
        </w:tc>
        <w:tc>
          <w:tcPr>
            <w:tcW w:w="4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2013</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3,502,185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41,760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59,394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Series B</w:t>
            </w:r>
          </w:p>
        </w:tc>
        <w:tc>
          <w:tcPr>
            <w:tcW w:w="3620" w:type="dxa"/>
            <w:vAlign w:val="bottom"/>
            <w:gridSpan w:val="3"/>
          </w:tcPr>
          <w:p>
            <w:pPr>
              <w:ind w:left="2480"/>
              <w:spacing w:after="0"/>
              <w:rPr>
                <w:sz w:val="20"/>
                <w:szCs w:val="20"/>
                <w:color w:val="auto"/>
              </w:rPr>
            </w:pPr>
            <w:r>
              <w:rPr>
                <w:rFonts w:ascii="Arial" w:cs="Arial" w:eastAsia="Arial" w:hAnsi="Arial"/>
                <w:sz w:val="18"/>
                <w:szCs w:val="18"/>
                <w:color w:val="auto"/>
              </w:rPr>
              <w:t>4,227,642</w:t>
            </w:r>
          </w:p>
        </w:tc>
        <w:tc>
          <w:tcPr>
            <w:tcW w:w="3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and August 2013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340,302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3620" w:type="dxa"/>
            <w:vAlign w:val="bottom"/>
            <w:gridSpan w:val="3"/>
            <w:shd w:val="clear" w:color="auto" w:fill="CCEEFF"/>
          </w:tcPr>
          <w:p>
            <w:pPr>
              <w:ind w:left="2480"/>
              <w:spacing w:after="0" w:line="201" w:lineRule="exact"/>
              <w:rPr>
                <w:sz w:val="20"/>
                <w:szCs w:val="20"/>
                <w:color w:val="auto"/>
              </w:rPr>
            </w:pPr>
            <w:r>
              <w:rPr>
                <w:rFonts w:ascii="Arial" w:cs="Arial" w:eastAsia="Arial" w:hAnsi="Arial"/>
                <w:sz w:val="18"/>
                <w:szCs w:val="18"/>
                <w:color w:val="auto"/>
              </w:rPr>
              <w:t>4,146,341</w:t>
            </w:r>
          </w:p>
        </w:tc>
        <w:tc>
          <w:tcPr>
            <w:tcW w:w="326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93"/>
              </w:rPr>
              <w:t>March, April, July, August and</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November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3,789,999</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75,846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75,846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gridSpan w:val="2"/>
          </w:tcPr>
          <w:p>
            <w:pPr>
              <w:spacing w:after="0"/>
              <w:rPr>
                <w:sz w:val="20"/>
                <w:szCs w:val="20"/>
                <w:color w:val="auto"/>
              </w:rPr>
            </w:pPr>
            <w:r>
              <w:rPr>
                <w:rFonts w:ascii="Arial" w:cs="Arial" w:eastAsia="Arial" w:hAnsi="Arial"/>
                <w:sz w:val="18"/>
                <w:szCs w:val="18"/>
                <w:color w:val="auto"/>
              </w:rPr>
              <w:t>Totals</w:t>
            </w:r>
          </w:p>
        </w:tc>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140,324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620" w:type="dxa"/>
            <w:vAlign w:val="bottom"/>
            <w:gridSpan w:val="3"/>
            <w:shd w:val="clear" w:color="auto" w:fill="CCEEFF"/>
          </w:tcPr>
          <w:p>
            <w:pPr>
              <w:ind w:left="2480"/>
              <w:spacing w:after="0"/>
              <w:rPr>
                <w:sz w:val="20"/>
                <w:szCs w:val="20"/>
                <w:color w:val="auto"/>
              </w:rPr>
            </w:pPr>
            <w:r>
              <w:rPr>
                <w:rFonts w:ascii="Arial" w:cs="Arial" w:eastAsia="Arial" w:hAnsi="Arial"/>
                <w:sz w:val="18"/>
                <w:szCs w:val="18"/>
                <w:color w:val="auto"/>
              </w:rPr>
              <w:t>4,390,243</w:t>
            </w: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March and August 2013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875,545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Preferred</w:t>
            </w:r>
          </w:p>
        </w:tc>
        <w:tc>
          <w:tcPr>
            <w:tcW w:w="3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6"/>
              </w:rPr>
              <w:t>Issuance</w:t>
            </w: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Preferred</w:t>
            </w: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3260" w:type="dxa"/>
            <w:vAlign w:val="bottom"/>
            <w:gridSpan w:val="2"/>
            <w:vMerge w:val="continue"/>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20" w:type="dxa"/>
            <w:vAlign w:val="bottom"/>
          </w:tcPr>
          <w:p>
            <w:pPr>
              <w:spacing w:after="0"/>
              <w:rPr>
                <w:sz w:val="24"/>
                <w:szCs w:val="24"/>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4"/>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2014</w:t>
            </w:r>
          </w:p>
        </w:tc>
        <w:tc>
          <w:tcPr>
            <w:tcW w:w="2420" w:type="dxa"/>
            <w:vAlign w:val="bottom"/>
          </w:tcPr>
          <w:p>
            <w:pPr>
              <w:spacing w:after="0"/>
              <w:rPr>
                <w:sz w:val="12"/>
                <w:szCs w:val="12"/>
                <w:color w:val="auto"/>
              </w:rPr>
            </w:pPr>
          </w:p>
        </w:tc>
        <w:tc>
          <w:tcPr>
            <w:tcW w:w="12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89"/>
              </w:rPr>
              <w:t>Shares</w:t>
            </w:r>
          </w:p>
        </w:tc>
        <w:tc>
          <w:tcPr>
            <w:tcW w:w="3260" w:type="dxa"/>
            <w:vAlign w:val="bottom"/>
            <w:gridSpan w:val="2"/>
            <w:vMerge w:val="continue"/>
          </w:tcPr>
          <w:p>
            <w:pPr>
              <w:spacing w:after="0"/>
              <w:rPr>
                <w:sz w:val="12"/>
                <w:szCs w:val="12"/>
                <w:color w:val="auto"/>
              </w:rPr>
            </w:pPr>
          </w:p>
        </w:tc>
        <w:tc>
          <w:tcPr>
            <w:tcW w:w="144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0"/>
              </w:rPr>
              <w:t>Shares Issued</w:t>
            </w: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6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Designated</w:t>
            </w:r>
          </w:p>
        </w:tc>
        <w:tc>
          <w:tcPr>
            <w:tcW w:w="3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and Outstanding</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Series A-1</w:t>
            </w:r>
          </w:p>
        </w:tc>
        <w:tc>
          <w:tcPr>
            <w:tcW w:w="2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3,951,219</w:t>
            </w:r>
          </w:p>
        </w:tc>
        <w:tc>
          <w:tcPr>
            <w:tcW w:w="4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2013</w:t>
            </w: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3,502,185</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44,896</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color w:val="auto"/>
              </w:rPr>
              <w:t>Series B</w:t>
            </w:r>
          </w:p>
        </w:tc>
        <w:tc>
          <w:tcPr>
            <w:tcW w:w="3620" w:type="dxa"/>
            <w:vAlign w:val="bottom"/>
            <w:gridSpan w:val="3"/>
          </w:tcPr>
          <w:p>
            <w:pPr>
              <w:ind w:left="2480"/>
              <w:spacing w:after="0"/>
              <w:rPr>
                <w:sz w:val="20"/>
                <w:szCs w:val="20"/>
                <w:color w:val="auto"/>
              </w:rPr>
            </w:pPr>
            <w:r>
              <w:rPr>
                <w:rFonts w:ascii="Arial" w:cs="Arial" w:eastAsia="Arial" w:hAnsi="Arial"/>
                <w:sz w:val="18"/>
                <w:szCs w:val="18"/>
                <w:color w:val="auto"/>
              </w:rPr>
              <w:t>4,227,642</w:t>
            </w:r>
          </w:p>
        </w:tc>
        <w:tc>
          <w:tcPr>
            <w:tcW w:w="3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March and August 2013</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340,302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Series B-1</w:t>
            </w:r>
          </w:p>
        </w:tc>
        <w:tc>
          <w:tcPr>
            <w:tcW w:w="3620" w:type="dxa"/>
            <w:vAlign w:val="bottom"/>
            <w:gridSpan w:val="3"/>
            <w:shd w:val="clear" w:color="auto" w:fill="CCEEFF"/>
          </w:tcPr>
          <w:p>
            <w:pPr>
              <w:ind w:left="2480"/>
              <w:spacing w:after="0" w:line="201" w:lineRule="exact"/>
              <w:rPr>
                <w:sz w:val="20"/>
                <w:szCs w:val="20"/>
                <w:color w:val="auto"/>
              </w:rPr>
            </w:pPr>
            <w:r>
              <w:rPr>
                <w:rFonts w:ascii="Arial" w:cs="Arial" w:eastAsia="Arial" w:hAnsi="Arial"/>
                <w:sz w:val="18"/>
                <w:szCs w:val="18"/>
                <w:color w:val="auto"/>
              </w:rPr>
              <w:t>4,956,764</w:t>
            </w:r>
          </w:p>
        </w:tc>
        <w:tc>
          <w:tcPr>
            <w:tcW w:w="3260" w:type="dxa"/>
            <w:vAlign w:val="bottom"/>
            <w:gridSpan w:val="2"/>
            <w:shd w:val="clear" w:color="auto" w:fill="CCEEFF"/>
          </w:tcPr>
          <w:p>
            <w:pPr>
              <w:jc w:val="center"/>
              <w:ind w:right="340"/>
              <w:spacing w:after="0" w:line="201" w:lineRule="exact"/>
              <w:rPr>
                <w:sz w:val="20"/>
                <w:szCs w:val="20"/>
                <w:color w:val="auto"/>
              </w:rPr>
            </w:pPr>
            <w:r>
              <w:rPr>
                <w:rFonts w:ascii="Arial" w:cs="Arial" w:eastAsia="Arial" w:hAnsi="Arial"/>
                <w:sz w:val="18"/>
                <w:szCs w:val="18"/>
                <w:color w:val="auto"/>
                <w:w w:val="93"/>
              </w:rPr>
              <w:t>March, April, July, August and</w:t>
            </w: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0"/>
              </w:rPr>
              <w:t>November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3,789,999</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79,239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79,239</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60" w:type="dxa"/>
            <w:vAlign w:val="bottom"/>
            <w:gridSpan w:val="2"/>
          </w:tcPr>
          <w:p>
            <w:pPr>
              <w:spacing w:after="0"/>
              <w:rPr>
                <w:sz w:val="20"/>
                <w:szCs w:val="20"/>
                <w:color w:val="auto"/>
              </w:rPr>
            </w:pPr>
            <w:r>
              <w:rPr>
                <w:rFonts w:ascii="Arial" w:cs="Arial" w:eastAsia="Arial" w:hAnsi="Arial"/>
                <w:sz w:val="18"/>
                <w:szCs w:val="18"/>
                <w:color w:val="auto"/>
              </w:rPr>
              <w:t>Totals</w:t>
            </w:r>
          </w:p>
        </w:tc>
        <w:tc>
          <w:tcPr>
            <w:tcW w:w="2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146,853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2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3620" w:type="dxa"/>
            <w:vAlign w:val="bottom"/>
            <w:gridSpan w:val="3"/>
            <w:shd w:val="clear" w:color="auto" w:fill="CCEEFF"/>
          </w:tcPr>
          <w:p>
            <w:pPr>
              <w:ind w:left="2480"/>
              <w:spacing w:after="0"/>
              <w:rPr>
                <w:sz w:val="20"/>
                <w:szCs w:val="20"/>
                <w:color w:val="auto"/>
              </w:rPr>
            </w:pPr>
            <w:r>
              <w:rPr>
                <w:rFonts w:ascii="Arial" w:cs="Arial" w:eastAsia="Arial" w:hAnsi="Arial"/>
                <w:sz w:val="18"/>
                <w:szCs w:val="18"/>
                <w:color w:val="auto"/>
              </w:rPr>
              <w:t>4,390,243</w:t>
            </w:r>
          </w:p>
        </w:tc>
        <w:tc>
          <w:tcPr>
            <w:tcW w:w="326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2"/>
              </w:rPr>
              <w:t>March and August 2013</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875,545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2013 and 2014, the various series of convertible preferred stock have the following rights, preferences, and privileges):</w:t>
      </w:r>
    </w:p>
    <w:p>
      <w:pPr>
        <w:spacing w:after="0" w:line="1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Holders of shares of convertible preferred stock have full voting rights and powers equal to the rights and powers of holders of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with respect to any matters upon which holders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shares of common stock have the right to vote. Holders of shares of convertible preferred stock are entitled to the number of votes equal to the largest number of shares of common stock into which such share of convertible preferred stock could be converted at the record date for determination of the stockholders entitled to vote on such matters. Holders of shares of Series A-1 and Series B-1, voting together as a separate class on an as-converted basis, are entitled to elect four members of the Board. Holders of shares of common stock, voting as a separate class, are entitled to elect two members of the Board. Holders of a majority of the outstanding shares of common stock and a majority of the outstanding shares of convertible preferred stock, each voting as a separate class on an as-converted basis, are entitled to elect one member of the Board. Holders of at least 60% of the outstanding shares of convertible preferred stock and a majority of the outstanding shares of common stock, each voting as a separate class on an as-converted basis, are entitled to elect any remaining directors.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i w:val="1"/>
          <w:iCs w:val="1"/>
          <w:color w:val="auto"/>
        </w:rPr>
        <w:t xml:space="preserve">Conversion </w:t>
      </w:r>
      <w:r>
        <w:rPr>
          <w:rFonts w:ascii="Arial" w:cs="Arial" w:eastAsia="Arial" w:hAnsi="Arial"/>
          <w:sz w:val="17"/>
          <w:szCs w:val="17"/>
          <w:color w:val="auto"/>
        </w:rPr>
        <w:t>– Each share of Series B-1, A-1, and B is convertible at the option of the holder into one share of common stock, subject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for dilution, if any, resulting from future stock issuances. Each share of Series A is convertible at the option of the holder into one-fifth of a share of common stock, subject to certain adjustments for dilution, if any, resulting from future stock issuances. The outstanding shares of convertible preferred stock automatically convert into common stock at the then effective conversion rate upon the earlier of (i) an underwritten public offering of our common stock in which aggregate proceeds are in excess of $50.0 million at a price of at least $5.00 per share, as adjusted for any recapitalization event or (ii) the election of holders of at least 60% of the outstanding shares of convertible preferred stock, voting as a separate class on an as-converted basis. In the event that any holder of Series A-1 or Series B-1 does not participate in a future tranche of the Series B-1 financing, by purchasing such holder’s pro rata share, each share of Series A-1 or Series B-1 then owned by such holder shall automatically convert into an equivalent number of Series A or Series B shares upon consummation of such financing.</w:t>
      </w:r>
    </w:p>
    <w:p>
      <w:pPr>
        <w:spacing w:after="0" w:line="18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Holders of shares of Series B-1, in preference to holders of shares of Series A-1, Series A, Series B, and common stock,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whether or not declared by the Board, cumulative dividends at the rate of 8% of the applicable original issue price per share per annum. Such dividends accrue and are cumulative from the date of the issuance of the Series B-1. No such dividends have been declared to date. Holders of shares of Series A-1, in preference to holders of shares of Series A, Series B and common stock, are entitled to receive, whether or not declared by the Board, cumulative dividends at the rate of 8% of the applicable original issue price per share per annum. Such dividends accrue and are cumulative from the date of the issuance of the Series A-1. No such dividends have been declared to date. As of December 31, 2014, the Company has recorded cumulative dividends on Series A-1 and Series B-1 $5.6 million and $4.9 million, respectively. In addition, holders of shares of Series A-1 and Series B-1 are entitled to receive, on an as-converted basis, dividends declared and paid to holders of shares of common stock.</w:t>
      </w:r>
    </w:p>
    <w:p>
      <w:pPr>
        <w:spacing w:after="0" w:line="17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winding-up, sale or merger of the Company, whether voluntarily or involuntarily, each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Series B-1 is entitled to receive, in preference to holders of shares of Series A-1, Series A, Series B, and common stock, a per share amount equal to the original issue price times a factor of 1.75, plus all accrued but unpaid dividends. Each holder of shares of Series A-1 is entitled to receive, in preference to holders of shares of Series A, Series B, and common stock, a per share amount equal to the original issue price, plus all accrued but unpaid dividends. Each holder of shares of Series B is entitled to receive, in preference to holders of shares of Series A and common stock, a per share amount equal to the original issue price multiplied by 75%, plus all accrued but unpaid dividends. After the above payments have been made for the full amounts to which they are entitled, any remaining assets will be distributed pro rata among holders of shares of common stock, Series A-1, Series B-1, and Series A, on an as-converted basis. The Series A has no liquidation preferences.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60" w:right="2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June 2015, the Company issued 2,140,712 shares of Series C-1 for $18.5 million in cash, net of offering costs of $0.2 million, and the conversion of the outstanding principal on the 2014 Notes of $5.0 million and related accrued interest of $0.2 million. In August 2015, the Company issued 5,472,390 additional shares of Series C-1 for gross proceeds of $61.3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Recapitalization and Series B-1 Preferred Stock Financing</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March 2013, in connection with the Company’s Series B-1 financing, the then outstanding shares of Series A and convertible notes were subject to an overall recapitalization of the Company’s capital structure. The impact of the recapitalization on the various securities outstanding depended upon whether the holder of an affected security participated in the Series B-1 financing by purchasing Series B-1 shares for cash on at least a pro rata basis, as described in the agreements underlying the Series B-1 financing. Generally, to the extent that the holder met the participation requirement, such holder received more senior securities in exchange for their existing securities.</w:t>
      </w:r>
    </w:p>
    <w:p>
      <w:pPr>
        <w:spacing w:after="0" w:line="188"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As part of the recapitalization, shares of the then outstanding Series A were subject to a 10-for-1 stock split with the related conversion price and value reduced accordingly. These Series A shares were then exchanged for a new series of stock, Series A-1, with the rights and preferences described in Note 8. To the extent that the holders met the participation requirements of the recapitalization and purchased their share of the Series B-1 financing, such Series A-</w:t>
      </w:r>
    </w:p>
    <w:p>
      <w:pPr>
        <w:ind w:right="60"/>
        <w:spacing w:after="0" w:line="255" w:lineRule="auto"/>
        <w:rPr>
          <w:sz w:val="20"/>
          <w:szCs w:val="20"/>
          <w:color w:val="auto"/>
        </w:rPr>
      </w:pPr>
      <w:r>
        <w:rPr>
          <w:rFonts w:ascii="Arial" w:cs="Arial" w:eastAsia="Arial" w:hAnsi="Arial"/>
          <w:sz w:val="18"/>
          <w:szCs w:val="18"/>
          <w:color w:val="auto"/>
        </w:rPr>
        <w:t>1 shares were unaffected; to the extent they did not participate, the Series A-1 shares were automatically forced to convert at a rate of 1-to-1 into a less senior class of convertible preferred stock, labeled Series A. As a result, 437,773 shares of Series A-1 with a carrying value of $4.9 million were converted to 437,773 shares of Series A with a fair value of $2.1 million.</w:t>
      </w:r>
    </w:p>
    <w:p>
      <w:pPr>
        <w:spacing w:after="0" w:line="19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addition, to the extent that holders of the convertible notes participated in their pro rata share of the cash issuance of Series B-1, the principal and accrued interest on those securities were converted into shares of Series B-1, at a price per share equal to the price paid by other investors in the financing. To the extent they did not participate in the cash issuance, the principal and accrued interest on those securities were converted into a less senior class of convertible preferred stock, labeled Series B, at a price per share equal to the price paid by other investors in the financing.</w:t>
      </w:r>
    </w:p>
    <w:p>
      <w:pPr>
        <w:spacing w:after="0" w:line="17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As part of the recapitalization, all outstanding warrants to acquire either convertible preferred stock or common stock held by the investors were canceled, and the embedded derivative was removed by agreement.</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recapitalization has been accounted for as an extinguishment of the various securities involved as the changes to the terms of the affected securities were significantly modified. The carrying values of the Series A shares, the convertible notes, embedded derivative and related warrants were removed, and the fair value of the new securities (Series B-1, Series A-1, Series B and Series A) issued was recorded. The gain on extinguishment has been recorded as an increase to additional paid-in-capital of $8.9 million for the related party components of the recapitalization, and $0.1 million was recorded as other income (expense) in the consolidated statements of operations and comprehensive loss for the non-related party component.</w:t>
      </w:r>
    </w:p>
    <w:p>
      <w:pPr>
        <w:spacing w:after="0" w:line="15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accordance with the terms of the Series B-1 purchase agreement, the Company authorized the sale and issuance of up to 2,763,239 shares of Series B-1. The Series B-1 financing was structured to close in four tranches. The Company determined the right of the investors to purchase shares of Series B-1 in future tranches (the second, third and fourth tranches) meets the definition of a freestanding financial instrument and is recognized as a liability at fair value. The Company adjusted the carrying value of the tranche obligations to its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estimated fair value at each closing and at the reporting date. Increases or decreases in the fair value of the tranche obligations were recorded as other income (expense) in the consolidated statements of operations and comprehensive loss.</w:t>
      </w:r>
    </w:p>
    <w:p>
      <w:pPr>
        <w:spacing w:after="0" w:line="17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first tranche closed in March 2013 and resulted in the issuance of 118,370 shares of Series B-1 for gross cash proceeds of $1.3 million and the issuance of 1,605,697 shares of Series B-1 and 148,153 shares of Series B with a total fair value of $18.7 million upon conversion of the convertible notes. Upon the first tranche closing, the Company recognized a liability of $0.2 million for the fair value of the future tranche obligations. The fair value of the freestanding instrument tranche obligations was determined using Black-Scholes option-pricing models on the date of the issuance using the following assumptions: fair value of convertible preferred stock of $11.19; expected life of 0.08 to 0.75 years, risk-free interest rate of 0.04 to 0.13%; and expected volatility of 50%.</w:t>
      </w:r>
    </w:p>
    <w:p>
      <w:pPr>
        <w:spacing w:after="0" w:line="193"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Following the first tranche of the Series B-1 financing and the recapitalization, the Company had no remaining convertible notes outstanding and the following classes and number of shares of convertible preferred stock were outstanding:</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1"/>
        </w:trPr>
        <w:tc>
          <w:tcPr>
            <w:tcW w:w="8820" w:type="dxa"/>
            <w:vAlign w:val="bottom"/>
            <w:gridSpan w:val="3"/>
            <w:vMerge w:val="continue"/>
          </w:tcPr>
          <w:p>
            <w:pPr>
              <w:spacing w:after="0"/>
              <w:rPr>
                <w:sz w:val="14"/>
                <w:szCs w:val="14"/>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0"/>
              </w:rPr>
              <w:t>Series</w:t>
            </w:r>
          </w:p>
        </w:tc>
        <w:tc>
          <w:tcPr>
            <w:tcW w:w="8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437,773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3,939,957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Series B-1</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1,724,067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April 2013, the Company entered into a stock purchase agreement and license agreement with a third party to license certain technology from the Company and invest in the Company’s Series B-1, as described in Note 13. Under the terms of this agreement, the Company issued 223,353 shares of Series B-1 for gross proceeds of $2.5 million and provided for a future closing with the third party for 223,353 shares of Series B-1 for $2.5 million which closed in November 2013. Upon the initial closing with the third party, the Company recognized a liability of $0.8 million for the fair value related to the future tranche obligation as a freestanding financial instrument in the Company’s consolidated balance sheets. The fair value of the tranche obligation was determined using Black-Scholes option-pricing models using the following assumptions: fair value of convertible preferred stock of $18.45; expected life of 0.51 to 0.67 years; risk-free interest rate of 0.10 to 0.12%; and expected volatility of 55%. Upon the initial closing with the third party, a beneficial conversion feature with an intrinsic value of $0.5 million was recorded as an increase to additional paid-in capital and a reduction of the proceeds allocated to the Series B-1 shares.</w:t>
      </w:r>
    </w:p>
    <w:p>
      <w:pPr>
        <w:spacing w:after="0" w:line="19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Additionally in April 2013, the existing investors executed the second tranche of the Series B-1 financing in which the Company issued 98,268 shares of Series B-1 and received gross proceeds of $1.1 million. As a result of the closing of the second tranche obligation, the liability related to this closing was marked-to-market to its fair value which was determined to be $0.</w:t>
      </w:r>
    </w:p>
    <w:p>
      <w:pPr>
        <w:spacing w:after="0" w:line="18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In July 2013, the Company filed its Seventh Amended and Restated Certificate of Incorporation (the “Seventh Amended Certificate”) whereby the rights and preferences of the Series B-1 and Series A-1 were significantly modified. The Company has accounted for the amendment of the Series B-1 and Series A-1 as an extinguishment of the existing securities involved and the issuance of new securities. The carrying value of the Series B-1 and Series A-1 shares and the remaining third and fourth tranche obligations were removed, and the fair value of the new securities issued was recorded. A loss on extinguishment was recorded as an increase in accumulated deficit of $25.5 million and a decrease in additional paid-in-capital of $7.0 million.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460" w:right="2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Seventh Amended Certificate did not substantively change the rights and preferences of the Series B and Series A. As such, the Company has accounted for the amendment to the Series B and Series A as a modification of these series. The Company determined there was no change in the fair value of the Series B and Series A shares upon the filing of the Seventh Amended Certificate.</w:t>
      </w:r>
    </w:p>
    <w:p>
      <w:pPr>
        <w:spacing w:after="0" w:line="18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August 2013, the Company and the investors amended the Series B-1 purchase agreement (the “Amendment”) to cancel all future purchase obligations (the third and fourth tranches) and provide for revised additional closing obligations (new third, fourth and fifth tranches). As a result of the modification to the tranche obligations, the Company recorded a charge to additional paid-in capital of $0.8 million related to the change in the fair value of the tranche obligation.</w:t>
      </w:r>
    </w:p>
    <w:p>
      <w:pPr>
        <w:spacing w:after="0" w:line="187"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color w:val="auto"/>
        </w:rPr>
        <w:t>Additionally, the Amendment included a new investor pursuant to an agreement to license certain technology and rights to this party in conjunction with the Series B-1 investment. This new investor participated in the August closing and obtained rights to participate in the fourth and fifth tranches, which was recognized as a tranche liability. In connection with the Amendment, the Company executed the third tranche of Series B-1 shares in August 2013 with the existing investors and the new investor in which the Company issued 605,280 shares of Series B-1 and received gross proceeds of $6.8 million and incurred $0.4 million of issuance costs. Upon the closing of the third tranche in August 2013 with the new investor, a beneficial conversion feature with an intrinsic value of $0.8 million was recorded as an increase to additional paid-in capital and a reduction of the proceeds allocated to the Series B-1 shares. Upon the closing of the third tranche in August 2013 with the existing investors and the new investor, the Company recognized the impact of the tranche obligations as a net reduction of the proceeds allocated to the Series B-1 shares of $2.0 million.</w:t>
      </w:r>
    </w:p>
    <w:p>
      <w:pPr>
        <w:spacing w:after="0" w:line="17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One of the investors and its affiliate, which had participated in the first and second tranches of the Series B-1 financing, did not participate in the third tranche. As a result, 192,149 shares of Series B-1 shares held by these investors with a carrying value of $3.8 million were converted to 192,149 shares of Series B and the 437,772 shares of Series A-1 shares held by these investors with a carrying value of $5.1 million were converted to 437,772 shares of Series A.</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November 2013, pursuant to an Acknowledgment and Waiver Agreement (the “Waiver Agreement”), the Company and the holders of Series B-1 amended the Series B-1 purchase agreement, dated March 8, 2013, as amended on August 20, 2013. Pursuant to the Waiver Agreement, the holders of Series B-1 agreed to waive certain conditions to their obligation to close the fourth and fifth tranches of the Series B-1 financing and closed both tranches in November 2013. The Company issued 1,107,827 shares of Series B-1 and received gross proceeds of $12.4 million.</w:t>
      </w:r>
    </w:p>
    <w:p>
      <w:pPr>
        <w:spacing w:after="0" w:line="17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In November 2013, pursuant to a letter agreement, the Company and Eddingpharm agreed to accelerate the second tranche under the Eddingpharm Purchase Agreement to November 15, 2013, and the Company issued 223,353 shares of Series B-1 and received gross proceeds of $2.5 million.</w:t>
      </w:r>
    </w:p>
    <w:p>
      <w:pPr>
        <w:spacing w:after="0" w:line="124"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Upon the closings of the remaining tranches in November 2013, the Company derecognized the tranche obligation, which resulted in a net increase in the proceeds allocated to the Series B-1 shares of $7.0 million. The fair value of the remaining tranche obligations were re-measured just prior to the closings using the following assumptions: fair value of convertible preferred stock of $20.91; expected life of 0.03 years; risk-free interest rate of 0.01%; and volatility of 50%.</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a result of the changes in the fair value of the tranche obligations, the Company recorded an aggregate of $3.1 million to other income (expense) in the consolidated statements of operations and comprehensive loss during the year ended December 31, 2013.</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2013, the Company recorded accretion of $17.9 million to record the convertible preferred stock at its redemption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and preferences of the convertible preferred stock are described in more detail in Note 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voting, dividend, and liquidation rights of the holders of shares of common stock are subject to and qualified by the rights, powers, and preferences of the holders of shares of convertible preferred stock. Common stock has the following characteristics:</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The holders of each share of common stock is entitled to one vote per share held. The holders of common stock shall be entitled to elect two</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of the Board.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Common stockholders are entitled to receive dividends, if and when declared by the Board, subject to the rights of holders of all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outstanding having priority rights as to dividends.</w:t>
      </w:r>
    </w:p>
    <w:p>
      <w:pPr>
        <w:spacing w:after="0" w:line="17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After payment to the holders of shares of preferred stock of their liquidation preferences, the holders of shares of common stock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share ratably in the Company’s assets available for distribution to stockholders, in the event of any voluntary or involuntary liquidation, dissolution, or winding down of the Company or upon the occurrence of a deemed liquidation event.</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Company’s reserved shares of common stock for future issuance related to potential warrant exercise, conversion of the convertible preferred stock, conversion of convertible debt and exercise of stock options are as follows: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14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2013</w:t>
            </w:r>
          </w:p>
        </w:tc>
        <w:tc>
          <w:tcPr>
            <w:tcW w:w="12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issuable under Bayer warrant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154,248</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175,107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175,107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Series A-1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3,502,185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3,502,185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rPr>
              <w:t>340,302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340,302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Series B-1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3,789,999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3,789,999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Convertible debt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670,062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810,376</w:t>
            </w:r>
          </w:p>
        </w:tc>
        <w:tc>
          <w:tcPr>
            <w:tcW w:w="3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1,518,982</w:t>
            </w:r>
          </w:p>
        </w:tc>
        <w:tc>
          <w:tcPr>
            <w:tcW w:w="100" w:type="dxa"/>
            <w:vAlign w:val="bottom"/>
            <w:shd w:val="clear" w:color="auto" w:fill="CCEEFF"/>
          </w:tcPr>
          <w:p>
            <w:pPr>
              <w:spacing w:after="0"/>
              <w:rPr>
                <w:sz w:val="18"/>
                <w:szCs w:val="18"/>
                <w:color w:val="auto"/>
              </w:rPr>
            </w:pPr>
          </w:p>
        </w:tc>
      </w:tr>
      <w:tr>
        <w:trPr>
          <w:trHeight w:val="291"/>
        </w:trPr>
        <w:tc>
          <w:tcPr>
            <w:tcW w:w="7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8,772,217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10,155,512</w:t>
            </w: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In January 2007, the Board and the Company’s stockholders adopted the 2007 Stock Plan (the “2007 Plan”). Under the 2007 Plan, incentive stock options, non-statutory stock options, and stock purchase rights may be granted to employees, directors, and consultants. The stock options generally vest over a four-year period, but vesting provisions can vary based on the Board’s discretion and expire ten years from the date of grant. As of December 31, 2013, the maximum shares issuable und the 2007 plan were 813,962; and there were 28,713 shares available for issuance. In January 2014, the Board increased the maximum number of shares that can be issued under the 2007 Plan to 1,002,172 and in December 2014, increased the maximum number of shares to 1,525,000. As of December 31, 2014, there were 480,015 shares available for issuance under the 2007 Plan.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consolidated statements of operations and comprehensive loss as follows (in thousands):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27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7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of December 31, 2014, there was $2.5 million of unrecognized compensation cost related to employee and non-employee unvested stock options share-based compensation arrangements granted under the 2007 Plan, which is expected to be recognized over a weighted-average remaining service period of 2.22 years. Stock compensation costs have not been capitalized by the Company.</w:t>
      </w:r>
    </w:p>
    <w:p>
      <w:pPr>
        <w:spacing w:after="0" w:line="181"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For options granted to employees in 2013 and 2014, the Company determined the expected term based on an average of expected terms used by a peer group of similar public companies. The 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accounting guidance for stock-based compensation requires forfeitures to be estimated at the time of grant and revised, if necessary, in subsequent periods if actual forfeitures differ from those estimates.</w:t>
      </w:r>
    </w:p>
    <w:p>
      <w:pPr>
        <w:spacing w:after="0" w:line="19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determining the exercise prices for options granted, the Board has considered the fair value of the common stock as of each grant date. The fair value of the common stock underlying the stock options has been determined by the Board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clinical and management team, an evaluation or benchmark of the Company’s competition, the current business climate in the marketplace, the illiquid nature of the common stock, arm’s-length sales of the Company’s capital stock (including convertible preferred stock), the effect of the rights and preferences of the preferred stockholders, and the prospects of a liquidity event, among others.</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grant date fair values of options issued to employees and non-employees were estimated using the Black-Scholes option-pricing model with the following assumptions: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3220" w:type="dxa"/>
            <w:vAlign w:val="bottom"/>
            <w:tcBorders>
              <w:bottom w:val="single" w:sz="8" w:color="CCEEFF"/>
            </w:tcBorders>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2013</w:t>
            </w:r>
          </w:p>
        </w:tc>
        <w:tc>
          <w:tcPr>
            <w:tcW w:w="8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Volatility rate</w:t>
            </w:r>
          </w:p>
        </w:tc>
        <w:tc>
          <w:tcPr>
            <w:tcW w:w="5560" w:type="dxa"/>
            <w:vAlign w:val="bottom"/>
            <w:gridSpan w:val="3"/>
          </w:tcPr>
          <w:p>
            <w:pPr>
              <w:jc w:val="right"/>
              <w:ind w:right="700"/>
              <w:spacing w:after="0"/>
              <w:rPr>
                <w:sz w:val="20"/>
                <w:szCs w:val="20"/>
                <w:color w:val="auto"/>
              </w:rPr>
            </w:pPr>
            <w:r>
              <w:rPr>
                <w:rFonts w:ascii="Arial" w:cs="Arial" w:eastAsia="Arial" w:hAnsi="Arial"/>
                <w:sz w:val="18"/>
                <w:szCs w:val="18"/>
                <w:color w:val="auto"/>
              </w:rPr>
              <w:t>68.42%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70.36%</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5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w:t>
            </w: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560" w:type="dxa"/>
            <w:vAlign w:val="bottom"/>
            <w:gridSpan w:val="3"/>
          </w:tcPr>
          <w:p>
            <w:pPr>
              <w:jc w:val="right"/>
              <w:ind w:right="700"/>
              <w:spacing w:after="0"/>
              <w:rPr>
                <w:sz w:val="20"/>
                <w:szCs w:val="20"/>
                <w:color w:val="auto"/>
              </w:rPr>
            </w:pPr>
            <w:r>
              <w:rPr>
                <w:rFonts w:ascii="Arial" w:cs="Arial" w:eastAsia="Arial" w:hAnsi="Arial"/>
                <w:sz w:val="18"/>
                <w:szCs w:val="18"/>
                <w:color w:val="auto"/>
              </w:rPr>
              <w:t>0.00%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350"/>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560" w:type="dxa"/>
            <w:vAlign w:val="bottom"/>
            <w:gridSpan w:val="3"/>
          </w:tcPr>
          <w:p>
            <w:pPr>
              <w:jc w:val="right"/>
              <w:ind w:right="3780"/>
              <w:spacing w:after="0"/>
              <w:rPr>
                <w:sz w:val="20"/>
                <w:szCs w:val="20"/>
                <w:color w:val="auto"/>
              </w:rPr>
            </w:pPr>
            <w:r>
              <w:rPr>
                <w:rFonts w:ascii="Arial" w:cs="Arial" w:eastAsia="Arial" w:hAnsi="Arial"/>
                <w:sz w:val="18"/>
                <w:szCs w:val="18"/>
                <w:color w:val="auto"/>
              </w:rPr>
              <w:t>F-30</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employee and non-employee option activity under the 2007 Plan is presented below (in thousands,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2"/>
                <w:szCs w:val="1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3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9"/>
              </w:rPr>
              <w:t>Number of</w:t>
            </w:r>
          </w:p>
        </w:tc>
        <w:tc>
          <w:tcPr>
            <w:tcW w:w="11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10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Exercise</w:t>
            </w: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Term</w:t>
            </w:r>
          </w:p>
        </w:tc>
        <w:tc>
          <w:tcPr>
            <w:tcW w:w="26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Outstanding—January 1, 2014</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781,663</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5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Granted</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691,551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8.64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(431,817)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15.90</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020" w:type="dxa"/>
            <w:vAlign w:val="bottom"/>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Outstanding—December 31, 2014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1,038,967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040" w:type="dxa"/>
            <w:vAlign w:val="bottom"/>
            <w:gridSpan w:val="2"/>
          </w:tcPr>
          <w:p>
            <w:pPr>
              <w:spacing w:after="0"/>
              <w:rPr>
                <w:sz w:val="20"/>
                <w:szCs w:val="20"/>
                <w:color w:val="auto"/>
              </w:rPr>
            </w:pPr>
            <w:r>
              <w:rPr>
                <w:rFonts w:ascii="Arial" w:cs="Arial" w:eastAsia="Arial" w:hAnsi="Arial"/>
                <w:sz w:val="18"/>
                <w:szCs w:val="18"/>
                <w:color w:val="auto"/>
              </w:rPr>
              <w:t>Exercisable—December 31, 2014</w:t>
            </w:r>
          </w:p>
        </w:tc>
        <w:tc>
          <w:tcPr>
            <w:tcW w:w="1300" w:type="dxa"/>
            <w:vAlign w:val="bottom"/>
            <w:gridSpan w:val="2"/>
          </w:tcPr>
          <w:p>
            <w:pPr>
              <w:jc w:val="right"/>
              <w:ind w:right="520"/>
              <w:spacing w:after="0"/>
              <w:rPr>
                <w:sz w:val="20"/>
                <w:szCs w:val="20"/>
                <w:color w:val="auto"/>
              </w:rPr>
            </w:pPr>
            <w:r>
              <w:rPr>
                <w:rFonts w:ascii="Arial" w:cs="Arial" w:eastAsia="Arial" w:hAnsi="Arial"/>
                <w:sz w:val="18"/>
                <w:szCs w:val="18"/>
                <w:color w:val="auto"/>
              </w:rPr>
              <w:t>530,843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3.90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0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exercisable, or expected to vest—December 31, 2014</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1,013,573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weighted-average grant date fair value of options granted during the years ended December 31, 2013 and 2014, was $5.90, and $7.14, respectively. The fair value is being expensed over the vesting period of the options (three to four years) on a straight-line basis as the services are being provided. There were 2,430 options exercised for the year ended December 31, 2014, resulting in total proceeds of $6,000. In accordance with the Company’s policy, the shares were issued from a pool of shares reserved for issuance under the 2007 Plan.</w:t>
      </w:r>
    </w:p>
    <w:p>
      <w:pPr>
        <w:spacing w:after="0" w:line="18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May 2013, the Company canceled 8,154 outstanding stock options for eight employees. These options had been granted at exercise prices ranging from $17.22 to $38.13. The cancellation of these awards was accompanied by a concurrent grant of 545,868 replacement stock options issued with an exercise price of $2.46 per share and was accounted for as a modification. The incremental compensation cost was measured as the excess of the fair value of the modified grants determined over the fair value of the original award immediately before modification. The fair value of common stock used to calculate the incremental compensation cost was $6.15 per share. The unrecognized compensation cost related to the canceled awards and the incremental compensation cost arising from this modification totaled $2.8 million. The awards were measured based on the fair value share price and the Black-Scholes option-pricing model assumptions at the modification date. Compensation expense of $0.7 million was recognized immediately for the portion of the expense that related to options that were vested on the grant date. The balance of the unrecognized compensation and incremental compensation of $2.1 million will be recognized over the remaining vesting period for the respective replacement awards.</w:t>
      </w:r>
    </w:p>
    <w:p>
      <w:pPr>
        <w:spacing w:after="0" w:line="18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2014, pursuant to an option exchange program, the Company canceled 331,857 outstanding stock options for 15 employees and directors and 3 consultants. These options had been granted at exercise prices ranging from $12.30 to $38.13. The cancellation of these awards was accompanied by a concurrent grant of 331,857 replacement stock options issued with an exercise price of $5.05 per share and accounted for as a stock award modification. The incremental compensation cost was measured as the excess of the fair value of the modified grants determined over the fair value of the original award immediately before modification. The fair value of common stock used to calculate the incremental compensation cost was $5.05 per share. The unrecognized compensation cost related to the canceled awards and the incremental compensation cost arising from this modification totaled $2.1 million. The canceled and replacement awards were measured based on the fair value share price and the Black-Scholes option-pricing model assumptions at the modification date.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Compensation expense of $0.5 million was recognized immediately for the portion of the expense that related to options that were vested on the grant date. The balance of the unrecognized compensation and incremental compensation of $1.6 million will be recognized over the remaining vesting period for the respective replacement awards.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Company’s deferred tax are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 (liabilities):</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10,326</w:t>
            </w:r>
          </w:p>
        </w:tc>
        <w:tc>
          <w:tcPr>
            <w:tcW w:w="34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12,461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Capitalized start-up and research and development costs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25,242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(5,477)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(6,936)</w:t>
            </w: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Accruals</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temporary differences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00" w:type="dxa"/>
            <w:vAlign w:val="bottom"/>
            <w:shd w:val="clear" w:color="auto" w:fill="CCEEFF"/>
          </w:tcPr>
          <w:p>
            <w:pPr>
              <w:spacing w:after="0"/>
              <w:rPr>
                <w:sz w:val="18"/>
                <w:szCs w:val="18"/>
                <w:color w:val="auto"/>
              </w:rPr>
            </w:pPr>
          </w:p>
        </w:tc>
      </w:tr>
      <w:tr>
        <w:trPr>
          <w:trHeight w:val="291"/>
        </w:trPr>
        <w:tc>
          <w:tcPr>
            <w:tcW w:w="20" w:type="dxa"/>
            <w:vAlign w:val="bottom"/>
          </w:tcPr>
          <w:p>
            <w:pPr>
              <w:spacing w:after="0"/>
              <w:rPr>
                <w:sz w:val="24"/>
                <w:szCs w:val="24"/>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Deferred tax assets before valuation allowance</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32,058</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40,775</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(32,058)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(40,775)</w:t>
            </w:r>
          </w:p>
        </w:tc>
      </w:tr>
      <w:tr>
        <w:trPr>
          <w:trHeight w:val="20"/>
        </w:trPr>
        <w:tc>
          <w:tcPr>
            <w:tcW w:w="74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74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 has provided a valuation allowance for the full amount of the net deferred tax assets as the realization of the deferred tax assets is not determined to be more likely than not. The valuation allowance increased by $3.5 million and $8.7 million in 2013 and 2014, respectively, due to the increase in deferred tax assets, primarily due to net operating loss carryforwards and capitalized research and development costs.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2014, the Company had approximately $32.7 million and $24.5 million in federal and state net operating losses, respectively, which expire at various dates from 2015 through 2034. As of December 31, 2014, the Company had federal and state research credits of $0.9 million and $0.6 million, respectively, which begin to expire in 2020.</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w:t>
      </w:r>
    </w:p>
    <w:p>
      <w:pPr>
        <w:spacing w:after="0" w:line="18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As of December 31, 2013 and 2014, the Company had uncertain tax positions of $0.7 million and $0.2 million, respectively, related to capitalized research and development costs and research and development credits, which reduce the deferred tax assets with a corresponding decrease to the valuation allowance.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 has elected to recognize interest and penalties related to income tax matters as a component of income tax expense, of which no interest or penalties were recorded for the years ended December 31, 2013 and 2014. The Company expects none of the unrecognized tax benefits to decrease within the next</w:t>
      </w:r>
    </w:p>
    <w:p>
      <w:pPr>
        <w:ind w:right="160"/>
        <w:spacing w:after="0" w:line="261" w:lineRule="auto"/>
        <w:rPr>
          <w:sz w:val="20"/>
          <w:szCs w:val="20"/>
          <w:color w:val="auto"/>
        </w:rPr>
      </w:pPr>
      <w:r>
        <w:rPr>
          <w:rFonts w:ascii="Arial" w:cs="Arial" w:eastAsia="Arial" w:hAnsi="Arial"/>
          <w:sz w:val="18"/>
          <w:szCs w:val="18"/>
          <w:color w:val="auto"/>
        </w:rPr>
        <w:t>12 months related to expired statutes or settlement with the taxing authorities. Due to the Company’s valuation allowance as of December 31, 2014, none of the Company’s unrecognized tax benefits, if recognized, would affect the effective tax rate.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Company’s unrecognized tax benefits is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benefit—beginning of year</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Decreases related to prior period positions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2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benefit—end of year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files tax returns in the United States, Massachusetts, California, and Florida.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spacing w:after="0" w:line="291" w:lineRule="exact"/>
        <w:rPr>
          <w:sz w:val="20"/>
          <w:szCs w:val="20"/>
          <w:color w:val="auto"/>
        </w:rPr>
      </w:pPr>
    </w:p>
    <w:p>
      <w:pPr>
        <w:ind w:left="460" w:right="9440" w:hanging="452"/>
        <w:spacing w:after="0" w:line="453" w:lineRule="auto"/>
        <w:tabs>
          <w:tab w:leader="none" w:pos="274"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w:t>
      </w:r>
      <w:r>
        <w:rPr>
          <w:rFonts w:ascii="Arial" w:cs="Arial" w:eastAsia="Arial" w:hAnsi="Arial"/>
          <w:sz w:val="15"/>
          <w:szCs w:val="15"/>
          <w:b w:val="1"/>
          <w:bCs w:val="1"/>
          <w:i w:val="1"/>
          <w:iCs w:val="1"/>
          <w:color w:val="auto"/>
        </w:rPr>
        <w:t>License Agreements</w:t>
      </w:r>
    </w:p>
    <w:p>
      <w:pPr>
        <w:spacing w:after="0" w:line="1"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NovaMedica – In August 2013, in connection with the third tranche of its Series B-1 financing, the Company entered into a Technology Transfer Agreement (the “Tech Transfer Agreement”) with Domain Russia Investments Limited (“DRI”). Pursuant to the Tech Transfer Agreement, in exchange for nominal payment, the Company assigned to DRI certain patent applications and granted to DRI a license to develop and commercialize entinostat in certain Eastern European countries (the “Covered Territory”). The Company concurrently entered into a sublicense agreement with DRI (the “DRI Sublicense”) and a sublicense agreement (the “NovaMedica Sublicense”) with NovaMedica LLC (“NovaMedica”), which is jointly owned by Rusnano Medinvest LLC and DRI. Pursuant to the DRI Sublicense, the Company granted to DRI an exclusive sublicense to develop, manufacture and commercialize entinostat in the Russian Federation. Pursuant to the NovaMedica Sublicense, the Company granted to NovaMedica an exclusive sublicense to develop, manufacture and commercialize entinostat in the rest of the Covered Territory. Immediately thereafter, the Company, DRI and NovaMedica executed an assignment and assumption agreement, pursuant to which the assigned patents and all of DRI’s rights and obligations under the Tech Transfer Agreement and the DRI Sublicense were transferred to NovaMedica. Under the Tech Transfer Agreement, in certain cases, the Company is required to assist NovaMedica, and NovaMedica is required to reimburse the Company for any out-of-pocket expenses incurred in providing this assistance, including travel-related expenses.</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Eddingpharm – In April 2013, the Company entered into a License and Development Agreement (the “Eddingpharm License Agreement”) and a Series B-1 purchase agreement (the “Eddingpharm Purchase Agreement”) with Eddingpharm International Company Limited (“Eddingpharm”). Under the terms of the Eddingpharm License Agreement, Eddingpharm, in exchange for rights to develop and commercialize entinostat in China and certain other Asian countries, purchased $5.0 million of Series B-1 and agreed to make certain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56"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In December 2013, the Company entered into a 40-month lease for office space in Waltham, Massachusetts. The Company also leases office equipment, which is accounted for as a capital lease. The leased assets are included in property and equipment at cost.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annual minimum payments as of December 31, 2014, are as follows (in thousands):</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500" w:type="dxa"/>
            <w:vAlign w:val="bottom"/>
            <w:gridSpan w:val="3"/>
            <w:vMerge w:val="restart"/>
          </w:tcPr>
          <w:p>
            <w:pPr>
              <w:ind w:left="1860"/>
              <w:spacing w:after="0"/>
              <w:rPr>
                <w:sz w:val="20"/>
                <w:szCs w:val="20"/>
                <w:color w:val="auto"/>
              </w:rPr>
            </w:pPr>
            <w:r>
              <w:rPr>
                <w:rFonts w:ascii="Arial" w:cs="Arial" w:eastAsia="Arial" w:hAnsi="Arial"/>
                <w:sz w:val="14"/>
                <w:szCs w:val="14"/>
                <w:b w:val="1"/>
                <w:bCs w:val="1"/>
                <w:color w:val="auto"/>
                <w:w w:val="93"/>
              </w:rPr>
              <w:t>Operating</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250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Lease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3"/>
              <w:spacing w:after="0"/>
              <w:rPr>
                <w:sz w:val="20"/>
                <w:szCs w:val="20"/>
                <w:color w:val="auto"/>
              </w:rPr>
            </w:pPr>
            <w:r>
              <w:rPr>
                <w:rFonts w:ascii="Arial" w:cs="Arial" w:eastAsia="Arial" w:hAnsi="Arial"/>
                <w:sz w:val="14"/>
                <w:szCs w:val="14"/>
                <w:b w:val="1"/>
                <w:bCs w:val="1"/>
                <w:color w:val="auto"/>
                <w:w w:val="84"/>
              </w:rPr>
              <w:t>Leases</w:t>
            </w:r>
          </w:p>
        </w:tc>
        <w:tc>
          <w:tcPr>
            <w:tcW w:w="8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 the years ended December 31,</w:t>
            </w:r>
          </w:p>
        </w:tc>
        <w:tc>
          <w:tcPr>
            <w:tcW w:w="1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2015</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118</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2016</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2017</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2018</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minimum lease payments</w:t>
            </w:r>
          </w:p>
        </w:tc>
        <w:tc>
          <w:tcPr>
            <w:tcW w:w="1960" w:type="dxa"/>
            <w:vAlign w:val="bottom"/>
            <w:gridSpan w:val="2"/>
          </w:tcPr>
          <w:p>
            <w:pPr>
              <w:ind w:left="18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272</w:t>
            </w: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55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amounts representing interest</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Present value of net minimum lease payments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gridSpan w:val="2"/>
          </w:tcPr>
          <w:p>
            <w:pPr>
              <w:ind w:left="8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Rent expense for operating leases is calculated on a straight-line basis and amounted to $0.1 million for the years ended December 31, 2013 and 2014.</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has a Section 401(k) defined contribution savings plan for its employees. The plan covers substantially all employees who meet minimum age and service requirements and allows participants to defer a portion of their annual compensation on a pretax basis, subject to legal limitations. Company contributions to the plan may be made at the discretion of the Board. For the two years ended December 31, 2014, the Company had made no contributions to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121"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As of December 31, 2013 and 2014, an aggregate of $0 and $5.0 million, respectively, of principal outstanding under the convertible notes and $0 and $0.1 million, respectively, of related accrued interest were held by stockholders of the Company. Interest expense related to the convertible notes held by these stockholders was $0.3 million and $0.1 million for the years ended December 31, 2013 and 2014,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has evaluated subsequent events for financial statement purposes occurring through the date that these consolidated financial statements were issued, and determined that no additional subsequent events had occurred that would require recognition in these consolidated financial statements and that all subsequent events that require disclosure have been disclosed.</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20"/>
          </w:cols>
          <w:pgMar w:left="240" w:top="460" w:right="3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SYNDAX PHARMACEUTICALS,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52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10,009</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38,670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Short-term deposits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8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12,444</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46,226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12,816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768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1,449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2,951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notes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3,543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Current portion of deferred revenue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76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less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Common stock warrant liability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 less current portion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16,050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23,310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8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18,532</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30,510</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(Note 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146,853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205,588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convertible preferred stock, $0.001 par value, 4,390,243 shares authorized at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1"/>
              </w:rPr>
              <w:t>December 31, 2014 and June 30, 2015; 875,545 shares issued and outstanding at December 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2014 and June 30, 2015; and none issued or outstanding pro forma (unaudited)</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7,231</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ind w:left="340"/>
              <w:spacing w:after="0" w:line="201" w:lineRule="exact"/>
              <w:rPr>
                <w:sz w:val="20"/>
                <w:szCs w:val="20"/>
                <w:color w:val="auto"/>
              </w:rPr>
            </w:pPr>
            <w:r>
              <w:rPr>
                <w:rFonts w:ascii="Arial" w:cs="Arial" w:eastAsia="Arial" w:hAnsi="Arial"/>
                <w:sz w:val="18"/>
                <w:szCs w:val="18"/>
                <w:color w:val="auto"/>
                <w:w w:val="92"/>
              </w:rPr>
              <w:t>Common stock, $0.0001 par value, 12,000,000 and 18,000,000 shares authorized at December 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w w:val="96"/>
              </w:rPr>
              <w:t>2014 and June 30, 2015; 73,152 and 78,113 shares issued and outstanding at December 31,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2014 and June 30, 2015; 100,000,000 shares authorized; 10,696,480 shares issued and</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outstanding, pro forma (unaudited)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213,990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(159,801)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(196,775)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(196,775)</w:t>
            </w:r>
          </w:p>
        </w:tc>
        <w:tc>
          <w:tcPr>
            <w:tcW w:w="0" w:type="dxa"/>
            <w:vAlign w:val="bottom"/>
          </w:tcPr>
          <w:p>
            <w:pPr>
              <w:spacing w:after="0"/>
              <w:rPr>
                <w:sz w:val="1"/>
                <w:szCs w:val="1"/>
                <w:color w:val="auto"/>
              </w:rPr>
            </w:pPr>
          </w:p>
        </w:tc>
      </w:tr>
      <w:tr>
        <w:trPr>
          <w:trHeight w:val="20"/>
        </w:trPr>
        <w:tc>
          <w:tcPr>
            <w:tcW w:w="7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68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(152,569)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(189,551)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12,816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46,547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License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3,296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10,307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(10,307)</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common stock warrant liability</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(8,508)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Unrealized losses on marketable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92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92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(11,746)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(162.45)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(519.40)</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w w:val="96"/>
              </w:rPr>
              <w:t>Weighted-average number of common shares used to compute net loss per share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72,306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73,951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9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Pro forma weighted-average common shares used to compute pro forma net loss per share attributable to common</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928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tcPr>
          <w:p>
            <w:pPr>
              <w:ind w:left="160"/>
              <w:spacing w:after="0"/>
              <w:rPr>
                <w:sz w:val="20"/>
                <w:szCs w:val="20"/>
                <w:color w:val="auto"/>
              </w:rPr>
            </w:pPr>
            <w:r>
              <w:rPr>
                <w:rFonts w:ascii="Arial" w:cs="Arial" w:eastAsia="Arial" w:hAnsi="Arial"/>
                <w:sz w:val="18"/>
                <w:szCs w:val="18"/>
                <w:color w:val="auto"/>
              </w:rPr>
              <w:t>stockholders—basic and diluted</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9,263,351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p>
      <w:pPr>
        <w:jc w:val="center"/>
        <w:ind w:left="9500"/>
        <w:spacing w:after="0"/>
        <w:rPr>
          <w:sz w:val="20"/>
          <w:szCs w:val="20"/>
          <w:color w:val="auto"/>
        </w:rPr>
      </w:pPr>
      <w:r>
        <w:rPr>
          <w:rFonts w:ascii="Arial" w:cs="Arial" w:eastAsia="Arial" w:hAnsi="Arial"/>
          <w:sz w:val="14"/>
          <w:szCs w:val="14"/>
          <w:b w:val="1"/>
          <w:bCs w:val="1"/>
          <w:color w:val="auto"/>
        </w:rPr>
        <w:t>Six Months Ended</w:t>
      </w:r>
    </w:p>
    <w:p>
      <w:pPr>
        <w:jc w:val="center"/>
        <w:ind w:left="950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(8,508)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and accretion</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963</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 in fair value of derivative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Change in fair value of warrants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(1,794)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700"/>
              <w:spacing w:after="0"/>
              <w:rPr>
                <w:sz w:val="20"/>
                <w:szCs w:val="20"/>
                <w:color w:val="auto"/>
              </w:rPr>
            </w:pPr>
            <w:r>
              <w:rPr>
                <w:rFonts w:ascii="Arial" w:cs="Arial" w:eastAsia="Arial" w:hAnsi="Arial"/>
                <w:sz w:val="18"/>
                <w:szCs w:val="18"/>
                <w:color w:val="auto"/>
              </w:rPr>
              <w:t>Deposits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assets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Deferred revenue</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1,311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cash (used in) provided by operating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(8,316)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91"/>
        </w:trPr>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(1,298)</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and maturities of short-term investments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240" w:type="dxa"/>
            <w:vAlign w:val="bottom"/>
          </w:tcPr>
          <w:p>
            <w:pPr>
              <w:ind w:left="1420"/>
              <w:spacing w:after="0"/>
              <w:rPr>
                <w:sz w:val="20"/>
                <w:szCs w:val="20"/>
                <w:color w:val="auto"/>
              </w:rPr>
            </w:pPr>
            <w:r>
              <w:rPr>
                <w:rFonts w:ascii="Arial" w:cs="Arial" w:eastAsia="Arial" w:hAnsi="Arial"/>
                <w:sz w:val="18"/>
                <w:szCs w:val="18"/>
                <w:color w:val="auto"/>
              </w:rPr>
              <w:t>Net cash provided by (used in) investing activities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3,988</w:t>
            </w:r>
          </w:p>
        </w:tc>
        <w:tc>
          <w:tcPr>
            <w:tcW w:w="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(36,698)</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Principal payments on capital lease obligation</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preferred stock, net</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issuance costs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(1,101)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8240" w:type="dxa"/>
            <w:vAlign w:val="bottom"/>
          </w:tcPr>
          <w:p>
            <w:pPr>
              <w:ind w:left="1060"/>
              <w:spacing w:after="0"/>
              <w:rPr>
                <w:sz w:val="20"/>
                <w:szCs w:val="20"/>
                <w:color w:val="auto"/>
              </w:rPr>
            </w:pPr>
            <w:r>
              <w:rPr>
                <w:rFonts w:ascii="Arial" w:cs="Arial" w:eastAsia="Arial" w:hAnsi="Arial"/>
                <w:sz w:val="18"/>
                <w:szCs w:val="18"/>
                <w:color w:val="auto"/>
              </w:rPr>
              <w:t>Net cash (used in) provided by financing activities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(1,096)</w:t>
            </w: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26,389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(5,424)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CASH AND CASH EQUIVALENTS—beginning of period</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10,104</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10,009</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EQUIVALENTS—end of period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4,680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2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Accretion of dividends on convertible preferred stock</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3,238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notes and accrued interest into Series C-1 convertible preferred stock</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Issuance costs included in accounts payable and accrued expenses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 and Summary of Significant Accounting Policies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Nature of Business </w:t>
      </w:r>
      <w:r>
        <w:rPr>
          <w:rFonts w:ascii="Arial" w:cs="Arial" w:eastAsia="Arial" w:hAnsi="Arial"/>
          <w:sz w:val="18"/>
          <w:szCs w:val="18"/>
          <w:color w:val="auto"/>
        </w:rPr>
        <w:t>– Syndax Pharmaceuticals, Inc. (the “Company”) is a clinical stage biopharmaceutical company developing entinostat as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therapy in multiple cancer indications with an initial focus on tumors that have shown sensitivity to immunotherapy, including lung cancer, melanoma and triple negative breast cancer. The Company was incorporated under the laws of the State of Delaware on October 11, 2005 (date of inception) and is headquartered in Waltham, Massachusetts.</w:t>
      </w:r>
    </w:p>
    <w:p>
      <w:pPr>
        <w:spacing w:after="0" w:line="180"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balance sheet as of June 30, 2015, statements of operations and comprehensive loss and</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statements of cash flows for the six months ended June 30, 2014 and 2015 are unaudited. The interim unaudited condensed financial statements have been prepared on the same basis as the annual audited financial statements; and in the opinion of management, reflect all adjustments, which include only normal recurring adjustments, necessary for the fair statement of the Company’s financial position as of June 30, 2015 and the results of operations, comprehensive loss, and cash flows for the six months ended June 30, 2014 and 2015. The financial data and other information disclosed in these notes as of June 30, 2014 and 2015 are unaudited. The results for the six months ended June 30, 2015 are not necessarily indicative of the results to be expected for the year ending December 31, 2015, any other interim periods, or any future year or period.</w:t>
      </w:r>
    </w:p>
    <w:p>
      <w:pPr>
        <w:spacing w:after="0" w:line="172"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Management’s Plans </w:t>
      </w:r>
      <w:r>
        <w:rPr>
          <w:rFonts w:ascii="Arial" w:cs="Arial" w:eastAsia="Arial" w:hAnsi="Arial"/>
          <w:sz w:val="18"/>
          <w:szCs w:val="18"/>
          <w:color w:val="auto"/>
        </w:rPr>
        <w:t>– Since its inception, the Company has devoted its efforts principally to research and development and raising capital.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is subject to risks common to companies in the development stage, including, but not limited to, successful development of therapeutics, obtaining additional funding, protection of proprietary therapeutics, compliance with government regulations, fluctuations in operating results, dependence on key personnel and collaborative partners, and risks associated with industry changes. The Company has financed its operations to date primarily with the proceeds from the sale of convertible preferred stock and the issuance of notes payable.</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The Company’s long-term success is dependent upon its ability to successfully develop and market entinostat, earn revenue, obtain additional capital when needed, and ultimately, achieve profitable operations. The Company anticipates that it will be several years before entinostat is approved and the Company begins to generate revenue from sales of entinostat; accordingly, management fully expects to incur substantial losses on the ongoing development of entinostat and does not expect to achieve positive cash flow from operations for the foreseeable future. As a result, the Company will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Company’s management believes that the June 30, 2015, cash and short-term investments balances together with the $61.3 million from the August 2015 Series C-1 financing should enable the Company to maintain its current and essential planned operations for at least the next 12 months. The Company’s ability to fund all of its planned operations internally beyond that date, including the completion of its ongoing and planned clinical trial activities may be substantially dependent upon whether the Company can obtain sufficient funding at terms acceptable to the Company. Proceeds from additional capital transactions would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general and administrative activities.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3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 xml:space="preserve">Principles of Consolidation </w:t>
      </w:r>
      <w:r>
        <w:rPr>
          <w:rFonts w:ascii="Arial" w:cs="Arial" w:eastAsia="Arial" w:hAnsi="Arial"/>
          <w:sz w:val="17"/>
          <w:szCs w:val="17"/>
          <w:color w:val="auto"/>
        </w:rPr>
        <w:t>– In 2012, the Company established a wholly owned subsidiary in the United Kingdom. There have been no activities for</w:t>
      </w:r>
      <w:r>
        <w:rPr>
          <w:rFonts w:ascii="Arial" w:cs="Arial" w:eastAsia="Arial" w:hAnsi="Arial"/>
          <w:sz w:val="17"/>
          <w:szCs w:val="17"/>
          <w:b w:val="1"/>
          <w:bCs w:val="1"/>
          <w:color w:val="auto"/>
        </w:rPr>
        <w:t xml:space="preserve"> </w:t>
      </w:r>
      <w:r>
        <w:rPr>
          <w:rFonts w:ascii="Arial" w:cs="Arial" w:eastAsia="Arial" w:hAnsi="Arial"/>
          <w:sz w:val="17"/>
          <w:szCs w:val="17"/>
          <w:color w:val="auto"/>
        </w:rPr>
        <w:t>this entity to date. In 2014, the Company established Syndax Securities Corporation. The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Unaudited Pro Forma Information </w:t>
      </w:r>
      <w:r>
        <w:rPr>
          <w:rFonts w:ascii="Arial" w:cs="Arial" w:eastAsia="Arial" w:hAnsi="Arial"/>
          <w:sz w:val="18"/>
          <w:szCs w:val="18"/>
          <w:color w:val="auto"/>
        </w:rPr>
        <w:t>– The unaudited pro forma consolidated balance sheet information as of June 30, 2015, reflects (i) the conversion</w:t>
      </w:r>
      <w:r>
        <w:rPr>
          <w:rFonts w:ascii="Arial" w:cs="Arial" w:eastAsia="Arial" w:hAnsi="Arial"/>
          <w:sz w:val="18"/>
          <w:szCs w:val="18"/>
          <w:b w:val="1"/>
          <w:bCs w:val="1"/>
          <w:color w:val="auto"/>
        </w:rPr>
        <w:t xml:space="preserve"> </w:t>
      </w:r>
      <w:r>
        <w:rPr>
          <w:rFonts w:ascii="Arial" w:cs="Arial" w:eastAsia="Arial" w:hAnsi="Arial"/>
          <w:sz w:val="18"/>
          <w:szCs w:val="18"/>
          <w:color w:val="auto"/>
        </w:rPr>
        <w:t>of 875,545 shares of Series A convertible preferred stock (“Series A”) into 175,107 shares of common stock and (ii) the conversion of an aggregate of shares of Series A-1 convertible preferred stock (“Series A-1”), Series B convertible preferred stock (“Series B”), Series B-1 convertible preferred stock (“Series B-1”) and Series C-1 convertible preferred stock (“Series C-1”) into 10,443,260 shares of common stock, which along with the 78,113 shares of outstanding common stock will reflect an aggregate total of 10,696,480 shares of common stock immediately prior to the closing of the proposed initial public offering (“IPO”).</w:t>
      </w:r>
    </w:p>
    <w:p>
      <w:pPr>
        <w:spacing w:after="0" w:line="18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 The preparation of condensed consolidated financial statements in conformity with accounting principles generally accepted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United States of America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8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 Operating segments are identified as components of an enterprise about which separate discrete financial information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for evaluation by the chief operating decision maker in making decisions regarding resource allocation and assessing performance. The Company has one operating segment.</w:t>
      </w:r>
    </w:p>
    <w:p>
      <w:pPr>
        <w:spacing w:after="0" w:line="17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color w:val="auto"/>
        </w:rPr>
        <w:t>– The Company’s significant accounting policies are disclosed in the audited consolidated financial statements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December 31, 2014, included elsewhere in this prospectus. Since the date of those financial statements, there have been no changes to our significant accounting policies.</w:t>
      </w:r>
    </w:p>
    <w:p>
      <w:pPr>
        <w:spacing w:after="0" w:line="17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Recently Issued Accounting Pronouncements </w:t>
      </w:r>
      <w:r>
        <w:rPr>
          <w:rFonts w:ascii="Arial" w:cs="Arial" w:eastAsia="Arial" w:hAnsi="Arial"/>
          <w:sz w:val="16"/>
          <w:szCs w:val="16"/>
          <w:color w:val="auto"/>
        </w:rPr>
        <w:t>– In April 2015, the Financial Accounting Standards Board (“FASB”) issued Accounting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Update (“ASU”)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 This standard amends existing guidance to require the presentation of debt issuance costs in the balance sheet as a deduction from the carrying amount of the related debt liability rather than as a deferred charge. It is effective for annual reporting periods beginning after December 15, 2015, but early adoption is permitted. As of June 30, 2015, the Company had $0.3 million of debt issuance costs in other assets in the condensed consolidated balance sheets that would be subject to the reclassification.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per Share Attributable to Common Stockholders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Basic net loss attributable to common stockholders per share is computed by dividing the net loss attributable to common stockholders by the weighted-average number of common shares outstanding for the period. Because the Company has reported a net loss for the six months ended June 30, 2014 and 2015, diluted net loss per common share is the same as basic net loss per common share for those periods.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summarizes the computation of basic and diluted net loss per share attributable to common stockholders of the Company (in thousands, except per share data):</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Numerator—basic and diluted:</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(8,508)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(23,607)</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(11,746)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(38,410)</w:t>
            </w:r>
          </w:p>
        </w:tc>
        <w:tc>
          <w:tcPr>
            <w:tcW w:w="0" w:type="dxa"/>
            <w:vAlign w:val="bottom"/>
          </w:tcPr>
          <w:p>
            <w:pPr>
              <w:spacing w:after="0"/>
              <w:rPr>
                <w:sz w:val="1"/>
                <w:szCs w:val="1"/>
                <w:color w:val="auto"/>
              </w:rPr>
            </w:pPr>
          </w:p>
        </w:tc>
      </w:tr>
      <w:tr>
        <w:trPr>
          <w:trHeight w:val="20"/>
        </w:trPr>
        <w:tc>
          <w:tcPr>
            <w:tcW w:w="6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96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(162.45)</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69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Denominator—basic and diluted:</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6"/>
              </w:rPr>
              <w:t>Weighted-average common shares used to compute net loss per share—basic and diluted</w:t>
            </w:r>
          </w:p>
        </w:tc>
        <w:tc>
          <w:tcPr>
            <w:tcW w:w="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140" w:type="dxa"/>
            <w:vAlign w:val="bottom"/>
            <w:gridSpan w:val="4"/>
          </w:tcPr>
          <w:p>
            <w:pPr>
              <w:ind w:left="76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75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7,807,593</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10,618,367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923,874</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2,234,519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156,825</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230,323</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unaudited pro forma basic and diluted loss per share attributable to common stockholders for the six months ended June 30, 2015, has been computed using the weighted-average number of shares of common stock outstanding after giving pro forma effect to (i) the automatic conversion of all shares of convertible preferred stock into shares of common stock and ii) the conversion of convertible notes into shares of convertible preferred stock and then converted into shares of common stock as if such conversions had occurred at the beginning of the period presented or the date of original issuance, if later. Upon conversion of the convertible preferred stock into common stock in the event of an IPO, the holders on the convertible preferred stock are not entitled to receive undeclared dividends. Accordingly, the impact of the accretion of accrued but unpaid dividends has been excluded from the determination of net loss attributable to common stockholders as the holders of the convertible preferred stock are not entitled to receive accrued but unpaid dividends upon such conversion. The impact of recording accretion to redemption value during six months ended June 30, 2015 has also been excluded from the determination of net loss applicable to common stockholders, assuming the conversion occurred on the date of issuance. The interest expense associated with the convertible debt prior to conversion has been excluded from the determination of net loss attributable to common stockholders as this expense would not have occurred if the notes had converted at the beginning of the period presented. The gains and losses associated with the changes in the fair value of the common stock warrant have been excluded from the determination of net loss attributable to common stockholders for the six months ended June 30, 2015, as these re-measurements would not have occurred if the common stock warrant converted at the beginning of the period presented.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60" w:right="2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Unaudited pro forma basic and diluted loss per share attributable to common stockholders are computed as follows (in thousands, except share and per share data):</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40" w:type="dxa"/>
            <w:vAlign w:val="bottom"/>
            <w:gridSpan w:val="4"/>
          </w:tcPr>
          <w:p>
            <w:pPr>
              <w:ind w:lef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Numerator—basic and diluted:</w:t>
            </w: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preferred stock dividends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Accretion of convertible preferred stock to redemption value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convertible notes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Change in fair value of common stock warrant liability</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attributable to common stockholders—basic and diluted</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Denominator—basic and diluted:</w:t>
            </w: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86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outstanding—basic and diluted</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40" w:type="dxa"/>
            <w:vAlign w:val="bottom"/>
          </w:tcPr>
          <w:p>
            <w:pPr>
              <w:spacing w:after="0" w:line="201" w:lineRule="exact"/>
              <w:rPr>
                <w:sz w:val="20"/>
                <w:szCs w:val="20"/>
                <w:color w:val="auto"/>
              </w:rPr>
            </w:pPr>
            <w:r>
              <w:rPr>
                <w:rFonts w:ascii="Arial" w:cs="Arial" w:eastAsia="Arial" w:hAnsi="Arial"/>
                <w:sz w:val="18"/>
                <w:szCs w:val="18"/>
                <w:color w:val="auto"/>
              </w:rPr>
              <w:t>Adjustment for assumed effect of conversion of convertible notes and related accrued interest into</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390,970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assumed effect of conversion of convertible preferred stock</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8,798,430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860" w:type="dxa"/>
            <w:vAlign w:val="bottom"/>
            <w:gridSpan w:val="2"/>
          </w:tcPr>
          <w:p>
            <w:pPr>
              <w:spacing w:after="0"/>
              <w:rPr>
                <w:sz w:val="20"/>
                <w:szCs w:val="20"/>
                <w:color w:val="auto"/>
              </w:rPr>
            </w:pPr>
            <w:r>
              <w:rPr>
                <w:rFonts w:ascii="Arial" w:cs="Arial" w:eastAsia="Arial" w:hAnsi="Arial"/>
                <w:sz w:val="18"/>
                <w:szCs w:val="18"/>
                <w:color w:val="auto"/>
                <w:w w:val="96"/>
              </w:rPr>
              <w:t>Pro forma weighted-average number of common shares used to compute pro forma net loss per share</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9,263,351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7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share—basic and diluted</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Significant Agreements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Kyowa Hakko Kirin Co., Ltd. </w:t>
      </w:r>
      <w:r>
        <w:rPr>
          <w:rFonts w:ascii="Arial" w:cs="Arial" w:eastAsia="Arial" w:hAnsi="Arial"/>
          <w:sz w:val="17"/>
          <w:szCs w:val="17"/>
          <w:color w:val="auto"/>
        </w:rPr>
        <w:t>– On December 19, 2014, (the “Effective Date”) the Company entered into a license agreement (the “KHK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with Kyowa Hakko Kirin Co., Ltd. (“KHK”), under which the Company granted an exclusive license to develop and commercialize entinostat in Japan and Korea. Under the terms of the KHK License Agreement, the Company is responsible for the manufacture and supply of the products during the development activities. In addition to the license and manufacturing obligations, the Company is obligated to provide KHK access to know-how and regulatory information the Company may develop over the life of the entinostat patent. Lastly, to the extent additional intellectual property is developed during the term of the agreement, KHK is entitled to receive the right to the intellectual property when and if available. KHK will conduct the development, regulatory approval filings, and commercialization activities of entinostat in Japan and Korea. KHK paid $25.0 million upfront, which included a $7.5 million equity investment of 670,062 shares of Series B-1 convertible preferred stock and a $17.5 million non-refundable payment. In addition, to the extent certain development and commercial milestones are achieved, KHK will pay the Company up to $75.0 million in milestone payments over the term of the license agreement. The term of the agreement commenced on the Effective Date and, unless earlier terminated in accordance with the terms of the agreement, will continue on a country-by-country and product-by-product basis, until the later of: (i) the date all valid claims of the last effective patent among the Company’s patents expires or is abandoned, withheld, or is otherwise invalidated in such country; and (ii) 15 years from the date of the first commercial sale of a product in the Japan or Korea.</w:t>
      </w:r>
    </w:p>
    <w:p>
      <w:pPr>
        <w:spacing w:after="0" w:line="18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purchase of the Series B-1 and the up-front payment of the license fee were accounted for separately. The Company allocated the amount of consideration related to Series B-1 equal to the fair value of the Series B-1</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on the effective date of the KHK License Agreement based on a share price of $11.51 per share, which resulted in $7.7 million of proceeds allocated to the Series B-1 and the remaining consideration of $17.3 million allocated to the up-front license fee. The fair value of the Series B-1 of $11.51 per share was based on the results of a contemporaneous valuation. The Company received $7.5 million and issued the Series B-1 in January 2015 and received the remaining $17.5 million in February 2015. On the date of issuance, the Company recorded accretion of $5.4 million to record the Series B-1 at its redemption value.</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Company has concluded that this agreement is within the scope of ASC 605-25, </w:t>
      </w:r>
      <w:r>
        <w:rPr>
          <w:rFonts w:ascii="Arial" w:cs="Arial" w:eastAsia="Arial" w:hAnsi="Arial"/>
          <w:sz w:val="17"/>
          <w:szCs w:val="17"/>
          <w:i w:val="1"/>
          <w:iCs w:val="1"/>
          <w:color w:val="auto"/>
        </w:rPr>
        <w:t>Revenue Recognition, Multiple-Element Arrangements</w:t>
      </w:r>
      <w:r>
        <w:rPr>
          <w:rFonts w:ascii="Arial" w:cs="Arial" w:eastAsia="Arial" w:hAnsi="Arial"/>
          <w:sz w:val="17"/>
          <w:szCs w:val="17"/>
          <w:color w:val="auto"/>
        </w:rPr>
        <w:t>. Pursuant to this guidance, the Company identified the following deliverables: (i) licenses; (ii) clinical supply and manufacturing obligations; (iii) rights to access and use materials and data; and (iv) rights to additional intellectual property. All other potential deliverables included in the arrangement have been deemed either contingent or inconsequential or perfunctory, individually and in the aggregate. Moreover, the Company has evaluated all deliverables included in the KHK License Agreement and determined that there are two units of accounting in connection with its obligations at inception under the KHK License Agreement: (i) license unit of accounting; and (ii) rights to additional intellectual property. The first three deliverables identified above comprise the license unit of accounting. The Company concluded that the standalone selling price for the rights to additional intellectual property unit of account is immaterial. As such, the entire $17.3 million allocated to the upfront payment will be allocated to the license unit of accounting. The arrangement consideration allocated to the license unit of accounting will be recognized as revenue ratably over the Company’s expected services period (currently expected to be through 2029) commencing on the date of the first delivery of the clinical trial materials.</w:t>
      </w:r>
    </w:p>
    <w:p>
      <w:pPr>
        <w:spacing w:after="0" w:line="17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June 2015 the Company began delivering clinical materials to KHK and commenced recognizing revenue from the upfront consideration of $17.3 million. During the six months ended June 30, 2015, the Company recognized $17,000, of revenue associated with the KHK License Agreement. As of June 30, 2015, there was $17.3 million of deferred revenue related to the KHK License Agreement, which is classified as current or long-term in the condensed consolidated balance sheets.</w:t>
      </w:r>
    </w:p>
    <w:p>
      <w:pPr>
        <w:spacing w:after="0" w:line="183" w:lineRule="exact"/>
        <w:rPr>
          <w:sz w:val="20"/>
          <w:szCs w:val="20"/>
          <w:color w:val="auto"/>
        </w:rPr>
      </w:pPr>
    </w:p>
    <w:p>
      <w:pPr>
        <w:jc w:val="both"/>
        <w:ind w:right="100" w:firstLine="456"/>
        <w:spacing w:after="0" w:line="289" w:lineRule="auto"/>
        <w:rPr>
          <w:sz w:val="20"/>
          <w:szCs w:val="20"/>
          <w:color w:val="auto"/>
        </w:rPr>
      </w:pPr>
      <w:r>
        <w:rPr>
          <w:rFonts w:ascii="Arial" w:cs="Arial" w:eastAsia="Arial" w:hAnsi="Arial"/>
          <w:sz w:val="16"/>
          <w:szCs w:val="16"/>
          <w:b w:val="1"/>
          <w:bCs w:val="1"/>
          <w:color w:val="auto"/>
        </w:rPr>
        <w:t xml:space="preserve">Eastern Cooperative Oncology Group </w:t>
      </w:r>
      <w:r>
        <w:rPr>
          <w:rFonts w:ascii="Arial" w:cs="Arial" w:eastAsia="Arial" w:hAnsi="Arial"/>
          <w:sz w:val="16"/>
          <w:szCs w:val="16"/>
          <w:color w:val="auto"/>
        </w:rPr>
        <w:t>– In March 2014, the Company entered into a clinical trial agreement (the “ECOG Agreement”) with Eastern</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Cooperative Oncology Group, a contracting entity for the Eastern Cooperative Oncology Group—American College of Radiology Imaging Network Cancer Research Group (“ECOG-ACRIN”), that describes the parties’ obligations with respect to the NCI-sponsored pivotal Phase 3 clinical trial of entinostat.</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the terms of the ECOG Agreement, ECOG-ACRIN will perform this clinical trial in accordance with the clinical trial protocol and a mutually agreed scope of work. The Company will provide a fixed level of financial support for the clinical trial through an upfront payment of $0.7 million and a series of time- and milestone-based payments of up to $1.0 million, and is obligated to supply entinostat and placebo to ECOG-ACRIN for use in the clinical trial. In February 2015, the Company amended the ECOG Agreement to include an additional $1.2 million of payment obligations; and as of the effective date of the amendment, the Company’s aggregate payment obligations are $20.6 million.</w:t>
      </w:r>
    </w:p>
    <w:p>
      <w:pPr>
        <w:spacing w:after="0" w:line="19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Data and inventions from the Phase 3 clinical trial are owned by ECOG-ACRIN. The Company has access to the data generated in the clinical trial, both directly from ECOG-ACRIN under the ECOG Agreement as well as from the NCI. Additionally, ECOG-ACRIN has granted the Company a non-exclusive royalty-free license to any inventions or discoveries that are derived from entinostat as a result of its use during the clinical trial, along with a first right to negotiate an exclusive license to any of these inventions or discoveries. Either party may terminate the ECOG Agreement in the event of an uncured material breach by the other party or if the FDA or NCI withdraws the authorization to perform the clinical trial in the United States. The parties may jointly terminate the ECOG Agreement if the parties agree that safety-related issues support termination of the clinical trial.</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380"/>
          </w:cols>
          <w:pgMar w:left="240" w:top="460" w:right="2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Company records the appropriate clinical trial expenses in its financial statements by matching those expenses with the period in which the services and efforts are expended. The Company accounts for these expenses according to the progress of the clinical trial as measured by patient enrollment and the timing of various aspects of the clinical trial. The Company determines accrual estimates through financial models, taking into account discussion with applicable personnel and ECOG-ACRIN as to the progress or state of consummation of the clinical trial or the services completed.</w:t>
      </w:r>
    </w:p>
    <w:p>
      <w:pPr>
        <w:spacing w:after="0" w:line="15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color w:val="auto"/>
        </w:rPr>
        <w:t xml:space="preserve">Bayer Pharma AG (formerly known as Bayer Schering Pharma AG) </w:t>
      </w:r>
      <w:r>
        <w:rPr>
          <w:rFonts w:ascii="Arial" w:cs="Arial" w:eastAsia="Arial" w:hAnsi="Arial"/>
          <w:sz w:val="16"/>
          <w:szCs w:val="16"/>
          <w:color w:val="auto"/>
        </w:rPr>
        <w:t>– In March 2007, the Company entered into a license agreement (the “Bayer</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with Bayer Schering Pharma AG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 In June 2014, a development milestone was achieved, and the Company recorded $2.0 million of research and development expense. The milestone payment was originally due on July 30, 2014. During the third quarter of 2014, the Company negotiated the following extended payment terms: $1.0 million is due before December 31, 2014; and $1.0 million before the earlier of (i) the Company’s receipt of at least $50.0 million in gross proceeds from an equity financing or (ii) July 31, 2015. Interest was being accrued at LIBOR plus 2% per annum during the period the amount is outstanding. The outstanding balance related to this milestone payment as of December 31, 2014, of $1.0 million was paid in January 2015.</w:t>
      </w:r>
    </w:p>
    <w:p>
      <w:pPr>
        <w:spacing w:after="0" w:line="168"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In connection with the Bayer Agreement, the Company issued to Bayer a warrant to purchase the number of shares of the Company’s common stock equal to 1.75% of the shares of common stock outstanding on a fully diluted basis as of the earlier of the date the warrant is exercised or the closing of the Company’s IPO. The warrant contains anti-dilution protection to maintain Bayer’s potential ownership at 1.75% of the shares of common stock outstanding on a fully diluted basis, which requires that the actual number of shares of common stock issuable pursuant to the warrant be increased or decreased for any changes in the fully diluted shares of common stock outstanding. The warrant is exercisable at an exercise price of $1.23 per share and expires upon the earlier of the 10-year anniversary of the closing of the Company’s IPO or the date of the consummation of a disposition transaction.</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warrant is classified as a long-term liability and recorded at fair value with the changes in the fair value recorded in other income (expense). The Company uses the Black-Scholes option-pricing model to determine the fair value of the warrant. The total shares exercisable under the warrant, the fair value associated with the warrant and the Black-Scholes option-pricing model assumptions used to value the shares of common stock issuable pursuant to the warrant are as follows (in thousands, except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4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Total Shares of</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Estimated</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w:t>
            </w:r>
          </w:p>
        </w:tc>
        <w:tc>
          <w:tcPr>
            <w:tcW w:w="70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Risk-Free</w:t>
            </w: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2"/>
              </w:rPr>
              <w:t>Estimated</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Estimated</w:t>
            </w:r>
          </w:p>
        </w:tc>
        <w:tc>
          <w:tcPr>
            <w:tcW w:w="11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89"/>
              </w:rPr>
              <w:t>June 30,</w:t>
            </w:r>
          </w:p>
        </w:tc>
        <w:tc>
          <w:tcPr>
            <w:tcW w:w="182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Issuable Under</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Common</w:t>
            </w:r>
          </w:p>
        </w:tc>
        <w:tc>
          <w:tcPr>
            <w:tcW w:w="4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Interest</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Dividend</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Life</w:t>
            </w: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w:t>
            </w:r>
          </w:p>
        </w:tc>
        <w:tc>
          <w:tcPr>
            <w:tcW w:w="0" w:type="dxa"/>
            <w:vAlign w:val="bottom"/>
          </w:tcPr>
          <w:p>
            <w:pPr>
              <w:spacing w:after="0"/>
              <w:rPr>
                <w:sz w:val="1"/>
                <w:szCs w:val="1"/>
                <w:color w:val="auto"/>
              </w:rPr>
            </w:pPr>
          </w:p>
        </w:tc>
      </w:tr>
      <w:tr>
        <w:trPr>
          <w:trHeight w:val="171"/>
        </w:trPr>
        <w:tc>
          <w:tcPr>
            <w:tcW w:w="520" w:type="dxa"/>
            <w:vAlign w:val="bottom"/>
            <w:tcBorders>
              <w:bottom w:val="single" w:sz="8" w:color="auto"/>
            </w:tcBorders>
            <w:vMerge w:val="continue"/>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the Warrant</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Volatility</w:t>
            </w:r>
          </w:p>
        </w:tc>
        <w:tc>
          <w:tcPr>
            <w:tcW w:w="5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5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5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4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156,825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2.18%</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2015</w:t>
            </w:r>
          </w:p>
        </w:tc>
        <w:tc>
          <w:tcPr>
            <w:tcW w:w="3260" w:type="dxa"/>
            <w:vAlign w:val="bottom"/>
            <w:gridSpan w:val="3"/>
          </w:tcPr>
          <w:p>
            <w:pPr>
              <w:jc w:val="right"/>
              <w:ind w:right="480"/>
              <w:spacing w:after="0"/>
              <w:rPr>
                <w:sz w:val="20"/>
                <w:szCs w:val="20"/>
                <w:color w:val="auto"/>
              </w:rPr>
            </w:pPr>
            <w:r>
              <w:rPr>
                <w:rFonts w:ascii="Arial" w:cs="Arial" w:eastAsia="Arial" w:hAnsi="Arial"/>
                <w:sz w:val="18"/>
                <w:szCs w:val="18"/>
                <w:color w:val="auto"/>
              </w:rPr>
              <w:t>230,323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1.23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1600" w:type="dxa"/>
            <w:vAlign w:val="bottom"/>
            <w:gridSpan w:val="3"/>
          </w:tcPr>
          <w:p>
            <w:pPr>
              <w:jc w:val="right"/>
              <w:ind w:right="400"/>
              <w:spacing w:after="0"/>
              <w:rPr>
                <w:sz w:val="20"/>
                <w:szCs w:val="20"/>
                <w:color w:val="auto"/>
              </w:rPr>
            </w:pPr>
            <w:r>
              <w:rPr>
                <w:rFonts w:ascii="Arial" w:cs="Arial" w:eastAsia="Arial" w:hAnsi="Arial"/>
                <w:sz w:val="18"/>
                <w:szCs w:val="18"/>
                <w:color w:val="auto"/>
              </w:rPr>
              <w:t>74%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2.06%</w:t>
            </w: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7.00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3"/>
          </w:tcPr>
          <w:p>
            <w:pPr>
              <w:jc w:val="right"/>
              <w:ind w:right="1200"/>
              <w:spacing w:after="0"/>
              <w:rPr>
                <w:sz w:val="20"/>
                <w:szCs w:val="20"/>
                <w:color w:val="auto"/>
              </w:rPr>
            </w:pPr>
            <w:r>
              <w:rPr>
                <w:rFonts w:ascii="Arial" w:cs="Arial" w:eastAsia="Arial" w:hAnsi="Arial"/>
                <w:sz w:val="18"/>
                <w:szCs w:val="18"/>
                <w:color w:val="auto"/>
              </w:rPr>
              <w:t>F-43</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color w:val="auto"/>
        </w:rPr>
        <w:t xml:space="preserve">University of Colorado </w:t>
      </w:r>
      <w:r>
        <w:rPr>
          <w:rFonts w:ascii="Arial" w:cs="Arial" w:eastAsia="Arial" w:hAnsi="Arial"/>
          <w:sz w:val="16"/>
          <w:szCs w:val="16"/>
          <w:color w:val="auto"/>
        </w:rPr>
        <w:t>– In July 2007, the Company entered into an exclusive option agreement (the “Option Agreement”) with the Regents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University of Colorado (“Colorado”), whereby the Company was granted the exclusive 12-month option to license at a future date certain patents owned by Colorado. Under the terms of the Option Agreement, the Company agreed to reimburse Colorado for fees and costs incurred to date and ongoing patent prosecution costs. From September 2008 to December 2010, the Company paid Colorado a total of $0.1 million to extend the option period through December 31, 2010 for certain of the patents, and paid patent prosecution costs on those patents. In April 2013, the Company entered into an exclusive license agreement (the “Colorado Agreement”) with Colorado for certain of the patents owned by Colorado. Under the terms of the Colorado Agreement, the Company will pay Colorado a license fee of $0.2 million, with $0.1 million payable within 30 days of execution of the Colorado Agreement and the balance upon the close of a financing with proceeds specifically earmarked in writing for the development of a lung cancer indication involving the licensed patents. In each case, the license fee is payable in cash or the equivalent value of shares of the Company’s common stock. Upon the execution of the Colorado Agreement in April 2013, the Company recorded a liability of $0.1 million in research and development expense. In November 2013, the Company issued 20,325 shares of its common stock to University License Equity Holdings, Inc. (“ULEH”), an affiliate of Colorado, to extinguish the liability and recorded additional research and development expense of $0.3 million to reflect the fair value of shares granted to ULEH. Under the Colorado Agreement, the Company is obligated to pay Colorado royalties on net sales, if any, and milestone payments related to the achievement of certain clinical and regulatory goals. As of December 31, 2014, none of these goals had been achieved, and no milestones were payable. The Colorado Agreement was terminated in the first quarter of 2015. There were no incremental obligations in connection with the termination of the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carrying amounts of cash and cash equivalents, restricted cash, accounts payable, and accrued expenses approximated their estimated fair values due to the short-term nature of these financial instruments.</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The accounting standard describes a fair value hierarchy based on three levels of inputs, of which the first two are considered observable and the last unobservable, that may be used to measure fair value, which are the following:</w:t>
      </w:r>
    </w:p>
    <w:p>
      <w:pPr>
        <w:spacing w:after="0" w:line="94" w:lineRule="exact"/>
        <w:rPr>
          <w:sz w:val="20"/>
          <w:szCs w:val="20"/>
          <w:color w:val="auto"/>
        </w:rPr>
      </w:pPr>
    </w:p>
    <w:p>
      <w:pPr>
        <w:spacing w:after="0"/>
        <w:tabs>
          <w:tab w:leader="none" w:pos="800" w:val="left"/>
          <w:tab w:leader="none" w:pos="114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Quoted prices in active markets that are accessible at the market date for identical unrestricted assets or liabilities.</w:t>
      </w:r>
    </w:p>
    <w:p>
      <w:pPr>
        <w:spacing w:after="0" w:line="117" w:lineRule="exact"/>
        <w:rPr>
          <w:sz w:val="20"/>
          <w:szCs w:val="20"/>
          <w:color w:val="auto"/>
        </w:rPr>
      </w:pPr>
    </w:p>
    <w:p>
      <w:pPr>
        <w:ind w:left="820" w:right="80" w:hanging="1147"/>
        <w:spacing w:after="0" w:line="264" w:lineRule="auto"/>
        <w:tabs>
          <w:tab w:leader="none" w:pos="8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73" w:lineRule="exact"/>
        <w:rPr>
          <w:sz w:val="20"/>
          <w:szCs w:val="20"/>
          <w:color w:val="auto"/>
        </w:rPr>
      </w:pPr>
    </w:p>
    <w:p>
      <w:pPr>
        <w:spacing w:after="0"/>
        <w:tabs>
          <w:tab w:leader="none" w:pos="800" w:val="left"/>
          <w:tab w:leader="none" w:pos="114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assets and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assets and liabilities carried at fair value in accordance with the hierarchy defined above is as follows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5"/>
              </w:rPr>
              <w:t>Fair Value Measurements Using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Quoted</w:t>
            </w:r>
          </w:p>
        </w:tc>
        <w:tc>
          <w:tcPr>
            <w:tcW w:w="60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Significant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Prices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140" w:type="dxa"/>
            <w:vAlign w:val="bottom"/>
            <w:gridSpan w:val="3"/>
          </w:tcPr>
          <w:p>
            <w:pPr>
              <w:ind w:left="600"/>
              <w:spacing w:after="0" w:line="149" w:lineRule="exact"/>
              <w:rPr>
                <w:sz w:val="20"/>
                <w:szCs w:val="20"/>
                <w:color w:val="auto"/>
              </w:rPr>
            </w:pPr>
            <w:r>
              <w:rPr>
                <w:rFonts w:ascii="Arial" w:cs="Arial" w:eastAsia="Arial" w:hAnsi="Arial"/>
                <w:sz w:val="14"/>
                <w:szCs w:val="14"/>
                <w:b w:val="1"/>
                <w:bCs w:val="1"/>
                <w:color w:val="auto"/>
                <w:w w:val="89"/>
              </w:rPr>
              <w:t>in Active</w:t>
            </w:r>
          </w:p>
        </w:tc>
        <w:tc>
          <w:tcPr>
            <w:tcW w:w="1700" w:type="dxa"/>
            <w:vAlign w:val="bottom"/>
            <w:gridSpan w:val="4"/>
          </w:tcPr>
          <w:p>
            <w:pPr>
              <w:ind w:left="600"/>
              <w:spacing w:after="0" w:line="149" w:lineRule="exact"/>
              <w:rPr>
                <w:sz w:val="20"/>
                <w:szCs w:val="20"/>
                <w:color w:val="auto"/>
              </w:rPr>
            </w:pPr>
            <w:r>
              <w:rPr>
                <w:rFonts w:ascii="Arial" w:cs="Arial" w:eastAsia="Arial" w:hAnsi="Arial"/>
                <w:sz w:val="14"/>
                <w:szCs w:val="14"/>
                <w:b w:val="1"/>
                <w:bCs w:val="1"/>
                <w:color w:val="auto"/>
              </w:rPr>
              <w:t>Observable</w:t>
            </w:r>
          </w:p>
        </w:tc>
        <w:tc>
          <w:tcPr>
            <w:tcW w:w="114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w w:val="99"/>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Carrying</w:t>
            </w:r>
          </w:p>
        </w:tc>
        <w:tc>
          <w:tcPr>
            <w:tcW w:w="6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8"/>
              </w:rPr>
              <w:t>Markets</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3"/>
          </w:tcPr>
          <w:p>
            <w:pPr>
              <w:ind w:left="600"/>
              <w:spacing w:after="0"/>
              <w:rPr>
                <w:sz w:val="20"/>
                <w:szCs w:val="20"/>
                <w:color w:val="auto"/>
              </w:rPr>
            </w:pPr>
            <w:r>
              <w:rPr>
                <w:rFonts w:ascii="Arial" w:cs="Arial" w:eastAsia="Arial" w:hAnsi="Arial"/>
                <w:sz w:val="14"/>
                <w:szCs w:val="14"/>
                <w:b w:val="1"/>
                <w:bCs w:val="1"/>
                <w:color w:val="auto"/>
                <w:w w:val="91"/>
              </w:rPr>
              <w:t>(Level 1)</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14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December 31, 2014</w:t>
            </w:r>
          </w:p>
        </w:tc>
        <w:tc>
          <w:tcPr>
            <w:tcW w:w="36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2,082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4,483</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4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12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Common stock warrant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June 30, 2015</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20" w:type="dxa"/>
            <w:vAlign w:val="bottom"/>
            <w:gridSpan w:val="4"/>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Cash equivalents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6,749</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6,749</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38,670</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38,670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45,419</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6,749</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38,670</w:t>
            </w:r>
          </w:p>
        </w:tc>
        <w:tc>
          <w:tcPr>
            <w:tcW w:w="400" w:type="dxa"/>
            <w:vAlign w:val="bottom"/>
          </w:tcPr>
          <w:p>
            <w:pPr>
              <w:spacing w:after="0"/>
              <w:rPr>
                <w:sz w:val="24"/>
                <w:szCs w:val="24"/>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134</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stock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100" w:type="dxa"/>
            <w:vAlign w:val="bottom"/>
            <w:gridSpan w:val="3"/>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1,305</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Cash equivalents of $4.5 million as of December 31, 2014 and $6.7 million as of June 30, 2015, respectively, consisted of money market funds and are classified within Level 1 of the fair value hierarchy because they are valued using quoted market prices in active markets. Cash equivalents of $0.5 million as of December 31, 2014 consisted of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Short-term investments of $2.1 million as of December 31, 2014 and $38.7 million as of June 30, 2015 consisted of commercial paper and highly rated corporate bonds and are classified within Level 2 of the fair value hierarchy because pricing inputs are other than quoted prices in active markets, which are either directly or indirectly observable as of the reporting date; and fair value is determined through the use of models or other valuation methodologies. The short-term investments are classified as available-for-sale securities; and as of June 30, 2015, the remaining contractual maturities of the available-for-sale securities were less than one year. There have been no significant realized or unrealized gains or losses on available-for-sale securities for the periods presented.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roll-forward of the recurring fair value measurements of the common stock warrant liability and derivative liability categorized with Level 3 inputs are as follows (in thousands):</w:t>
      </w:r>
    </w:p>
    <w:p>
      <w:pPr>
        <w:spacing w:after="0" w:line="17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2013</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$ 2,482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(1,794)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2014</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320" w:type="dxa"/>
            <w:vAlign w:val="bottom"/>
            <w:gridSpan w:val="3"/>
            <w:vMerge w:val="restart"/>
          </w:tcPr>
          <w:p>
            <w:pPr>
              <w:jc w:val="center"/>
              <w:ind w:left="2639"/>
              <w:spacing w:after="0"/>
              <w:rPr>
                <w:sz w:val="20"/>
                <w:szCs w:val="20"/>
                <w:color w:val="auto"/>
              </w:rPr>
            </w:pPr>
            <w:r>
              <w:rPr>
                <w:rFonts w:ascii="Arial" w:cs="Arial" w:eastAsia="Arial" w:hAnsi="Arial"/>
                <w:sz w:val="14"/>
                <w:szCs w:val="14"/>
                <w:b w:val="1"/>
                <w:bCs w:val="1"/>
                <w:color w:val="auto"/>
                <w:w w:val="92"/>
              </w:rPr>
              <w:t>Common</w:t>
            </w: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33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4"/>
              </w:rPr>
              <w:t>Stock</w:t>
            </w:r>
          </w:p>
        </w:tc>
        <w:tc>
          <w:tcPr>
            <w:tcW w:w="1460" w:type="dxa"/>
            <w:vAlign w:val="bottom"/>
            <w:gridSpan w:val="6"/>
            <w:vMerge w:val="restart"/>
          </w:tcPr>
          <w:p>
            <w:pPr>
              <w:jc w:val="center"/>
              <w:ind w:left="536"/>
              <w:spacing w:after="0"/>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Warrant</w:t>
            </w:r>
          </w:p>
        </w:tc>
        <w:tc>
          <w:tcPr>
            <w:tcW w:w="146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Liability</w:t>
            </w:r>
          </w:p>
        </w:tc>
        <w:tc>
          <w:tcPr>
            <w:tcW w:w="720" w:type="dxa"/>
            <w:vAlign w:val="bottom"/>
          </w:tcPr>
          <w:p>
            <w:pPr>
              <w:spacing w:after="0"/>
              <w:rPr>
                <w:sz w:val="14"/>
                <w:szCs w:val="14"/>
                <w:color w:val="auto"/>
              </w:rPr>
            </w:pPr>
          </w:p>
        </w:tc>
        <w:tc>
          <w:tcPr>
            <w:tcW w:w="7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Balance—December 31, 2014</w:t>
            </w:r>
          </w:p>
        </w:tc>
        <w:tc>
          <w:tcPr>
            <w:tcW w:w="2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7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90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Balance—June 30, 2015</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8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The common stock warrant liability was recorded at fair value determined by using the Black-Scholes option-pricing model. This method of valuation involves using inputs such as the fair value of the Company’s common stock, stock price volatility, the contractual term of the warrant, risk-free interest rates, and dividend yields. Due to the nature of these inputs, the valuation of the warrants was considered a Level 3 measurement. See Note 3 for further discussion of the accounting for the Bayer common stock warrant, as well as for a summary of the significant inputs and assumptions used to determine the fair value of the warrant.</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derivative liability was recorded at fair value using the following assumptions: weighted-average probability of 60% likelihood of a successful IPO in 0.34 years; 40% to the sale of the Company in 2.00 years; and a market-based discount rate that will increase or decrease each period based on changes in the probability in the future cash flows. A significant fluctuation in the probability would not result in a material increase or decrease in the fair value of the derivative liability.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carrying value and estimated fair value of the Company’s debt (in thousands):</w:t>
      </w:r>
    </w:p>
    <w:p>
      <w:pPr>
        <w:spacing w:after="0" w:line="244"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96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 2015</w:t>
            </w: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6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8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380" w:type="dxa"/>
            <w:vAlign w:val="bottom"/>
            <w:gridSpan w:val="3"/>
          </w:tcPr>
          <w:p>
            <w:pPr>
              <w:ind w:left="64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$ 8,911</w:t>
            </w:r>
          </w:p>
        </w:tc>
        <w:tc>
          <w:tcPr>
            <w:tcW w:w="6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  9,346</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carrying value of long-term debt is net of debt discount. The fair value of the long-term debt is based on the discounted future cash flows of the long-term debt using a discount rate derived from market interest rates based on the creditworthiness of the Company. The valuation of the long-term debt is classified within Level 3 of the hierarchy of fair value measurements.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60" w:right="2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320" w:type="dxa"/>
            <w:vAlign w:val="bottom"/>
            <w:gridSpan w:val="4"/>
          </w:tcPr>
          <w:p>
            <w:pPr>
              <w:ind w:left="7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75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license fees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Accrued clinical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Accrued interest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CCEEFF"/>
          </w:tcPr>
          <w:p>
            <w:pPr>
              <w:spacing w:after="0"/>
              <w:rPr>
                <w:sz w:val="18"/>
                <w:szCs w:val="18"/>
                <w:color w:val="auto"/>
              </w:rPr>
            </w:pPr>
          </w:p>
        </w:tc>
      </w:tr>
      <w:tr>
        <w:trPr>
          <w:trHeight w:val="291"/>
        </w:trPr>
        <w:tc>
          <w:tcPr>
            <w:tcW w:w="7520" w:type="dxa"/>
            <w:vAlign w:val="bottom"/>
            <w:gridSpan w:val="2"/>
          </w:tcPr>
          <w:p>
            <w:pPr>
              <w:spacing w:after="0"/>
              <w:rPr>
                <w:sz w:val="20"/>
                <w:szCs w:val="20"/>
                <w:color w:val="auto"/>
              </w:rPr>
            </w:pPr>
            <w:r>
              <w:rPr>
                <w:rFonts w:ascii="Arial" w:cs="Arial" w:eastAsia="Arial" w:hAnsi="Arial"/>
                <w:sz w:val="18"/>
                <w:szCs w:val="18"/>
                <w:color w:val="auto"/>
              </w:rPr>
              <w:t>Total accrued expenses</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3,543</w:t>
            </w:r>
          </w:p>
        </w:tc>
        <w:tc>
          <w:tcPr>
            <w:tcW w:w="820" w:type="dxa"/>
            <w:vAlign w:val="bottom"/>
            <w:gridSpan w:val="2"/>
          </w:tcPr>
          <w:p>
            <w:pPr>
              <w:ind w:left="72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2,197</w:t>
            </w:r>
          </w:p>
        </w:tc>
        <w:tc>
          <w:tcPr>
            <w:tcW w:w="8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Notes</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September 2014, the Company entered into a bridge loan financing with various investors, in which it issued convertible unsecured promissory notes for an aggregate principal amount of $5.0 million (the “2014 Notes”), in two closings. The first closing occurred in September 2014 and $4.9 million was received, and the balance of $0.1 million was received in October 2014. The 2014 Notes accrue interest at 6% per annum and mature on September 30, 2015 (the “Maturity Date”). The 2014 Notes were convertible upon the occurrence of the certain events during the period that the loans are outstanding. In June 2015, in conjunction with the Series C-1 financing, the outstanding principal of $5.0 million of the 2014 Notes and the related accrued interest of $0.2 million were converted into 465,563 shares of Series C-1 at $11.193 per share, which was the same price paid by Series C-1 investors.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Long-term Debt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Solar Capital, Ltd Term Loan – </w:t>
      </w:r>
      <w:r>
        <w:rPr>
          <w:rFonts w:ascii="Arial" w:cs="Arial" w:eastAsia="Arial" w:hAnsi="Arial"/>
          <w:sz w:val="17"/>
          <w:szCs w:val="17"/>
          <w:color w:val="auto"/>
        </w:rPr>
        <w:t>In June 2014, the Company entered into a loan and security agreement with Solar Capital Ltd. (“Solar”), as collateral</w:t>
      </w:r>
      <w:r>
        <w:rPr>
          <w:rFonts w:ascii="Arial" w:cs="Arial" w:eastAsia="Arial" w:hAnsi="Arial"/>
          <w:sz w:val="17"/>
          <w:szCs w:val="17"/>
          <w:b w:val="1"/>
          <w:bCs w:val="1"/>
          <w:color w:val="auto"/>
        </w:rPr>
        <w:t xml:space="preserve"> </w:t>
      </w:r>
      <w:r>
        <w:rPr>
          <w:rFonts w:ascii="Arial" w:cs="Arial" w:eastAsia="Arial" w:hAnsi="Arial"/>
          <w:sz w:val="17"/>
          <w:szCs w:val="17"/>
          <w:color w:val="auto"/>
        </w:rPr>
        <w:t>agent and lender, consisting of a $15.0 million senior secured term loan facility. The loan is secured by substantially all of the Company’s existing and after-acquired assets except its intellectual property, but including right of payment with respect to any such intellectual property and all proceeds from the disposition of any such intellectual property. The intellectual property of the Company is subject to a negative pledge. In September and December 2014, the Company amended the term loan facility. The term loan facility has a maturity date of June 13, 2018.</w:t>
      </w:r>
    </w:p>
    <w:p>
      <w:pPr>
        <w:spacing w:after="0" w:line="17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2014, the initial term loan (the “Term A Loan”), in the aggregate principal amount of $5.0 million was funded; and in December 2014, a second term loan (the “Term C Loan”) in the aggregate principal amount of $4.0 million was funded with the following post-closing conditions: pursuant to the KHK License Agreement, the Company was required to receive $7.5 million in net equity proceeds no later than January 9, 2015 and was required to receive $17.5 million in license-related proceeds no later than February 13, 2015, or return the $4.0 million of proceeds from Term Loan C to Solar. The Company achieved the post-closing conditions. At the Company’s request and upon the consummation of an IPO resulting in the receipt of at least $37.0 million in net proceeds, an additional term loan (the “Term D Loan”) of up to $7.0 million will be funded, provided that the total term loan commitment under the loan and security agreement does not exceed $15.0 million. Solar has no obligations to fund the Term D Loan after September 30, 2015.</w:t>
      </w:r>
    </w:p>
    <w:p>
      <w:pPr>
        <w:spacing w:after="0" w:line="16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Interest accrues at a floating rate per annum equal to LIBOR plus 8.8%, payable monthly in arrears (which was 9.0% as of June 30, 2015). The Company is required to make interest-only payments on any term loans funded 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59" w:right="2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term loan facility until July 1, 2015; and beginning on July 1, 2015, it is required to make payments of principal plus accrued interest in equal monthly installments until the maturity date. Upon the completion of an IPO or upon the occurrence of certain change of control or liquidity events, the Company is required to pay a $0.2 million success fee that will be due on the earlier of the maturity date of the term loan facility or upon the occurrence of certain change of control or liquidity events. The Company has recorded the success fee as a derivative financial liability. The initial fair value of the derivative of $0.1 million has been recorded as a debt discount. In addition, the Company is required to pay a final fee equal to 4% of the amount of term loans funded that will be due on the earlier of the maturity date of the term loan facility or upon the occurrence of certain change of control or liquidity events. The Company is accruing the final fee of $0.4 million on the outstanding term loans through interest expense using the effective-interest method from the date of issuance through the maturity date of the loan. As of June 30, 2015, $0.1 million has been accrued for the final fee. The Company incurred $0.3 million of debt issuance costs for this term loan facility, which will be amortized to interest expense over the period the loans are outstanding. The Company has the option to prepay the term loans provided it pays a prepayment fee equal to 2% of the outstanding principal if paid prior to the one-year anniversary and 1% of the outstanding principal if paid after the one-year anniversary of the funding.</w:t>
      </w:r>
    </w:p>
    <w:p>
      <w:pPr>
        <w:spacing w:after="0" w:line="183"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As of June 30, 2015, the carrying amount of the debt of $8.9 million is net of the debt discount of $0.1 million; and the principal amount outstanding under this term loan facility is $9.0 million. Estimated future principal payments due under the term loans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b w:val="1"/>
                <w:bCs w:val="1"/>
                <w:color w:val="auto"/>
                <w:w w:val="92"/>
              </w:rPr>
              <w:t>Years Ending December 31,</w:t>
            </w:r>
          </w:p>
        </w:tc>
        <w:tc>
          <w:tcPr>
            <w:tcW w:w="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$1,500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2016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2018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5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9,000</w:t>
            </w:r>
          </w:p>
        </w:tc>
        <w:tc>
          <w:tcPr>
            <w:tcW w:w="8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gridSpan w:val="7"/>
            <w:vMerge w:val="restart"/>
          </w:tcPr>
          <w:p>
            <w:pPr>
              <w:spacing w:after="0"/>
              <w:rPr>
                <w:sz w:val="20"/>
                <w:szCs w:val="20"/>
                <w:color w:val="auto"/>
              </w:rPr>
            </w:pPr>
            <w:r>
              <w:rPr>
                <w:rFonts w:ascii="Arial" w:cs="Arial" w:eastAsia="Arial" w:hAnsi="Arial"/>
                <w:sz w:val="18"/>
                <w:szCs w:val="18"/>
                <w:b w:val="1"/>
                <w:bCs w:val="1"/>
                <w:color w:val="auto"/>
                <w:w w:val="99"/>
              </w:rPr>
              <w:t>8. Convertible Preferred Stock</w:t>
            </w:r>
          </w:p>
        </w:tc>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580" w:type="dxa"/>
            <w:vAlign w:val="bottom"/>
            <w:gridSpan w:val="7"/>
            <w:vMerge w:val="continue"/>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440" w:type="dxa"/>
            <w:vAlign w:val="bottom"/>
            <w:gridSpan w:val="9"/>
          </w:tcPr>
          <w:p>
            <w:pPr>
              <w:ind w:left="440"/>
              <w:spacing w:after="0"/>
              <w:rPr>
                <w:sz w:val="20"/>
                <w:szCs w:val="20"/>
                <w:color w:val="auto"/>
              </w:rPr>
            </w:pPr>
            <w:r>
              <w:rPr>
                <w:rFonts w:ascii="Arial" w:cs="Arial" w:eastAsia="Arial" w:hAnsi="Arial"/>
                <w:sz w:val="18"/>
                <w:szCs w:val="18"/>
                <w:color w:val="auto"/>
              </w:rPr>
              <w:t>Convertible preferred stock consisted of the following (in thousands, except share data):</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580" w:type="dxa"/>
            <w:vAlign w:val="bottom"/>
            <w:gridSpan w:val="7"/>
          </w:tcPr>
          <w:p>
            <w:pPr>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9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line="20" w:lineRule="exact"/>
              <w:rPr>
                <w:sz w:val="1"/>
                <w:szCs w:val="1"/>
                <w:color w:val="auto"/>
              </w:rPr>
            </w:pPr>
          </w:p>
        </w:tc>
        <w:tc>
          <w:tcPr>
            <w:tcW w:w="5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Issuance</w:t>
            </w:r>
          </w:p>
        </w:tc>
        <w:tc>
          <w:tcPr>
            <w:tcW w:w="12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Preferred</w:t>
            </w:r>
          </w:p>
        </w:tc>
        <w:tc>
          <w:tcPr>
            <w:tcW w:w="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Liquidation</w:t>
            </w:r>
          </w:p>
        </w:tc>
        <w:tc>
          <w:tcPr>
            <w:tcW w:w="80" w:type="dxa"/>
            <w:vAlign w:val="bottom"/>
          </w:tcPr>
          <w:p>
            <w:pPr>
              <w:spacing w:after="0" w:line="20" w:lineRule="exact"/>
              <w:rPr>
                <w:sz w:val="1"/>
                <w:szCs w:val="1"/>
                <w:color w:val="auto"/>
              </w:rPr>
            </w:pPr>
          </w:p>
        </w:tc>
        <w:tc>
          <w:tcPr>
            <w:tcW w:w="7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584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5840" w:type="dxa"/>
            <w:vAlign w:val="bottom"/>
            <w:gridSpan w:val="2"/>
            <w:vMerge w:val="continue"/>
          </w:tcPr>
          <w:p>
            <w:pPr>
              <w:spacing w:after="0"/>
              <w:rPr>
                <w:sz w:val="12"/>
                <w:szCs w:val="12"/>
                <w:color w:val="auto"/>
              </w:rPr>
            </w:pPr>
          </w:p>
        </w:tc>
        <w:tc>
          <w:tcPr>
            <w:tcW w:w="12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Shares Issued</w:t>
            </w:r>
          </w:p>
        </w:tc>
        <w:tc>
          <w:tcPr>
            <w:tcW w:w="8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Designated</w:t>
            </w:r>
          </w:p>
        </w:tc>
        <w:tc>
          <w:tcPr>
            <w:tcW w:w="40" w:type="dxa"/>
            <w:vAlign w:val="bottom"/>
          </w:tcPr>
          <w:p>
            <w:pPr>
              <w:spacing w:after="0"/>
              <w:rPr>
                <w:sz w:val="15"/>
                <w:szCs w:val="15"/>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and Outstanding</w:t>
            </w:r>
          </w:p>
        </w:tc>
        <w:tc>
          <w:tcPr>
            <w:tcW w:w="860" w:type="dxa"/>
            <w:vAlign w:val="bottom"/>
            <w:gridSpan w:val="5"/>
          </w:tcPr>
          <w:p>
            <w:pPr>
              <w:ind w:left="40"/>
              <w:spacing w:after="0"/>
              <w:rPr>
                <w:sz w:val="20"/>
                <w:szCs w:val="20"/>
                <w:color w:val="auto"/>
              </w:rPr>
            </w:pPr>
            <w:r>
              <w:rPr>
                <w:rFonts w:ascii="Arial" w:cs="Arial" w:eastAsia="Arial" w:hAnsi="Arial"/>
                <w:sz w:val="14"/>
                <w:szCs w:val="14"/>
                <w:b w:val="1"/>
                <w:bCs w:val="1"/>
                <w:color w:val="auto"/>
              </w:rPr>
              <w:t>Preference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Series A-1</w:t>
            </w:r>
          </w:p>
        </w:tc>
        <w:tc>
          <w:tcPr>
            <w:tcW w:w="820" w:type="dxa"/>
            <w:vAlign w:val="bottom"/>
            <w:tcBorders>
              <w:top w:val="single" w:sz="8" w:color="CCEEFF"/>
            </w:tcBorders>
            <w:gridSpan w:val="3"/>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3,951,219</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2013</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3,502,185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44,896</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8"/>
                <w:szCs w:val="18"/>
                <w:color w:val="auto"/>
              </w:rPr>
              <w:t>Series B</w:t>
            </w:r>
          </w:p>
        </w:tc>
        <w:tc>
          <w:tcPr>
            <w:tcW w:w="1600" w:type="dxa"/>
            <w:vAlign w:val="bottom"/>
            <w:gridSpan w:val="4"/>
          </w:tcPr>
          <w:p>
            <w:pPr>
              <w:ind w:left="880"/>
              <w:spacing w:after="0"/>
              <w:rPr>
                <w:sz w:val="20"/>
                <w:szCs w:val="20"/>
                <w:color w:val="auto"/>
              </w:rPr>
            </w:pPr>
            <w:r>
              <w:rPr>
                <w:rFonts w:ascii="Arial" w:cs="Arial" w:eastAsia="Arial" w:hAnsi="Arial"/>
                <w:sz w:val="18"/>
                <w:szCs w:val="18"/>
                <w:color w:val="auto"/>
                <w:w w:val="87"/>
              </w:rPr>
              <w:t>4,227,642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March and August 2013</w:t>
            </w:r>
          </w:p>
        </w:tc>
        <w:tc>
          <w:tcPr>
            <w:tcW w:w="1040" w:type="dxa"/>
            <w:vAlign w:val="bottom"/>
          </w:tcPr>
          <w:p>
            <w:pPr>
              <w:jc w:val="right"/>
              <w:spacing w:after="0"/>
              <w:rPr>
                <w:sz w:val="20"/>
                <w:szCs w:val="20"/>
                <w:color w:val="auto"/>
              </w:rPr>
            </w:pPr>
            <w:r>
              <w:rPr>
                <w:rFonts w:ascii="Arial" w:cs="Arial" w:eastAsia="Arial" w:hAnsi="Arial"/>
                <w:sz w:val="18"/>
                <w:szCs w:val="18"/>
                <w:color w:val="auto"/>
              </w:rPr>
              <w:t>340,302</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2,933</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2"/>
              </w:rPr>
              <w:t>Series B-1</w:t>
            </w:r>
          </w:p>
        </w:tc>
        <w:tc>
          <w:tcPr>
            <w:tcW w:w="1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w w:val="87"/>
              </w:rPr>
              <w:t>4,956,764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April, July, August and November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3,789,999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79,239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79,239</w:t>
            </w:r>
          </w:p>
        </w:tc>
        <w:tc>
          <w:tcPr>
            <w:tcW w:w="0" w:type="dxa"/>
            <w:vAlign w:val="bottom"/>
          </w:tcPr>
          <w:p>
            <w:pPr>
              <w:spacing w:after="0"/>
              <w:rPr>
                <w:sz w:val="1"/>
                <w:szCs w:val="1"/>
                <w:color w:val="auto"/>
              </w:rPr>
            </w:pPr>
          </w:p>
        </w:tc>
      </w:tr>
      <w:tr>
        <w:trPr>
          <w:trHeight w:val="20"/>
        </w:trPr>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146,853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5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600" w:type="dxa"/>
            <w:vAlign w:val="bottom"/>
            <w:gridSpan w:val="4"/>
            <w:shd w:val="clear" w:color="auto" w:fill="CCEEFF"/>
          </w:tcPr>
          <w:p>
            <w:pPr>
              <w:ind w:left="880"/>
              <w:spacing w:after="0"/>
              <w:rPr>
                <w:sz w:val="20"/>
                <w:szCs w:val="20"/>
                <w:color w:val="auto"/>
              </w:rPr>
            </w:pPr>
            <w:r>
              <w:rPr>
                <w:rFonts w:ascii="Arial" w:cs="Arial" w:eastAsia="Arial" w:hAnsi="Arial"/>
                <w:sz w:val="18"/>
                <w:szCs w:val="18"/>
                <w:color w:val="auto"/>
                <w:w w:val="87"/>
              </w:rPr>
              <w:t>4,390,243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and August 2013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40" w:type="dxa"/>
            <w:vAlign w:val="bottom"/>
            <w:gridSpan w:val="2"/>
            <w:vMerge w:val="restart"/>
          </w:tcPr>
          <w:p>
            <w:pPr>
              <w:ind w:left="2920"/>
              <w:spacing w:after="0"/>
              <w:rPr>
                <w:sz w:val="20"/>
                <w:szCs w:val="20"/>
                <w:color w:val="auto"/>
              </w:rPr>
            </w:pPr>
            <w:r>
              <w:rPr>
                <w:rFonts w:ascii="Arial" w:cs="Arial" w:eastAsia="Arial" w:hAnsi="Arial"/>
                <w:sz w:val="18"/>
                <w:szCs w:val="18"/>
                <w:color w:val="auto"/>
              </w:rPr>
              <w:t>F-48</w:t>
            </w: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Preferred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Preferred</w:t>
            </w:r>
          </w:p>
        </w:tc>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6"/>
              </w:rPr>
              <w:t>Issuance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Issued</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Liquidation</w:t>
            </w:r>
          </w:p>
        </w:tc>
        <w:tc>
          <w:tcPr>
            <w:tcW w:w="20" w:type="dxa"/>
            <w:vAlign w:val="bottom"/>
          </w:tcPr>
          <w:p>
            <w:pPr>
              <w:spacing w:after="0"/>
              <w:rPr>
                <w:sz w:val="12"/>
                <w:szCs w:val="12"/>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4"/>
        </w:trPr>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June 30, 2015</w:t>
            </w:r>
          </w:p>
        </w:tc>
        <w:tc>
          <w:tcPr>
            <w:tcW w:w="840" w:type="dxa"/>
            <w:vAlign w:val="bottom"/>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Shares</w:t>
            </w:r>
          </w:p>
        </w:tc>
        <w:tc>
          <w:tcPr>
            <w:tcW w:w="6060" w:type="dxa"/>
            <w:vAlign w:val="bottom"/>
            <w:gridSpan w:val="2"/>
            <w:vMerge w:val="continue"/>
          </w:tcPr>
          <w:p>
            <w:pPr>
              <w:spacing w:after="0"/>
              <w:rPr>
                <w:sz w:val="12"/>
                <w:szCs w:val="12"/>
                <w:color w:val="auto"/>
              </w:rPr>
            </w:pPr>
          </w:p>
        </w:tc>
        <w:tc>
          <w:tcPr>
            <w:tcW w:w="9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8"/>
              </w:rPr>
              <w:t>and</w:t>
            </w:r>
          </w:p>
        </w:tc>
        <w:tc>
          <w:tcPr>
            <w:tcW w:w="9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84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Designated</w:t>
            </w:r>
          </w:p>
        </w:tc>
        <w:tc>
          <w:tcPr>
            <w:tcW w:w="6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Outstanding</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Series A-1</w:t>
            </w:r>
          </w:p>
        </w:tc>
        <w:tc>
          <w:tcPr>
            <w:tcW w:w="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3,951,219</w:t>
            </w:r>
          </w:p>
        </w:tc>
        <w:tc>
          <w:tcPr>
            <w:tcW w:w="20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2013</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3,502,185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Series B</w:t>
            </w:r>
          </w:p>
        </w:tc>
        <w:tc>
          <w:tcPr>
            <w:tcW w:w="1820" w:type="dxa"/>
            <w:vAlign w:val="bottom"/>
            <w:gridSpan w:val="3"/>
          </w:tcPr>
          <w:p>
            <w:pPr>
              <w:ind w:left="900"/>
              <w:spacing w:after="0"/>
              <w:rPr>
                <w:sz w:val="20"/>
                <w:szCs w:val="20"/>
                <w:color w:val="auto"/>
              </w:rPr>
            </w:pPr>
            <w:r>
              <w:rPr>
                <w:rFonts w:ascii="Arial" w:cs="Arial" w:eastAsia="Arial" w:hAnsi="Arial"/>
                <w:sz w:val="18"/>
                <w:szCs w:val="18"/>
                <w:color w:val="auto"/>
              </w:rPr>
              <w:t>4,227,642</w:t>
            </w:r>
          </w:p>
        </w:tc>
        <w:tc>
          <w:tcPr>
            <w:tcW w:w="6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and August 2013</w:t>
            </w:r>
          </w:p>
        </w:tc>
        <w:tc>
          <w:tcPr>
            <w:tcW w:w="780" w:type="dxa"/>
            <w:vAlign w:val="bottom"/>
          </w:tcPr>
          <w:p>
            <w:pPr>
              <w:jc w:val="right"/>
              <w:spacing w:after="0"/>
              <w:rPr>
                <w:sz w:val="20"/>
                <w:szCs w:val="20"/>
                <w:color w:val="auto"/>
              </w:rPr>
            </w:pPr>
            <w:r>
              <w:rPr>
                <w:rFonts w:ascii="Arial" w:cs="Arial" w:eastAsia="Arial" w:hAnsi="Arial"/>
                <w:sz w:val="18"/>
                <w:szCs w:val="18"/>
                <w:color w:val="auto"/>
              </w:rPr>
              <w:t>340,302</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2,933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B-1</w:t>
            </w:r>
          </w:p>
        </w:tc>
        <w:tc>
          <w:tcPr>
            <w:tcW w:w="18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4,956,764</w:t>
            </w:r>
          </w:p>
        </w:tc>
        <w:tc>
          <w:tcPr>
            <w:tcW w:w="60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March, April, July, August and November 2013 and January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4,460,061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94,335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4"/>
              </w:rPr>
              <w:t>Series C-1</w:t>
            </w:r>
          </w:p>
        </w:tc>
        <w:tc>
          <w:tcPr>
            <w:tcW w:w="1820" w:type="dxa"/>
            <w:vAlign w:val="bottom"/>
            <w:gridSpan w:val="3"/>
          </w:tcPr>
          <w:p>
            <w:pPr>
              <w:ind w:left="900"/>
              <w:spacing w:after="0"/>
              <w:rPr>
                <w:sz w:val="20"/>
                <w:szCs w:val="20"/>
                <w:color w:val="auto"/>
              </w:rPr>
            </w:pPr>
            <w:r>
              <w:rPr>
                <w:rFonts w:ascii="Arial" w:cs="Arial" w:eastAsia="Arial" w:hAnsi="Arial"/>
                <w:sz w:val="18"/>
                <w:szCs w:val="18"/>
                <w:color w:val="auto"/>
              </w:rPr>
              <w:t>4,039,398</w:t>
            </w:r>
          </w:p>
        </w:tc>
        <w:tc>
          <w:tcPr>
            <w:tcW w:w="60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2015</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2,140,712</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42,084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42,084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205,588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1820" w:type="dxa"/>
            <w:vAlign w:val="bottom"/>
            <w:gridSpan w:val="3"/>
          </w:tcPr>
          <w:p>
            <w:pPr>
              <w:ind w:left="900"/>
              <w:spacing w:after="0"/>
              <w:rPr>
                <w:sz w:val="20"/>
                <w:szCs w:val="20"/>
                <w:color w:val="auto"/>
              </w:rPr>
            </w:pPr>
            <w:r>
              <w:rPr>
                <w:rFonts w:ascii="Arial" w:cs="Arial" w:eastAsia="Arial" w:hAnsi="Arial"/>
                <w:sz w:val="18"/>
                <w:szCs w:val="18"/>
                <w:color w:val="auto"/>
              </w:rPr>
              <w:t>4,390,243</w:t>
            </w:r>
          </w:p>
        </w:tc>
        <w:tc>
          <w:tcPr>
            <w:tcW w:w="60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and August 2013</w:t>
            </w:r>
          </w:p>
        </w:tc>
        <w:tc>
          <w:tcPr>
            <w:tcW w:w="780" w:type="dxa"/>
            <w:vAlign w:val="bottom"/>
          </w:tcPr>
          <w:p>
            <w:pPr>
              <w:jc w:val="right"/>
              <w:spacing w:after="0"/>
              <w:rPr>
                <w:sz w:val="20"/>
                <w:szCs w:val="20"/>
                <w:color w:val="auto"/>
              </w:rPr>
            </w:pPr>
            <w:r>
              <w:rPr>
                <w:rFonts w:ascii="Arial" w:cs="Arial" w:eastAsia="Arial" w:hAnsi="Arial"/>
                <w:sz w:val="18"/>
                <w:szCs w:val="18"/>
                <w:color w:val="auto"/>
              </w:rPr>
              <w:t>875,545</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accordance with the terms of the KHK License Agreement in January 2015, the Company issued 670,062 shares of Series B-1 at an issuance price of $11.51 per share, the fair value of the Series B-1 based on the results of a contemporaneous valuation. On the date of issuance, the Company recorded accretion of $5.4 million to record the convertible preferred stock at its redemption value.</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June 2015, the Company issued 2,140,712 shares of Series C-1 for $18.5 million in cash, net of offering costs of $0.2 million, and the conversion of the outstanding principal on the 2014 Notes of $5.0 million and related accrued interest of $0.2 million. On the date of issuance, the Company recorded accretion of $18.2 million to record the convertible preferred stock at its redemption value.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August 2015, the Company issued 5,472,390 additional shares of C-1 for gross proceeds of $61.3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2015, the various series of convertible preferred stock have the following rights, preferences, privileges:</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 Holders of shares of convertible preferred stock have full voting rights and powers equal to the rights and powers of holders of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with respect to any matters upon which holders of shares of common stock have the right to vote. Holders of shares of convertible preferred stock are entitled to the number of votes equal to the largest number of shares of common stock into which such share of convertible preferred stock could be converted at the record date for determination of the stockholders entitled to vote on such matters. Holders of shares of Series A-1, B-1 and Series C-1, voting together as a separate class on an as-converted basis, are entitled to elect four members of the Board. The holders of Series C-1, voting as a separate class, are entitled to elect one member of the Board. Holders of shares of common stock, voting as a separate class, are entitled to elect two members of the Board. Holders of a majority of the outstanding shares of common stock and a majority of the outstanding shares of convertible preferred stock, each voting as a separate class on an as-converted basis, are entitled to elect two member of the Board. Holders of at least 60% of the outstanding shares of convertible preferred stock and a majority of the outstanding shares of common stock, each voting as a separate class on an as-converted basis, are entitled to elect any remaining directors.</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Series C-1, Series B-1, Series A-1, and Series B is convertible at the option of the holder into one share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certain adjustments for dilution, if any, resulting from future stock issuances. Each share of Series A is convertible at the option of the holder into one-fifth of a share of common stock, subject to certain adjustments for dilution, if any, resulting from future stock issuances. The outstanding shares of convertible preferred stock automatically convert into common stock at the then effective conversion rate upon the earlier of (i) an underwritten public offering of our common stock in which aggregate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59" w:right="2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proceeds are in excess of $30.0 million at a public offering price of at least $11.193 per share, as adjusted for any recapitalization event or (ii) the election of holders of at least 60% of the outstanding shares of convertible preferred stock, voting as a separate class on an as-converted basis.</w:t>
      </w:r>
    </w:p>
    <w:p>
      <w:pPr>
        <w:spacing w:after="0" w:line="14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Holders of shares of Series C-1, in preference to holders of shares of Series A-1, Series A, Series B-1, Series B, and common stock, are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receive, whether or not declared by the Board, cumulative dividends at the rate of 8% of the applicable original issue price per share per annum. Such dividends accrue and are cumulative from the date of the issuance of the Series C-1. No such dividends have been declared to date. After payment to the holders of shares of Series C-1, holders of shares of Series B-1, in preference to holders of shares of Series A-1, Series A, Series B, and common stock, are entitled to receive, whether or not declared by the Board, cumulative dividends at the rate of 8% of the applicable original issue price per share per annum. Such dividends accrue and are cumulative from the date of the issuance of the Series B-1. No such dividends have been declared to date. After payment to the holders of shares of Series C-1 and Series B-1, holders of shares of Series A-1, in preference to holders of shares of Series A, Series B and common stock, are entitled to receive, whether or not declared by the Board, cumulative dividends at the rate of 8% of the applicable original issue price per share per annum. Such dividends accrue and are cumulative from the date of the issuance of the Series A-1. No such dividends have been declared to date.</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Company cannot declare dividends on shares of any other class or series of capital stock unless the holders of shares of Series A-1, Series B-1 and Series C-1 first receive, on an as-converted basis, a dividend on each outstanding share of preferred stock in an amount at least equal to the product of (i) the dividend payable on each share of such class or series determined, if applicable, as if all shares of such class or series had been converted into common stock and (ii) the number of shares of common stock issuable upon conversion of a share of the applicable preferred stock, in each case calculated on the record date for determination of holders entitled to receive such dividend.</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As of June 30, 2015, the Company has recorded cumulative dividends on Series A-1, Series B-1 and Series C-1 of $7.1 million, $6.9 million and $0.2 million, respectively.</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winding-up, sale or merger of the Company, whether voluntarily or involuntarily, each holder</w:t>
      </w:r>
      <w:r>
        <w:rPr>
          <w:rFonts w:ascii="Arial" w:cs="Arial" w:eastAsia="Arial" w:hAnsi="Arial"/>
          <w:sz w:val="17"/>
          <w:szCs w:val="17"/>
          <w:i w:val="1"/>
          <w:iCs w:val="1"/>
          <w:color w:val="auto"/>
        </w:rPr>
        <w:t xml:space="preserve"> </w:t>
      </w:r>
      <w:r>
        <w:rPr>
          <w:rFonts w:ascii="Arial" w:cs="Arial" w:eastAsia="Arial" w:hAnsi="Arial"/>
          <w:sz w:val="17"/>
          <w:szCs w:val="17"/>
          <w:color w:val="auto"/>
        </w:rPr>
        <w:t>of shares of Series C-1 is entitled to receive, in preference to holders of shares of Series A-1, Series A, Series B-1, Series B, and common stock, a per share amount equal to the original issue price times a factor of 1.75, plus all accrued but unpaid dividends. After payment has been made to the holders of Series C-1, each holder of shares of Series B-1 is entitled to receive, in preference to holders of shares of Series A-1, Series A, Series B, and common stock, a per share amount equal to the original issue price times a factor of 1.75, plus all accrued but unpaid dividends. Each holder of shares of Series A-1 is entitled to receive, in preference to holders of shares of Series A, Series B, and common stock, a per share amount equal to the original issue price, plus all accrued but unpaid dividends. Each holder of shares of Series B is entitled to receive, in preference to holders of shares of Series A and common stock, a per share amount equal to the original issue price multiplied by 75%, plus all accrued but unpaid dividends. After the above payments have been made for the full amounts to which they are entitled, any remaining assets will be distributed pro rata among holders of shares of common stock, Series A-1, Series B-1, and Series A, on an as-converted basis. The Series A has no liquidation preferences.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00"/>
          </w:cols>
          <w:pgMar w:left="240" w:top="460" w:right="2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Under the Company’s 2007 Stock Plan (“Stock Plan”), the board of directors has approved the issuance of up to 2,789,000 shares. As of June 30, 2015, there were 543,502 shares available for issuance under the 2007 Plan.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Company recognized stock-based compensation expense related to the issuance of stock option awards to employees and non-employees in the consolidated statements of operations and comprehensive loss as follows (in thousands):</w:t>
      </w:r>
    </w:p>
    <w:p>
      <w:pPr>
        <w:spacing w:after="0" w:line="189"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62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During the six months ended June 30, 2015, the Company granted 1,258,098 stock options to certain executives, employees, and consultants. The grant date fair value of these options was $4.6 million, or $3.63 per share on a weighted-average basis and will be recognized as compensation expense over the requisite service period of three to four years. There were 4,961 options exercised for the six months ended June 30, 2015, resulting in total proceeds of $12,000. In accordance with the Company’s policy, the shares were issued from a pool of shares reserved for issuance under the Stock Plan.</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2015, the vesting of certain options granted to a terminated employee was accelerated in accordance with the employment agreement, and the Company recognized $0.5 million as compensation expense due to this acceleration in vesting. In addition, as part of the termination agreement, the vesting of certain options granted was accelerated and the exercise period for all of the options was extended. This change in vesting conditions and extension of time to exercise the options was accounted for as a modification of these stock options. The aggregate increase in the fair value of the options of $0.2 million was immediately recognized as compensation expense.</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June 30, 2015, there was $5.3 million of unrecognized compensation cost related to employee and non-employee unvested stock options share-based compensation arrangements granted under the Stock Plan, which is expected to be recognized over a weighted-average remaining service period of 3.49 years. Stock compensation costs have not been capitalized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Transactions</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In June 2015, the Company hired a Chief Executive Officer who was also appointed as a member of the Board. This individual is also a managing director at MPM Asset Management, LLC, which holds an investment in the Company’s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60" w:right="2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2015</w:t>
      </w:r>
    </w:p>
    <w:p>
      <w:pPr>
        <w:spacing w:after="0" w:line="23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September 2014 the Company issued $5.0 million of 2014 Notes to stockholders of the Company. In June 2015, in conjunction with the Series C-1 financing, the outstanding principal of $5.0 million and the related accrued interest of $0.2 million on the 2014 Notes were converted into 465,563 shares of Series C-1. As of June 30, 2015, no amount of principal or related accrued interest on the 2014 Notes was outstanding. Interest expense related to the 2014 Notes held by these stockholders was $0.2 million for the six months ended June 30,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Deficit</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the changes in convertible preferred stock and stockholders’ deficit for the six months ended June 30, 2015, in thousands, except share and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3"/>
            <w:vMerge w:val="restart"/>
          </w:tcPr>
          <w:p>
            <w:pPr>
              <w:jc w:val="center"/>
              <w:ind w:left="288"/>
              <w:spacing w:after="0"/>
              <w:rPr>
                <w:sz w:val="20"/>
                <w:szCs w:val="20"/>
                <w:color w:val="auto"/>
              </w:rPr>
            </w:pPr>
            <w:r>
              <w:rPr>
                <w:rFonts w:ascii="Arial" w:cs="Arial" w:eastAsia="Arial" w:hAnsi="Arial"/>
                <w:sz w:val="14"/>
                <w:szCs w:val="14"/>
                <w:b w:val="1"/>
                <w:bCs w:val="1"/>
                <w:color w:val="auto"/>
                <w:w w:val="92"/>
              </w:rPr>
              <w:t>Series A</w:t>
            </w: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540" w:type="dxa"/>
            <w:vAlign w:val="bottom"/>
            <w:tcBorders>
              <w:right w:val="single" w:sz="8" w:color="auto"/>
            </w:tcBorders>
            <w:gridSpan w:val="5"/>
          </w:tcPr>
          <w:p>
            <w:pPr>
              <w:jc w:val="center"/>
              <w:ind w:right="14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40" w:type="dxa"/>
            <w:vAlign w:val="bottom"/>
          </w:tcPr>
          <w:p>
            <w:pPr>
              <w:spacing w:after="0"/>
              <w:rPr>
                <w:sz w:val="13"/>
                <w:szCs w:val="13"/>
                <w:color w:val="auto"/>
              </w:rPr>
            </w:pPr>
          </w:p>
        </w:tc>
        <w:tc>
          <w:tcPr>
            <w:tcW w:w="1520" w:type="dxa"/>
            <w:vAlign w:val="bottom"/>
            <w:gridSpan w:val="5"/>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Convertible</w:t>
            </w:r>
          </w:p>
        </w:tc>
        <w:tc>
          <w:tcPr>
            <w:tcW w:w="1100" w:type="dxa"/>
            <w:vAlign w:val="bottom"/>
            <w:gridSpan w:val="4"/>
          </w:tcPr>
          <w:p>
            <w:pPr>
              <w:jc w:val="center"/>
              <w:ind w:left="28"/>
              <w:spacing w:after="0" w:line="158" w:lineRule="exact"/>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11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Preferred Stock</w:t>
            </w:r>
          </w:p>
        </w:tc>
        <w:tc>
          <w:tcPr>
            <w:tcW w:w="140" w:type="dxa"/>
            <w:vAlign w:val="bottom"/>
          </w:tcPr>
          <w:p>
            <w:pPr>
              <w:spacing w:after="0"/>
              <w:rPr>
                <w:sz w:val="12"/>
                <w:szCs w:val="12"/>
                <w:color w:val="auto"/>
              </w:rPr>
            </w:pPr>
          </w:p>
        </w:tc>
        <w:tc>
          <w:tcPr>
            <w:tcW w:w="15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Preferred Stock</w:t>
            </w:r>
          </w:p>
        </w:tc>
        <w:tc>
          <w:tcPr>
            <w:tcW w:w="1100" w:type="dxa"/>
            <w:vAlign w:val="bottom"/>
            <w:gridSpan w:val="4"/>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$0.0001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Other</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4"/>
              </w:rPr>
              <w:t>$0.001 Par Value</w:t>
            </w:r>
          </w:p>
        </w:tc>
        <w:tc>
          <w:tcPr>
            <w:tcW w:w="140" w:type="dxa"/>
            <w:vAlign w:val="bottom"/>
          </w:tcPr>
          <w:p>
            <w:pPr>
              <w:spacing w:after="0"/>
              <w:rPr>
                <w:sz w:val="14"/>
                <w:szCs w:val="14"/>
                <w:color w:val="auto"/>
              </w:rPr>
            </w:pPr>
          </w:p>
        </w:tc>
        <w:tc>
          <w:tcPr>
            <w:tcW w:w="1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$0.001 Par Value</w:t>
            </w:r>
          </w:p>
        </w:tc>
        <w:tc>
          <w:tcPr>
            <w:tcW w:w="1100" w:type="dxa"/>
            <w:vAlign w:val="bottom"/>
            <w:gridSpan w:val="4"/>
          </w:tcPr>
          <w:p>
            <w:pPr>
              <w:jc w:val="center"/>
              <w:ind w:left="28"/>
              <w:spacing w:after="0"/>
              <w:rPr>
                <w:sz w:val="20"/>
                <w:szCs w:val="20"/>
                <w:color w:val="auto"/>
              </w:rPr>
            </w:pPr>
            <w:r>
              <w:rPr>
                <w:rFonts w:ascii="Arial" w:cs="Arial" w:eastAsia="Arial" w:hAnsi="Arial"/>
                <w:sz w:val="14"/>
                <w:szCs w:val="14"/>
                <w:b w:val="1"/>
                <w:bCs w:val="1"/>
                <w:color w:val="auto"/>
                <w:w w:val="93"/>
              </w:rPr>
              <w:t>Par Value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Paid-In</w:t>
            </w: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Comprehensive</w:t>
            </w:r>
          </w:p>
        </w:tc>
        <w:tc>
          <w:tcPr>
            <w:tcW w:w="1080" w:type="dxa"/>
            <w:vAlign w:val="bottom"/>
            <w:gridSpan w:val="3"/>
            <w:vMerge w:val="continue"/>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5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2"/>
                <w:szCs w:val="12"/>
                <w:color w:val="auto"/>
              </w:rPr>
            </w:pPr>
          </w:p>
        </w:tc>
        <w:tc>
          <w:tcPr>
            <w:tcW w:w="114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2014</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7,632,486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$146,853</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875,545</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7,231</w:t>
            </w:r>
          </w:p>
        </w:tc>
        <w:tc>
          <w:tcPr>
            <w:tcW w:w="24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73,152</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(159,801)</w:t>
            </w:r>
          </w:p>
        </w:tc>
        <w:tc>
          <w:tcPr>
            <w:tcW w:w="2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(152,569)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line="130" w:lineRule="exact"/>
              <w:rPr>
                <w:sz w:val="20"/>
                <w:szCs w:val="20"/>
                <w:color w:val="auto"/>
              </w:rPr>
            </w:pPr>
            <w:r>
              <w:rPr>
                <w:rFonts w:ascii="Arial" w:cs="Arial" w:eastAsia="Arial" w:hAnsi="Arial"/>
                <w:sz w:val="14"/>
                <w:szCs w:val="14"/>
                <w:color w:val="auto"/>
              </w:rPr>
              <w:t>Issuance of Series B-1 convertible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 in January 2015 in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auto"/>
              </w:rPr>
              <w:t>conjunction with KHK Agreement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670,062</w:t>
            </w:r>
          </w:p>
        </w:tc>
        <w:tc>
          <w:tcPr>
            <w:tcW w:w="76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7,713</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Series C-1 convertible</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 in June 2015, net of</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costs of $0.2 million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1,675,149</w:t>
            </w:r>
          </w:p>
        </w:tc>
        <w:tc>
          <w:tcPr>
            <w:tcW w:w="76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18,526</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w w:val="99"/>
              </w:rPr>
              <w:t>Conversion of 2014 Notes into Series C-1</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465,563</w:t>
            </w:r>
          </w:p>
        </w:tc>
        <w:tc>
          <w:tcPr>
            <w:tcW w:w="760" w:type="dxa"/>
            <w:vAlign w:val="bottom"/>
            <w:tcBorders>
              <w:right w:val="single" w:sz="8" w:color="auto"/>
            </w:tcBorders>
            <w:gridSpan w:val="3"/>
          </w:tcPr>
          <w:p>
            <w:pPr>
              <w:jc w:val="right"/>
              <w:ind w:right="120"/>
              <w:spacing w:after="0" w:line="149" w:lineRule="exact"/>
              <w:rPr>
                <w:sz w:val="20"/>
                <w:szCs w:val="20"/>
                <w:color w:val="auto"/>
              </w:rPr>
            </w:pPr>
            <w:r>
              <w:rPr>
                <w:rFonts w:ascii="Arial" w:cs="Arial" w:eastAsia="Arial" w:hAnsi="Arial"/>
                <w:sz w:val="14"/>
                <w:szCs w:val="14"/>
                <w:color w:val="auto"/>
              </w:rPr>
              <w:t>5,211</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convertible preferred stock</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redemption value</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23,607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(23,484)</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(23,607)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line="130" w:lineRule="exact"/>
              <w:rPr>
                <w:sz w:val="20"/>
                <w:szCs w:val="20"/>
                <w:color w:val="auto"/>
              </w:rPr>
            </w:pPr>
            <w:r>
              <w:rPr>
                <w:rFonts w:ascii="Arial" w:cs="Arial" w:eastAsia="Arial" w:hAnsi="Arial"/>
                <w:sz w:val="14"/>
                <w:szCs w:val="14"/>
                <w:color w:val="auto"/>
              </w:rPr>
              <w:t>Accretion for convertible preferred stock</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3,678</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(1,313)</w:t>
            </w:r>
          </w:p>
        </w:tc>
        <w:tc>
          <w:tcPr>
            <w:tcW w:w="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(2,365)</w:t>
            </w:r>
          </w:p>
        </w:tc>
        <w:tc>
          <w:tcPr>
            <w:tcW w:w="14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(3,678)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common stock options</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4,961</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1,424</w:t>
            </w:r>
          </w:p>
        </w:tc>
        <w:tc>
          <w:tcPr>
            <w:tcW w:w="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gain on short-term</w:t>
            </w: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(11,125)</w:t>
            </w:r>
          </w:p>
        </w:tc>
        <w:tc>
          <w:tcPr>
            <w:tcW w:w="14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(11,125)</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60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June 30, 2015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4"/>
              </w:rPr>
              <w:t>10,443,260</w:t>
            </w:r>
          </w:p>
        </w:tc>
        <w:tc>
          <w:tcPr>
            <w:tcW w:w="760" w:type="dxa"/>
            <w:vAlign w:val="bottom"/>
            <w:tcBorders>
              <w:right w:val="single" w:sz="8" w:color="auto"/>
            </w:tcBorders>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205,588</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8"/>
              </w:rPr>
              <w:t>875,545</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6"/>
              </w:rPr>
              <w:t>7,231</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7"/>
              </w:rPr>
              <w:t>78,113</w:t>
            </w:r>
          </w:p>
        </w:tc>
        <w:tc>
          <w:tcPr>
            <w:tcW w:w="540" w:type="dxa"/>
            <w:vAlign w:val="bottom"/>
            <w:gridSpan w:val="2"/>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(196,775)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(189,551)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For the six months ended June 30, 2015, management has evaluated subsequent events through the date on which these interim financial statements were issued, and determined that no additional subsequent events had occurred that would require recognition in these consolidated financial statements and that all subsequent events that require disclosure have been disclosed.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677545</wp:posOffset>
            </wp:positionV>
            <wp:extent cx="1380490" cy="531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804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900"/>
        <w:spacing w:after="0"/>
        <w:rPr>
          <w:sz w:val="20"/>
          <w:szCs w:val="20"/>
          <w:color w:val="auto"/>
        </w:rPr>
      </w:pPr>
      <w:r>
        <w:rPr>
          <w:rFonts w:ascii="Arial" w:cs="Arial" w:eastAsia="Arial" w:hAnsi="Arial"/>
          <w:sz w:val="31"/>
          <w:szCs w:val="31"/>
          <w:b w:val="1"/>
          <w:bCs w:val="1"/>
          <w:color w:val="auto"/>
        </w:rPr>
        <w:t>Shares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PRELIMINARY PROSPECTUS</w:t>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Citigroup</w:t>
      </w:r>
    </w:p>
    <w:p>
      <w:pPr>
        <w:spacing w:after="0" w:line="200" w:lineRule="exact"/>
        <w:rPr>
          <w:sz w:val="20"/>
          <w:szCs w:val="20"/>
          <w:color w:val="auto"/>
        </w:rPr>
      </w:pPr>
    </w:p>
    <w:p>
      <w:pPr>
        <w:sectPr>
          <w:pgSz w:w="11900" w:h="16838" w:orient="portrait"/>
          <w:cols w:equalWidth="0" w:num="2">
            <w:col w:w="9360" w:space="720"/>
            <w:col w:w="1340"/>
          </w:cols>
          <w:pgMar w:left="240" w:top="460"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Oppenheimer &amp; Co.</w:t>
      </w:r>
    </w:p>
    <w:p>
      <w:pPr>
        <w:spacing w:after="0" w:line="200" w:lineRule="exact"/>
        <w:rPr>
          <w:sz w:val="20"/>
          <w:szCs w:val="20"/>
          <w:color w:val="auto"/>
        </w:rPr>
      </w:pPr>
    </w:p>
    <w:p>
      <w:pPr>
        <w:sectPr>
          <w:pgSz w:w="11900" w:h="16838" w:orient="portrait"/>
          <w:cols w:equalWidth="0" w:num="2">
            <w:col w:w="8600" w:space="720"/>
            <w:col w:w="2100"/>
          </w:cols>
          <w:pgMar w:left="240" w:top="4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940"/>
        <w:spacing w:after="0"/>
        <w:rPr>
          <w:sz w:val="20"/>
          <w:szCs w:val="20"/>
          <w:color w:val="auto"/>
        </w:rPr>
      </w:pPr>
      <w:r>
        <w:rPr>
          <w:rFonts w:ascii="Arial" w:cs="Arial" w:eastAsia="Arial" w:hAnsi="Arial"/>
          <w:sz w:val="15"/>
          <w:szCs w:val="15"/>
          <w:color w:val="auto"/>
        </w:rPr>
        <w:t>, 2015</w:t>
      </w:r>
    </w:p>
    <w:p>
      <w:pPr>
        <w:sectPr>
          <w:pgSz w:w="11900" w:h="16838" w:orient="portrait"/>
          <w:cols w:equalWidth="0" w:num="1">
            <w:col w:w="11420"/>
          </w:cols>
          <w:pgMar w:left="240" w:top="460" w:right="239" w:bottom="1440" w:gutter="0" w:footer="0" w:header="0"/>
          <w:type w:val="continuous"/>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INFORMATION NOT REQUIRED IN PROSPECTUS</w:t>
      </w:r>
    </w:p>
    <w:p>
      <w:pPr>
        <w:spacing w:after="0" w:line="243"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14" w:lineRule="exact"/>
        <w:rPr>
          <w:sz w:val="20"/>
          <w:szCs w:val="20"/>
          <w:color w:val="auto"/>
        </w:rPr>
      </w:pPr>
    </w:p>
    <w:p>
      <w:pPr>
        <w:ind w:right="60" w:firstLine="456"/>
        <w:spacing w:after="0" w:line="250" w:lineRule="auto"/>
        <w:rPr>
          <w:sz w:val="20"/>
          <w:szCs w:val="20"/>
          <w:color w:val="auto"/>
        </w:rPr>
      </w:pPr>
      <w:r>
        <w:rPr>
          <w:rFonts w:ascii="Arial" w:cs="Arial" w:eastAsia="Arial" w:hAnsi="Arial"/>
          <w:sz w:val="20"/>
          <w:szCs w:val="20"/>
          <w:color w:val="auto"/>
        </w:rPr>
        <w:t>The following table sets forth the costs and expenses, other than underwriting discounts and commissions, payable in connection with the registration of the common stock hereunder. All amounts are estimates, except the SEC registration fee, the FINRA filing fee and The NASDAQ Global Market listing fee.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Amount</w:t>
            </w:r>
          </w:p>
        </w:tc>
      </w:tr>
      <w:tr>
        <w:trPr>
          <w:trHeight w:val="210"/>
        </w:trPr>
        <w:tc>
          <w:tcPr>
            <w:tcW w:w="66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00" w:type="dxa"/>
            <w:vAlign w:val="bottom"/>
            <w:shd w:val="clear" w:color="auto" w:fill="CCEEFF"/>
          </w:tcPr>
          <w:p>
            <w:pPr>
              <w:spacing w:after="0"/>
              <w:rPr>
                <w:sz w:val="18"/>
                <w:szCs w:val="18"/>
                <w:color w:val="auto"/>
              </w:rPr>
            </w:pP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Accountants’ fees and expenses</w:t>
            </w: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Transfer Agent’s fees and expenses</w:t>
            </w: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4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20" w:type="dxa"/>
            <w:vAlign w:val="bottom"/>
            <w:gridSpan w:val="3"/>
          </w:tcPr>
          <w:p>
            <w:pPr>
              <w:spacing w:after="0"/>
              <w:rPr>
                <w:sz w:val="20"/>
                <w:szCs w:val="20"/>
                <w:color w:val="auto"/>
              </w:rPr>
            </w:pPr>
            <w:r>
              <w:rPr>
                <w:rFonts w:ascii="Arial" w:cs="Arial" w:eastAsia="Arial" w:hAnsi="Arial"/>
                <w:sz w:val="18"/>
                <w:szCs w:val="18"/>
                <w:color w:val="auto"/>
              </w:rPr>
              <w:t>Miscellaneous</w:t>
            </w:r>
          </w:p>
        </w:tc>
        <w:tc>
          <w:tcPr>
            <w:tcW w:w="4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75"/>
        </w:trPr>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40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r>
      <w:tr>
        <w:trPr>
          <w:trHeight w:val="216"/>
        </w:trPr>
        <w:tc>
          <w:tcPr>
            <w:tcW w:w="24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546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6380" w:type="dxa"/>
            <w:vAlign w:val="bottom"/>
            <w:gridSpan w:val="2"/>
          </w:tcPr>
          <w:p>
            <w:pPr>
              <w:ind w:left="220"/>
              <w:spacing w:after="0"/>
              <w:rPr>
                <w:sz w:val="20"/>
                <w:szCs w:val="20"/>
                <w:color w:val="auto"/>
              </w:rPr>
            </w:pPr>
            <w:r>
              <w:rPr>
                <w:rFonts w:ascii="Arial" w:cs="Arial" w:eastAsia="Arial" w:hAnsi="Arial"/>
                <w:sz w:val="18"/>
                <w:szCs w:val="18"/>
                <w:color w:val="auto"/>
              </w:rPr>
              <w:t>To be filed by amendment.</w:t>
            </w:r>
          </w:p>
        </w:tc>
        <w:tc>
          <w:tcPr>
            <w:tcW w:w="4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342"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14" w:lineRule="exact"/>
        <w:rPr>
          <w:sz w:val="20"/>
          <w:szCs w:val="20"/>
          <w:color w:val="auto"/>
        </w:rPr>
      </w:pPr>
    </w:p>
    <w:p>
      <w:pPr>
        <w:ind w:right="180" w:firstLine="456"/>
        <w:spacing w:after="0" w:line="250" w:lineRule="auto"/>
        <w:rPr>
          <w:sz w:val="20"/>
          <w:szCs w:val="20"/>
          <w:color w:val="auto"/>
        </w:rPr>
      </w:pPr>
      <w:r>
        <w:rPr>
          <w:rFonts w:ascii="Arial" w:cs="Arial" w:eastAsia="Arial" w:hAnsi="Arial"/>
          <w:sz w:val="20"/>
          <w:szCs w:val="20"/>
          <w:color w:val="auto"/>
        </w:rPr>
        <w:t>Section 102(b)(7) of the Delaware General Corporation Law, or DGCL, provides that a Delaware corporation, in its certificate of incorporation, may limit the personal liability of a director to the corporation or its stockholders for monetary damages for breach of fiduciary duties as a director, except for liability for any:</w:t>
      </w:r>
    </w:p>
    <w:p>
      <w:pPr>
        <w:spacing w:after="0" w:line="92" w:lineRule="exact"/>
        <w:rPr>
          <w:sz w:val="20"/>
          <w:szCs w:val="20"/>
          <w:color w:val="auto"/>
        </w:rPr>
      </w:pPr>
    </w:p>
    <w:p>
      <w:pPr>
        <w:ind w:left="1000" w:hanging="546"/>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transaction from which the director derived an improper personal benefit;</w:t>
      </w:r>
    </w:p>
    <w:p>
      <w:pPr>
        <w:spacing w:after="0" w:line="121" w:lineRule="exact"/>
        <w:rPr>
          <w:rFonts w:ascii="Arial" w:cs="Arial" w:eastAsia="Arial" w:hAnsi="Arial"/>
          <w:sz w:val="20"/>
          <w:szCs w:val="20"/>
          <w:color w:val="auto"/>
        </w:rPr>
      </w:pPr>
    </w:p>
    <w:p>
      <w:pPr>
        <w:ind w:left="1000" w:hanging="546"/>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act or omission not in good faith or that involved intentional misconduct or a knowing violation of law;</w:t>
      </w:r>
    </w:p>
    <w:p>
      <w:pPr>
        <w:spacing w:after="0" w:line="121" w:lineRule="exact"/>
        <w:rPr>
          <w:rFonts w:ascii="Arial" w:cs="Arial" w:eastAsia="Arial" w:hAnsi="Arial"/>
          <w:sz w:val="20"/>
          <w:szCs w:val="20"/>
          <w:color w:val="auto"/>
        </w:rPr>
      </w:pPr>
    </w:p>
    <w:p>
      <w:pPr>
        <w:ind w:left="1000" w:hanging="546"/>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unlawful payment of dividends or redemption of shares; or</w:t>
      </w:r>
    </w:p>
    <w:p>
      <w:pPr>
        <w:spacing w:after="0" w:line="121" w:lineRule="exact"/>
        <w:rPr>
          <w:rFonts w:ascii="Arial" w:cs="Arial" w:eastAsia="Arial" w:hAnsi="Arial"/>
          <w:sz w:val="20"/>
          <w:szCs w:val="20"/>
          <w:color w:val="auto"/>
        </w:rPr>
      </w:pPr>
    </w:p>
    <w:p>
      <w:pPr>
        <w:ind w:left="1000" w:hanging="546"/>
        <w:spacing w:after="0"/>
        <w:tabs>
          <w:tab w:leader="none" w:pos="1000" w:val="left"/>
        </w:tabs>
        <w:numPr>
          <w:ilvl w:val="0"/>
          <w:numId w:val="111"/>
        </w:numPr>
        <w:rPr>
          <w:rFonts w:ascii="Arial" w:cs="Arial" w:eastAsia="Arial" w:hAnsi="Arial"/>
          <w:sz w:val="20"/>
          <w:szCs w:val="20"/>
          <w:color w:val="auto"/>
        </w:rPr>
      </w:pPr>
      <w:r>
        <w:rPr>
          <w:rFonts w:ascii="Arial" w:cs="Arial" w:eastAsia="Arial" w:hAnsi="Arial"/>
          <w:sz w:val="20"/>
          <w:szCs w:val="20"/>
          <w:color w:val="auto"/>
        </w:rPr>
        <w:t>breach of the director’s duty of loyalty to the corporation or its stockholders.</w:t>
      </w:r>
    </w:p>
    <w:p>
      <w:pPr>
        <w:spacing w:after="0" w:line="216" w:lineRule="exact"/>
        <w:rPr>
          <w:sz w:val="20"/>
          <w:szCs w:val="20"/>
          <w:color w:val="auto"/>
        </w:rPr>
      </w:pPr>
    </w:p>
    <w:p>
      <w:pPr>
        <w:ind w:right="260" w:firstLine="456"/>
        <w:spacing w:after="0" w:line="257" w:lineRule="auto"/>
        <w:rPr>
          <w:sz w:val="20"/>
          <w:szCs w:val="20"/>
          <w:color w:val="auto"/>
        </w:rPr>
      </w:pPr>
      <w:r>
        <w:rPr>
          <w:rFonts w:ascii="Arial" w:cs="Arial" w:eastAsia="Arial" w:hAnsi="Arial"/>
          <w:sz w:val="19"/>
          <w:szCs w:val="19"/>
          <w:color w:val="auto"/>
        </w:rPr>
        <w:t>Section 145(a) of the DGCL provides, in general, that a Delaware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that person is or was a director, officer, employee or agent of the corporation, or is or was serving at the request of the corporation as a director, officer, employee or agent of another corporation or other enterprise. The indemnity may include expenses (including attorneys’ fees), judgments, fines and amounts paid in settlement actually and reasonably incurred by the person in connection with such action, so long as the person acted in good faith and in a manner he or she reasonably believed was in or not opposed to the corporation’s best interests, and, with respect to any criminal action or proceeding, had no reasonable cause to believe his or her conduct was unlawful.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II-1</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40" w:firstLine="456"/>
        <w:spacing w:after="0" w:line="271" w:lineRule="auto"/>
        <w:rPr>
          <w:sz w:val="20"/>
          <w:szCs w:val="20"/>
          <w:color w:val="auto"/>
        </w:rPr>
      </w:pPr>
      <w:r>
        <w:rPr>
          <w:rFonts w:ascii="Arial" w:cs="Arial" w:eastAsia="Arial" w:hAnsi="Arial"/>
          <w:sz w:val="18"/>
          <w:szCs w:val="18"/>
          <w:color w:val="auto"/>
        </w:rPr>
        <w:t>Section 145(b) of the DGCL provides, in general, that a Delaware corporation may indemnify any person who was or is a party, or is threatened to be made a party, to any threatened, pending or completed action or suit by or in the right of the corporation to obtain a judgment in its favor because the person is or was a director, officer, employee or agent of the corporation, or is or was serving at the request of the corporation as a director, officer, employee or agent of another corporation or other enterprise. The indemnity may include expenses (including attorneys’ fees) actually and reasonably incurred by the person in connection with the defense or settlement of such action, so long as the person acted in good faith and in a manner the person reasonably believed was in or not opposed to the corporation’s best interests, except that no indemnification shall be permitted without judicial approval if a court has determined that the person is to be liable to the corporation with respect to such claim. Section 145(c) of the DGCL provides that, if a present or former director or officer has been successful in defense of any action referred to in Sections 145(a) and (b) of the DGCL, the corporation must indemnify such officer or director against the expenses (including attorneys’ fees) he or she actually and reasonably incurred in connection with such action.</w:t>
      </w:r>
    </w:p>
    <w:p>
      <w:pPr>
        <w:spacing w:after="0" w:line="175" w:lineRule="exact"/>
        <w:rPr>
          <w:sz w:val="20"/>
          <w:szCs w:val="20"/>
          <w:color w:val="auto"/>
        </w:rPr>
      </w:pPr>
    </w:p>
    <w:p>
      <w:pPr>
        <w:ind w:right="20" w:firstLine="456"/>
        <w:spacing w:after="0" w:line="244" w:lineRule="auto"/>
        <w:rPr>
          <w:sz w:val="20"/>
          <w:szCs w:val="20"/>
          <w:color w:val="auto"/>
        </w:rPr>
      </w:pPr>
      <w:r>
        <w:rPr>
          <w:rFonts w:ascii="Arial" w:cs="Arial" w:eastAsia="Arial" w:hAnsi="Arial"/>
          <w:sz w:val="20"/>
          <w:szCs w:val="20"/>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or other enterprise against any liability asserted against and incurred by such person, in any such capacity, or arising out of his or her status as such, whether or not the corporation could indemnify the person against such liability under Section 145 of the DGCL.</w:t>
      </w:r>
    </w:p>
    <w:p>
      <w:pPr>
        <w:spacing w:after="0" w:line="195" w:lineRule="exact"/>
        <w:rPr>
          <w:sz w:val="20"/>
          <w:szCs w:val="20"/>
          <w:color w:val="auto"/>
        </w:rPr>
      </w:pPr>
    </w:p>
    <w:p>
      <w:pPr>
        <w:ind w:right="60" w:firstLine="456"/>
        <w:spacing w:after="0" w:line="250" w:lineRule="auto"/>
        <w:rPr>
          <w:sz w:val="20"/>
          <w:szCs w:val="20"/>
          <w:color w:val="auto"/>
        </w:rPr>
      </w:pPr>
      <w:r>
        <w:rPr>
          <w:rFonts w:ascii="Arial" w:cs="Arial" w:eastAsia="Arial" w:hAnsi="Arial"/>
          <w:sz w:val="20"/>
          <w:szCs w:val="20"/>
          <w:color w:val="auto"/>
        </w:rPr>
        <w:t>Our amended and restated certificate of incorporation and our amended and restated bylaws, each of which will become effective immediately prior to the completion of this offering, provide for the indemnification of our directors and officers to the fullest extent permitted under the DGCL.</w:t>
      </w:r>
    </w:p>
    <w:p>
      <w:pPr>
        <w:spacing w:after="0" w:line="18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9"/>
          <w:szCs w:val="19"/>
          <w:color w:val="auto"/>
        </w:rPr>
        <w:t>We entered into separate indemnification agreements with our directors and officers in addition to the indemnification provided for in our amended and restated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our company or in connection with service at our request for another corporation or entity. The indemnification agreements also provide for procedures that will apply in the event that a director or officer makes a claim for indemnification.</w:t>
      </w:r>
    </w:p>
    <w:p>
      <w:pPr>
        <w:spacing w:after="0" w:line="179" w:lineRule="exact"/>
        <w:rPr>
          <w:sz w:val="20"/>
          <w:szCs w:val="20"/>
          <w:color w:val="auto"/>
        </w:rPr>
      </w:pPr>
    </w:p>
    <w:p>
      <w:pPr>
        <w:ind w:right="200" w:firstLine="456"/>
        <w:spacing w:after="0" w:line="260" w:lineRule="auto"/>
        <w:rPr>
          <w:sz w:val="20"/>
          <w:szCs w:val="20"/>
          <w:color w:val="auto"/>
        </w:rPr>
      </w:pPr>
      <w:r>
        <w:rPr>
          <w:rFonts w:ascii="Arial" w:cs="Arial" w:eastAsia="Arial" w:hAnsi="Arial"/>
          <w:sz w:val="20"/>
          <w:szCs w:val="20"/>
          <w:color w:val="auto"/>
        </w:rPr>
        <w:t>We also maintain a directors’ and officers’ insurance policy pursuant to which our directors and officers are insured against liability for actions taken in their capacities as directors and officers.</w:t>
      </w:r>
    </w:p>
    <w:p>
      <w:pPr>
        <w:spacing w:after="0" w:line="177" w:lineRule="exact"/>
        <w:rPr>
          <w:sz w:val="20"/>
          <w:szCs w:val="20"/>
          <w:color w:val="auto"/>
        </w:rPr>
      </w:pPr>
    </w:p>
    <w:p>
      <w:pPr>
        <w:ind w:right="660" w:firstLine="456"/>
        <w:spacing w:after="0" w:line="316" w:lineRule="auto"/>
        <w:rPr>
          <w:sz w:val="20"/>
          <w:szCs w:val="20"/>
          <w:color w:val="auto"/>
        </w:rPr>
      </w:pPr>
      <w:r>
        <w:rPr>
          <w:rFonts w:ascii="Arial" w:cs="Arial" w:eastAsia="Arial" w:hAnsi="Arial"/>
          <w:sz w:val="18"/>
          <w:szCs w:val="18"/>
          <w:color w:val="auto"/>
        </w:rPr>
        <w:t>We intend to enter into an underwriting agreement, which provides for indemnification by the underwriters of us, our officers and directors, for certain liabilities, including liabilities arising under the Securities Act of 1933, as amended, or the Securities Act.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See also the undertakings set out in response to Item 17 herein.</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II-2</w:t>
      </w:r>
    </w:p>
    <w:p>
      <w:pPr>
        <w:sectPr>
          <w:pgSz w:w="11900" w:h="16838" w:orient="portrait"/>
          <w:cols w:equalWidth="0" w:num="1">
            <w:col w:w="11380"/>
          </w:cols>
          <w:pgMar w:left="240" w:top="460" w:right="2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16"/>
          <w:szCs w:val="16"/>
          <w:b w:val="1"/>
          <w:bCs w:val="1"/>
          <w:color w:val="auto"/>
        </w:rPr>
        <w:t>Recent Sales of Unregistered Securities.</w:t>
      </w:r>
    </w:p>
    <w:p>
      <w:pPr>
        <w:spacing w:after="0" w:line="114" w:lineRule="exact"/>
        <w:rPr>
          <w:sz w:val="20"/>
          <w:szCs w:val="20"/>
          <w:color w:val="auto"/>
        </w:rPr>
      </w:pPr>
    </w:p>
    <w:p>
      <w:pPr>
        <w:ind w:right="180" w:firstLine="456"/>
        <w:spacing w:after="0" w:line="246" w:lineRule="auto"/>
        <w:rPr>
          <w:sz w:val="20"/>
          <w:szCs w:val="20"/>
          <w:color w:val="auto"/>
        </w:rPr>
      </w:pPr>
      <w:r>
        <w:rPr>
          <w:rFonts w:ascii="Arial" w:cs="Arial" w:eastAsia="Arial" w:hAnsi="Arial"/>
          <w:sz w:val="20"/>
          <w:szCs w:val="20"/>
          <w:color w:val="auto"/>
        </w:rPr>
        <w:t>The following lists set forth information regarding all securities sold or granted by us within the past three years that were not registered under the Securities Act (after giving effect to a 1-for-10 reverse stock split and a 1-for-12.3 reverse stock split of our common stock and convertible preferred stock effected on November 18, 2013 and June 3, 2014, respectively), and the consideration, if any, received by us for such securities:</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Issuances of Capital Stock</w:t>
      </w:r>
    </w:p>
    <w:p>
      <w:pPr>
        <w:spacing w:after="0" w:line="114" w:lineRule="exact"/>
        <w:rPr>
          <w:sz w:val="20"/>
          <w:szCs w:val="20"/>
          <w:color w:val="auto"/>
        </w:rPr>
      </w:pPr>
    </w:p>
    <w:p>
      <w:pPr>
        <w:ind w:right="40" w:firstLine="464"/>
        <w:spacing w:after="0" w:line="291" w:lineRule="auto"/>
        <w:tabs>
          <w:tab w:leader="none" w:pos="73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March 2013, all outstanding shares of our Series A convertible preferred stock were recapitalized in a stock split whereby the holders of Series A convertible preferred stock received 10 shares of Series A convertible preferred stock for every one share owned. Each share of our Series A convertible preferred stock will convert into one-fifth of one share of our common stock upon completion of this offering.</w:t>
      </w:r>
    </w:p>
    <w:p>
      <w:pPr>
        <w:spacing w:after="0" w:line="151" w:lineRule="exact"/>
        <w:rPr>
          <w:rFonts w:ascii="Arial" w:cs="Arial" w:eastAsia="Arial" w:hAnsi="Arial"/>
          <w:sz w:val="18"/>
          <w:szCs w:val="18"/>
          <w:color w:val="auto"/>
        </w:rPr>
      </w:pPr>
    </w:p>
    <w:p>
      <w:pPr>
        <w:ind w:right="100" w:firstLine="464"/>
        <w:spacing w:after="0" w:line="260" w:lineRule="auto"/>
        <w:tabs>
          <w:tab w:leader="none" w:pos="73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March 2013, 3,939,957 shares of our Series A convertible preferred stock were converted into shares of our Series A-1 convertible preferred stock.</w:t>
      </w:r>
    </w:p>
    <w:p>
      <w:pPr>
        <w:spacing w:after="0" w:line="176" w:lineRule="exact"/>
        <w:rPr>
          <w:rFonts w:ascii="Arial" w:cs="Arial" w:eastAsia="Arial" w:hAnsi="Arial"/>
          <w:sz w:val="20"/>
          <w:szCs w:val="20"/>
          <w:color w:val="auto"/>
        </w:rPr>
      </w:pPr>
    </w:p>
    <w:p>
      <w:pPr>
        <w:ind w:right="40" w:firstLine="464"/>
        <w:spacing w:after="0" w:line="260" w:lineRule="auto"/>
        <w:tabs>
          <w:tab w:leader="none" w:pos="73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March, April, August and November 2013, we issued and sold, in a series of closings to 18 accredited investors, an aggregate of 3,535,442 shares of our Series B-1 convertible preferred stock in exchange for convertible debt, accrued interest and cash at a price per share of $11.19 and an aggregate of 148,153 shares of our Series B convertible preferred stock in exchange for convertible debt and accrued interest at a price per share of $11.19, for net proceeds of $20.6 million. Each share of our Series B-1 and Series B convertible preferred stock will convert into one share of our common stock upon completion of this offering.</w:t>
      </w:r>
    </w:p>
    <w:p>
      <w:pPr>
        <w:spacing w:after="0" w:line="180" w:lineRule="exact"/>
        <w:rPr>
          <w:rFonts w:ascii="Arial" w:cs="Arial" w:eastAsia="Arial" w:hAnsi="Arial"/>
          <w:sz w:val="19"/>
          <w:szCs w:val="19"/>
          <w:color w:val="auto"/>
        </w:rPr>
      </w:pPr>
    </w:p>
    <w:p>
      <w:pPr>
        <w:ind w:firstLine="464"/>
        <w:spacing w:after="0" w:line="291" w:lineRule="auto"/>
        <w:tabs>
          <w:tab w:leader="none" w:pos="73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July and November 2013, we issued and sold, in a series of closings to an accredited investor, an aggregate of 446,706 shares of our Series B-1 convertible preferred stock in exchange for cash at a price per share of $11.19, for gross proceeds of $5.0 million. Each share of our Series B-1 convertible preferred stock will convert into one share of our common stock upon completion of this offering.</w:t>
      </w:r>
    </w:p>
    <w:p>
      <w:pPr>
        <w:spacing w:after="0" w:line="151" w:lineRule="exact"/>
        <w:rPr>
          <w:rFonts w:ascii="Arial" w:cs="Arial" w:eastAsia="Arial" w:hAnsi="Arial"/>
          <w:sz w:val="18"/>
          <w:szCs w:val="18"/>
          <w:color w:val="auto"/>
        </w:rPr>
      </w:pPr>
    </w:p>
    <w:p>
      <w:pPr>
        <w:ind w:right="200" w:firstLine="464"/>
        <w:spacing w:after="0" w:line="260" w:lineRule="auto"/>
        <w:tabs>
          <w:tab w:leader="none" w:pos="73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August 2013, 437,772 shares of our Series A-1 convertible preferred stock were converted into shares of our Series A convertible preferred stock.</w:t>
      </w:r>
    </w:p>
    <w:p>
      <w:pPr>
        <w:spacing w:after="0" w:line="176" w:lineRule="exact"/>
        <w:rPr>
          <w:rFonts w:ascii="Arial" w:cs="Arial" w:eastAsia="Arial" w:hAnsi="Arial"/>
          <w:sz w:val="20"/>
          <w:szCs w:val="20"/>
          <w:color w:val="auto"/>
        </w:rPr>
      </w:pPr>
    </w:p>
    <w:p>
      <w:pPr>
        <w:ind w:right="220" w:firstLine="464"/>
        <w:spacing w:after="0" w:line="260" w:lineRule="auto"/>
        <w:tabs>
          <w:tab w:leader="none" w:pos="73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August 2013, 192,149 shares of our Series B-1 convertible preferred stock were converted into shares of our Series B convertible preferred stock.</w:t>
      </w:r>
    </w:p>
    <w:p>
      <w:pPr>
        <w:spacing w:after="0" w:line="176" w:lineRule="exact"/>
        <w:rPr>
          <w:rFonts w:ascii="Arial" w:cs="Arial" w:eastAsia="Arial" w:hAnsi="Arial"/>
          <w:sz w:val="20"/>
          <w:szCs w:val="20"/>
          <w:color w:val="auto"/>
        </w:rPr>
      </w:pPr>
    </w:p>
    <w:p>
      <w:pPr>
        <w:ind w:left="740" w:hanging="276"/>
        <w:spacing w:after="0"/>
        <w:tabs>
          <w:tab w:leader="none" w:pos="7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In November 2013, we issued 20,325 shares of our common stock to an investor as consideration for license and option rights granted</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to us.</w:t>
      </w:r>
    </w:p>
    <w:p>
      <w:pPr>
        <w:spacing w:after="0" w:line="199" w:lineRule="exact"/>
        <w:rPr>
          <w:rFonts w:ascii="Arial" w:cs="Arial" w:eastAsia="Arial" w:hAnsi="Arial"/>
          <w:sz w:val="16"/>
          <w:szCs w:val="16"/>
          <w:color w:val="auto"/>
        </w:rPr>
      </w:pPr>
    </w:p>
    <w:p>
      <w:pPr>
        <w:ind w:right="120" w:firstLine="464"/>
        <w:spacing w:after="0" w:line="260" w:lineRule="auto"/>
        <w:tabs>
          <w:tab w:leader="none" w:pos="73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March 2014, we issued 2,430 shares of our common stock at a price per share of $2.46 to one of our former employees pursuant to the exercise of stock options under our 2007 Plan for an aggregate purchase price of $5,980.</w:t>
      </w:r>
    </w:p>
    <w:p>
      <w:pPr>
        <w:spacing w:after="0" w:line="176" w:lineRule="exact"/>
        <w:rPr>
          <w:rFonts w:ascii="Arial" w:cs="Arial" w:eastAsia="Arial" w:hAnsi="Arial"/>
          <w:sz w:val="20"/>
          <w:szCs w:val="20"/>
          <w:color w:val="auto"/>
        </w:rPr>
      </w:pPr>
    </w:p>
    <w:p>
      <w:pPr>
        <w:ind w:right="100" w:firstLine="464"/>
        <w:spacing w:after="0" w:line="250" w:lineRule="auto"/>
        <w:tabs>
          <w:tab w:leader="none" w:pos="737" w:val="left"/>
        </w:tabs>
        <w:numPr>
          <w:ilvl w:val="0"/>
          <w:numId w:val="112"/>
        </w:numPr>
        <w:rPr>
          <w:rFonts w:ascii="Arial" w:cs="Arial" w:eastAsia="Arial" w:hAnsi="Arial"/>
          <w:sz w:val="20"/>
          <w:szCs w:val="20"/>
          <w:color w:val="auto"/>
        </w:rPr>
      </w:pPr>
      <w:r>
        <w:rPr>
          <w:rFonts w:ascii="Arial" w:cs="Arial" w:eastAsia="Arial" w:hAnsi="Arial"/>
          <w:sz w:val="20"/>
          <w:szCs w:val="20"/>
          <w:color w:val="auto"/>
        </w:rPr>
        <w:t>In January 2015, we issued and sold, in one closing to an accredited investor, 670,062 shares of our Series B-1 convertible preferred stock in exchange for cash at a price per share of $11.19, for gross proceeds of $7.5 million. Each share of our Series B-1 convertible preferred stock will convert into one share of our common stock upon completion of this offering.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II-3</w:t>
      </w:r>
    </w:p>
    <w:p>
      <w:pPr>
        <w:sectPr>
          <w:pgSz w:w="11900" w:h="16838" w:orient="portrait"/>
          <w:cols w:equalWidth="0" w:num="1">
            <w:col w:w="11420"/>
          </w:cols>
          <w:pgMar w:left="240" w:top="460" w:right="2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firstLine="464"/>
        <w:spacing w:after="0" w:line="260" w:lineRule="auto"/>
        <w:tabs>
          <w:tab w:leader="none" w:pos="8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May 2015, we issued 813 shares of our common stock at a price per share of $2.46 to one of our former employees pursuant to the exercise of stock options under our 2007 Plan for an aggregate purchase price of $2,000.</w:t>
      </w:r>
    </w:p>
    <w:p>
      <w:pPr>
        <w:spacing w:after="0" w:line="176" w:lineRule="exact"/>
        <w:rPr>
          <w:rFonts w:ascii="Arial" w:cs="Arial" w:eastAsia="Arial" w:hAnsi="Arial"/>
          <w:sz w:val="20"/>
          <w:szCs w:val="20"/>
          <w:color w:val="auto"/>
        </w:rPr>
      </w:pPr>
    </w:p>
    <w:p>
      <w:pPr>
        <w:ind w:right="160" w:firstLine="464"/>
        <w:spacing w:after="0" w:line="260" w:lineRule="auto"/>
        <w:tabs>
          <w:tab w:leader="none" w:pos="828"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June 2015, we issued 4,148 shares of our common stock at a price per share of $2.46 to one of our former employees pursuant to the exercise of stock options under our 2007 Plan for an aggregate purchase price of $10,205.</w:t>
      </w:r>
    </w:p>
    <w:p>
      <w:pPr>
        <w:spacing w:after="0" w:line="176" w:lineRule="exact"/>
        <w:rPr>
          <w:rFonts w:ascii="Arial" w:cs="Arial" w:eastAsia="Arial" w:hAnsi="Arial"/>
          <w:sz w:val="20"/>
          <w:szCs w:val="20"/>
          <w:color w:val="auto"/>
        </w:rPr>
      </w:pPr>
    </w:p>
    <w:p>
      <w:pPr>
        <w:ind w:right="280" w:firstLine="464"/>
        <w:spacing w:after="0" w:line="246" w:lineRule="auto"/>
        <w:tabs>
          <w:tab w:leader="none" w:pos="8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June 2015, we issued and sold, in one closing to 12 accredited investors, an aggregate of 2,140,712 shares of our Series C-1 convertible preferred stock in exchange for convertible debt, accrued interest and cash at a price per share of $11.19, for gross proceeds of $18.7 million. Each share of our Series C-1 convertible preferred stock will convert into one share of our common stock upon completion of this offering.</w:t>
      </w:r>
    </w:p>
    <w:p>
      <w:pPr>
        <w:spacing w:after="0" w:line="191" w:lineRule="exact"/>
        <w:rPr>
          <w:rFonts w:ascii="Arial" w:cs="Arial" w:eastAsia="Arial" w:hAnsi="Arial"/>
          <w:sz w:val="20"/>
          <w:szCs w:val="20"/>
          <w:color w:val="auto"/>
        </w:rPr>
      </w:pPr>
    </w:p>
    <w:p>
      <w:pPr>
        <w:ind w:right="40" w:firstLine="464"/>
        <w:spacing w:after="0" w:line="260" w:lineRule="auto"/>
        <w:tabs>
          <w:tab w:leader="none" w:pos="8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July 2015, we issued 14,242 shares of our common stock at a price per share of $0.00123 to one of our consultants pursuant to the exercise of stock options under our 2007 Plan for an aggregate purchase price of $18.</w:t>
      </w:r>
    </w:p>
    <w:p>
      <w:pPr>
        <w:spacing w:after="0" w:line="176" w:lineRule="exact"/>
        <w:rPr>
          <w:rFonts w:ascii="Arial" w:cs="Arial" w:eastAsia="Arial" w:hAnsi="Arial"/>
          <w:sz w:val="20"/>
          <w:szCs w:val="20"/>
          <w:color w:val="auto"/>
        </w:rPr>
      </w:pPr>
    </w:p>
    <w:p>
      <w:pPr>
        <w:ind w:right="40" w:firstLine="464"/>
        <w:spacing w:after="0" w:line="250" w:lineRule="auto"/>
        <w:tabs>
          <w:tab w:leader="none" w:pos="836"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In August 2015, we issued and sold, in one closing to 19 accredited investors, an aggregate of 5,472,390 shares of our Series C-1 convertible preferred stock for cash at a price per share of $11.19, for gross proceeds of $61.3 million. Each share of our Series C-1 convertible preferred stock will convert into one share of our common stock upon completion of this offering.</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 Financings and Warrants</w:t>
      </w:r>
    </w:p>
    <w:p>
      <w:pPr>
        <w:spacing w:after="0" w:line="114" w:lineRule="exact"/>
        <w:rPr>
          <w:sz w:val="20"/>
          <w:szCs w:val="20"/>
          <w:color w:val="auto"/>
        </w:rPr>
      </w:pPr>
    </w:p>
    <w:p>
      <w:pPr>
        <w:jc w:val="both"/>
        <w:ind w:right="240" w:firstLine="464"/>
        <w:spacing w:after="0" w:line="263" w:lineRule="auto"/>
        <w:tabs>
          <w:tab w:leader="none" w:pos="83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Between December 2011 and June 2012, in connection with a bridge loan financing, we issued convertible promissory notes to 15 accredited investors for an aggregate principal amount of $8.7 million. The convertible promissory notes accrued interest at a rate of 8% per annum and had a maturity date of December 31, 2012. In March 2013, these notes converted into 76,489 shares of our Series B convertible preferred stock and 760,390 shares of our Series B-1 convertible preferred stock.</w:t>
      </w:r>
    </w:p>
    <w:p>
      <w:pPr>
        <w:spacing w:after="0" w:line="176" w:lineRule="exact"/>
        <w:rPr>
          <w:rFonts w:ascii="Arial" w:cs="Arial" w:eastAsia="Arial" w:hAnsi="Arial"/>
          <w:sz w:val="19"/>
          <w:szCs w:val="19"/>
          <w:color w:val="auto"/>
        </w:rPr>
      </w:pPr>
    </w:p>
    <w:p>
      <w:pPr>
        <w:ind w:right="180" w:firstLine="464"/>
        <w:spacing w:after="0" w:line="250" w:lineRule="auto"/>
        <w:tabs>
          <w:tab w:leader="none" w:pos="83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Between December 2011 and June 2012, in connection with a bridge loan financing, we granted warrants to purchase shares of our common stock to 15 accredited investors at an exercise price of $30.75 per share for an aggregate purchase price of $8,711. In March 2013, these warrants were canceled pursuant to the warrant cancellation agreement.</w:t>
      </w:r>
    </w:p>
    <w:p>
      <w:pPr>
        <w:spacing w:after="0" w:line="186" w:lineRule="exact"/>
        <w:rPr>
          <w:rFonts w:ascii="Arial" w:cs="Arial" w:eastAsia="Arial" w:hAnsi="Arial"/>
          <w:sz w:val="20"/>
          <w:szCs w:val="20"/>
          <w:color w:val="auto"/>
        </w:rPr>
      </w:pPr>
    </w:p>
    <w:p>
      <w:pPr>
        <w:ind w:firstLine="464"/>
        <w:spacing w:after="0" w:line="246" w:lineRule="auto"/>
        <w:tabs>
          <w:tab w:leader="none" w:pos="83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October 2012, in connection with a bridge loan financing, we issued convertible promissory notes to 12 accredited investors for an aggregate principal amount of $750,000. The convertible promissory notes accrued interest at a rate of 8% per annum and had a maturity date of October 9, 2013. In March 2013, these notes converted into 6,920 shares of our Series B convertible preferred stock and 62,288 shares of our Series B-1 convertible preferred stock.</w:t>
      </w:r>
    </w:p>
    <w:p>
      <w:pPr>
        <w:spacing w:after="0" w:line="191" w:lineRule="exact"/>
        <w:rPr>
          <w:rFonts w:ascii="Arial" w:cs="Arial" w:eastAsia="Arial" w:hAnsi="Arial"/>
          <w:sz w:val="20"/>
          <w:szCs w:val="20"/>
          <w:color w:val="auto"/>
        </w:rPr>
      </w:pPr>
    </w:p>
    <w:p>
      <w:pPr>
        <w:ind w:firstLine="464"/>
        <w:spacing w:after="0" w:line="246" w:lineRule="auto"/>
        <w:tabs>
          <w:tab w:leader="none" w:pos="83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Between November 2012 and January 2013, in connection with a bridge loan financing, we issued convertible promissory notes to 12 accredited investors for an aggregate principal amount of $2.2 million. The convertible promissory notes accrued interest at a rate of 8% per annum and had maturity dates ranging from November 19, 2013 to January 18, 2014. In March 2013, these notes converted into 196,306 shares of our Series B-1 convertible preferred stock.</w:t>
      </w:r>
    </w:p>
    <w:p>
      <w:pPr>
        <w:spacing w:after="0" w:line="191" w:lineRule="exact"/>
        <w:rPr>
          <w:rFonts w:ascii="Arial" w:cs="Arial" w:eastAsia="Arial" w:hAnsi="Arial"/>
          <w:sz w:val="20"/>
          <w:szCs w:val="20"/>
          <w:color w:val="auto"/>
        </w:rPr>
      </w:pPr>
    </w:p>
    <w:p>
      <w:pPr>
        <w:ind w:right="160" w:firstLine="464"/>
        <w:spacing w:after="0" w:line="260" w:lineRule="auto"/>
        <w:tabs>
          <w:tab w:leader="none" w:pos="836"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In February 2013, in connection with a bridge loan financing, we issued convertible promissory notes to 12 accredited investors for an aggregate principal amount of $45,000. The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II-4</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convertible promissory notes accrued interest at a rate of 8% per annum and had a maturity date of February 20, 2014. In March 2013, these notes converted into 4,034 shares of our Series B-1 convertible preferred stock.</w:t>
      </w:r>
    </w:p>
    <w:p>
      <w:pPr>
        <w:spacing w:after="0" w:line="177" w:lineRule="exact"/>
        <w:rPr>
          <w:sz w:val="20"/>
          <w:szCs w:val="20"/>
          <w:color w:val="auto"/>
        </w:rPr>
      </w:pPr>
    </w:p>
    <w:p>
      <w:pPr>
        <w:ind w:right="400" w:firstLine="464"/>
        <w:spacing w:after="0" w:line="260" w:lineRule="auto"/>
        <w:tabs>
          <w:tab w:leader="none" w:pos="83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March 2013, convertible promissory notes we issued in August 2010 converted into 64,743 shares of our Series B convertible preferred stock and 582,686 shares of our Series B-1 convertible preferred stock.</w:t>
      </w:r>
    </w:p>
    <w:p>
      <w:pPr>
        <w:spacing w:after="0" w:line="176" w:lineRule="exact"/>
        <w:rPr>
          <w:rFonts w:ascii="Arial" w:cs="Arial" w:eastAsia="Arial" w:hAnsi="Arial"/>
          <w:sz w:val="20"/>
          <w:szCs w:val="20"/>
          <w:color w:val="auto"/>
        </w:rPr>
      </w:pPr>
    </w:p>
    <w:p>
      <w:pPr>
        <w:ind w:right="80" w:firstLine="464"/>
        <w:spacing w:after="0" w:line="246" w:lineRule="auto"/>
        <w:tabs>
          <w:tab w:leader="none" w:pos="836"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In September and October 2014, in connection with a bridge loan financing, we issued convertible unsecured promissory notes to 11 accredited investors for an aggregate principal amount of $5,000,000. The convertible unsecured promissory notes accrued interest at 6% per annum and had a maturity date of September 30, 2015. In June 2015, these notes converted into 465,563 shares of our Series C-1 convertible preferred stock.</w:t>
      </w:r>
    </w:p>
    <w:p>
      <w:pPr>
        <w:spacing w:after="0" w:line="2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Grants of Stock Options</w:t>
      </w:r>
    </w:p>
    <w:p>
      <w:pPr>
        <w:spacing w:after="0" w:line="114" w:lineRule="exact"/>
        <w:rPr>
          <w:sz w:val="20"/>
          <w:szCs w:val="20"/>
          <w:color w:val="auto"/>
        </w:rPr>
      </w:pPr>
    </w:p>
    <w:p>
      <w:pPr>
        <w:ind w:right="180" w:firstLine="464"/>
        <w:spacing w:after="0" w:line="250" w:lineRule="auto"/>
        <w:tabs>
          <w:tab w:leader="none" w:pos="836" w:val="left"/>
        </w:tabs>
        <w:numPr>
          <w:ilvl w:val="0"/>
          <w:numId w:val="116"/>
        </w:numPr>
        <w:rPr>
          <w:rFonts w:ascii="Arial" w:cs="Arial" w:eastAsia="Arial" w:hAnsi="Arial"/>
          <w:sz w:val="20"/>
          <w:szCs w:val="20"/>
          <w:color w:val="auto"/>
        </w:rPr>
      </w:pPr>
      <w:r>
        <w:rPr>
          <w:rFonts w:ascii="Arial" w:cs="Arial" w:eastAsia="Arial" w:hAnsi="Arial"/>
          <w:sz w:val="20"/>
          <w:szCs w:val="20"/>
          <w:color w:val="auto"/>
        </w:rPr>
        <w:t>Between August 24, 2012 and August 24, 2015, we have granted stock options to purchase an aggregate of 2,999,703 shares of our common stock with exercise prices ranging from $0.00123 to $16.85 per share, to our employees, consultants and directors pursuant to our 2007 Plan.</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Act Exemptions</w:t>
      </w:r>
    </w:p>
    <w:p>
      <w:pPr>
        <w:spacing w:after="0" w:line="114" w:lineRule="exact"/>
        <w:rPr>
          <w:sz w:val="20"/>
          <w:szCs w:val="20"/>
          <w:color w:val="auto"/>
        </w:rPr>
      </w:pPr>
    </w:p>
    <w:p>
      <w:pPr>
        <w:ind w:right="80" w:firstLine="456"/>
        <w:spacing w:after="0" w:line="256" w:lineRule="auto"/>
        <w:rPr>
          <w:sz w:val="20"/>
          <w:szCs w:val="20"/>
          <w:color w:val="auto"/>
        </w:rPr>
      </w:pPr>
      <w:r>
        <w:rPr>
          <w:rFonts w:ascii="Arial" w:cs="Arial" w:eastAsia="Arial" w:hAnsi="Arial"/>
          <w:sz w:val="19"/>
          <w:szCs w:val="19"/>
          <w:color w:val="auto"/>
        </w:rPr>
        <w:t>We deemed the offers, sales and issuances of the securities described in paragraphs (1) through (21) above to be exempt from registration under the Securities Act, in reliance on Section 4(a)(2) of the Securities Act, including Regulation D and Rules 504 and 506 promulgated thereunder, relative to transactions by an issuer not involving a public offering. We deemed some of the grants of stock options described in paragraph (22) above to be exempt from registration under the Securities Act, in reliance on Section 4(a)(2) of the Securities Act, including Regulation D and Rule 506 promulgated thereunder, relating to transactions by an issuer not involving any public offering. All purchasers of securities in transactions exempt from registration pursuant to Regulation D represented to us that they were accredited investors and were acquiring the shares for investment purposes only and not with a view to, or for sale in connection with, any distribution thereof and that they could bear the risks of the investment and could hold the securities for an indefinite period of time. The purchasers received written disclosures that the securities had not been registered under the Securities Act and that any resale must be made pursuant to a registration statement or an available exemption from such registration.</w:t>
      </w:r>
    </w:p>
    <w:p>
      <w:pPr>
        <w:spacing w:after="0" w:line="181" w:lineRule="exact"/>
        <w:rPr>
          <w:sz w:val="20"/>
          <w:szCs w:val="20"/>
          <w:color w:val="auto"/>
        </w:rPr>
      </w:pPr>
    </w:p>
    <w:p>
      <w:pPr>
        <w:ind w:firstLine="456"/>
        <w:spacing w:after="0" w:line="244" w:lineRule="auto"/>
        <w:rPr>
          <w:sz w:val="20"/>
          <w:szCs w:val="20"/>
          <w:color w:val="auto"/>
        </w:rPr>
      </w:pPr>
      <w:r>
        <w:rPr>
          <w:rFonts w:ascii="Arial" w:cs="Arial" w:eastAsia="Arial" w:hAnsi="Arial"/>
          <w:sz w:val="20"/>
          <w:szCs w:val="20"/>
          <w:color w:val="auto"/>
        </w:rPr>
        <w:t>We deemed the grants of stock options described in paragraph (22) above, except to the extent described above as exempt pursuant to Section 4(a)(2) of the Securities Act, to be exempt from registration under the Securities Act in reliance on Rule 701 of the Securities Act as offers and sales of securities under compensatory benefit plans and contracts relating to compensation in compliance with Rule 701. Each of the recipients of securities in any transaction exempt from registration either received or had adequate access, through employment, business or other relationships, to information about us.</w:t>
      </w:r>
    </w:p>
    <w:p>
      <w:pPr>
        <w:spacing w:after="0" w:line="195" w:lineRule="exact"/>
        <w:rPr>
          <w:sz w:val="20"/>
          <w:szCs w:val="20"/>
          <w:color w:val="auto"/>
        </w:rPr>
      </w:pPr>
    </w:p>
    <w:p>
      <w:pPr>
        <w:ind w:right="160" w:firstLine="456"/>
        <w:spacing w:after="0" w:line="263" w:lineRule="auto"/>
        <w:rPr>
          <w:sz w:val="20"/>
          <w:szCs w:val="20"/>
          <w:color w:val="auto"/>
        </w:rPr>
      </w:pPr>
      <w:r>
        <w:rPr>
          <w:rFonts w:ascii="Arial" w:cs="Arial" w:eastAsia="Arial" w:hAnsi="Arial"/>
          <w:sz w:val="19"/>
          <w:szCs w:val="19"/>
          <w:color w:val="auto"/>
        </w:rPr>
        <w:t>All of the foregoing securities are deemed restricted securities for purposes of the Securities Act. The certificates representing the securities issued in the transactions described in this Item 15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in this Item 15.</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II-5</w:t>
      </w:r>
    </w:p>
    <w:p>
      <w:pPr>
        <w:sectPr>
          <w:pgSz w:w="11900" w:h="16838" w:orient="portrait"/>
          <w:cols w:equalWidth="0" w:num="1">
            <w:col w:w="11420"/>
          </w:cols>
          <w:pgMar w:left="240" w:top="460" w:right="2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7" w:lineRule="exact"/>
        <w:rPr>
          <w:sz w:val="20"/>
          <w:szCs w:val="20"/>
          <w:color w:val="auto"/>
        </w:rPr>
      </w:pPr>
    </w:p>
    <w:p>
      <w:pPr>
        <w:ind w:left="1000" w:hanging="428"/>
        <w:spacing w:after="0"/>
        <w:tabs>
          <w:tab w:leader="none" w:pos="10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Exhibits</w:t>
      </w:r>
    </w:p>
    <w:p>
      <w:pPr>
        <w:spacing w:after="0" w:line="108" w:lineRule="exact"/>
        <w:rPr>
          <w:sz w:val="20"/>
          <w:szCs w:val="20"/>
          <w:color w:val="auto"/>
        </w:rPr>
      </w:pPr>
    </w:p>
    <w:p>
      <w:pPr>
        <w:ind w:left="1040"/>
        <w:spacing w:after="0"/>
        <w:rPr>
          <w:sz w:val="20"/>
          <w:szCs w:val="20"/>
          <w:color w:val="auto"/>
        </w:rPr>
      </w:pPr>
      <w:r>
        <w:rPr>
          <w:rFonts w:ascii="Arial" w:cs="Arial" w:eastAsia="Arial" w:hAnsi="Arial"/>
          <w:sz w:val="20"/>
          <w:szCs w:val="20"/>
          <w:color w:val="auto"/>
        </w:rPr>
        <w:t>See the Index to Exhibits attached to this registration statement, which is incorporated by reference herein.</w:t>
      </w:r>
    </w:p>
    <w:p>
      <w:pPr>
        <w:spacing w:after="0" w:line="121" w:lineRule="exact"/>
        <w:rPr>
          <w:sz w:val="20"/>
          <w:szCs w:val="20"/>
          <w:color w:val="auto"/>
        </w:rPr>
      </w:pPr>
    </w:p>
    <w:p>
      <w:pPr>
        <w:ind w:left="1000" w:hanging="439"/>
        <w:spacing w:after="0"/>
        <w:tabs>
          <w:tab w:leader="none" w:pos="100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Financial Statement Schedules</w:t>
      </w:r>
    </w:p>
    <w:p>
      <w:pPr>
        <w:spacing w:after="0" w:line="108" w:lineRule="exact"/>
        <w:rPr>
          <w:sz w:val="20"/>
          <w:szCs w:val="20"/>
          <w:color w:val="auto"/>
        </w:rPr>
      </w:pPr>
    </w:p>
    <w:p>
      <w:pPr>
        <w:ind w:left="1040" w:right="20"/>
        <w:spacing w:after="0" w:line="260" w:lineRule="auto"/>
        <w:rPr>
          <w:sz w:val="20"/>
          <w:szCs w:val="20"/>
          <w:color w:val="auto"/>
        </w:rPr>
      </w:pPr>
      <w:r>
        <w:rPr>
          <w:rFonts w:ascii="Arial" w:cs="Arial" w:eastAsia="Arial" w:hAnsi="Arial"/>
          <w:sz w:val="20"/>
          <w:szCs w:val="20"/>
          <w:color w:val="auto"/>
        </w:rPr>
        <w:t>No financial statement schedules are provided, because the information called for is not required or is shown either in the financial statements or the notes thereto.</w:t>
      </w:r>
    </w:p>
    <w:p>
      <w:pPr>
        <w:spacing w:after="0" w:line="320"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14" w:lineRule="exact"/>
        <w:rPr>
          <w:sz w:val="20"/>
          <w:szCs w:val="20"/>
          <w:color w:val="auto"/>
        </w:rPr>
      </w:pPr>
    </w:p>
    <w:p>
      <w:pPr>
        <w:ind w:firstLine="456"/>
        <w:spacing w:after="0" w:line="27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undersigned registrant hereby undertakes that:</w:t>
      </w:r>
    </w:p>
    <w:p>
      <w:pPr>
        <w:spacing w:after="0" w:line="121" w:lineRule="exact"/>
        <w:rPr>
          <w:sz w:val="20"/>
          <w:szCs w:val="20"/>
          <w:color w:val="auto"/>
        </w:rPr>
      </w:pPr>
    </w:p>
    <w:p>
      <w:pPr>
        <w:ind w:left="1000" w:right="620" w:hanging="439"/>
        <w:spacing w:after="0" w:line="316" w:lineRule="auto"/>
        <w:tabs>
          <w:tab w:leader="none" w:pos="10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registrant will provide to the underwriters at the closing as specified in the underwriting agreement, certificates in such denominations and registered in such names as required by the underwriters to permit prompt delivery to each purchaser.</w:t>
      </w:r>
    </w:p>
    <w:p>
      <w:pPr>
        <w:spacing w:after="0" w:line="35" w:lineRule="exact"/>
        <w:rPr>
          <w:rFonts w:ascii="Arial" w:cs="Arial" w:eastAsia="Arial" w:hAnsi="Arial"/>
          <w:sz w:val="18"/>
          <w:szCs w:val="18"/>
          <w:color w:val="auto"/>
        </w:rPr>
      </w:pPr>
    </w:p>
    <w:p>
      <w:pPr>
        <w:ind w:left="1000" w:right="180" w:hanging="439"/>
        <w:spacing w:after="0" w:line="246" w:lineRule="auto"/>
        <w:tabs>
          <w:tab w:leader="none" w:pos="10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424(b)(1) or (4) or 497(h) under the Securities Act shall be deemed to be part of this registration statement as of the time it was declared effective.</w:t>
      </w:r>
    </w:p>
    <w:p>
      <w:pPr>
        <w:spacing w:after="0" w:line="96" w:lineRule="exact"/>
        <w:rPr>
          <w:rFonts w:ascii="Arial" w:cs="Arial" w:eastAsia="Arial" w:hAnsi="Arial"/>
          <w:sz w:val="20"/>
          <w:szCs w:val="20"/>
          <w:color w:val="auto"/>
        </w:rPr>
      </w:pPr>
    </w:p>
    <w:p>
      <w:pPr>
        <w:ind w:left="1000" w:right="360" w:hanging="439"/>
        <w:spacing w:after="0" w:line="250" w:lineRule="auto"/>
        <w:tabs>
          <w:tab w:leader="none" w:pos="100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II-6</w:t>
      </w:r>
    </w:p>
    <w:p>
      <w:pPr>
        <w:sectPr>
          <w:pgSz w:w="11900" w:h="16838" w:orient="portrait"/>
          <w:cols w:equalWidth="0" w:num="1">
            <w:col w:w="11400"/>
          </w:cols>
          <w:pgMar w:left="240" w:top="459" w:right="2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60" w:firstLine="456"/>
        <w:spacing w:after="0" w:line="309"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the City of Waltham, in the Commonwealth of Massachusetts,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60" w:type="dxa"/>
            <w:vAlign w:val="bottom"/>
          </w:tcPr>
          <w:p>
            <w:pPr>
              <w:spacing w:after="0"/>
              <w:rPr>
                <w:sz w:val="20"/>
                <w:szCs w:val="20"/>
                <w:color w:val="auto"/>
              </w:rPr>
            </w:pPr>
            <w:r>
              <w:rPr>
                <w:rFonts w:ascii="Arial" w:cs="Arial" w:eastAsia="Arial" w:hAnsi="Arial"/>
                <w:sz w:val="20"/>
                <w:szCs w:val="20"/>
                <w:color w:val="auto"/>
              </w:rPr>
              <w:t>on this   day of</w:t>
            </w:r>
          </w:p>
        </w:tc>
        <w:tc>
          <w:tcPr>
            <w:tcW w:w="5540" w:type="dxa"/>
            <w:vAlign w:val="bottom"/>
          </w:tcPr>
          <w:p>
            <w:pPr>
              <w:jc w:val="right"/>
              <w:ind w:right="4381"/>
              <w:spacing w:after="0"/>
              <w:rPr>
                <w:sz w:val="20"/>
                <w:szCs w:val="20"/>
                <w:color w:val="auto"/>
              </w:rPr>
            </w:pPr>
            <w:r>
              <w:rPr>
                <w:rFonts w:ascii="Arial" w:cs="Arial" w:eastAsia="Arial" w:hAnsi="Arial"/>
                <w:sz w:val="20"/>
                <w:szCs w:val="20"/>
                <w:color w:val="auto"/>
              </w:rPr>
              <w:t>, 2015.</w:t>
            </w:r>
          </w:p>
        </w:tc>
        <w:tc>
          <w:tcPr>
            <w:tcW w:w="4020" w:type="dxa"/>
            <w:vAlign w:val="bottom"/>
          </w:tcPr>
          <w:p>
            <w:pPr>
              <w:spacing w:after="0"/>
              <w:rPr>
                <w:sz w:val="21"/>
                <w:szCs w:val="21"/>
                <w:color w:val="auto"/>
              </w:rPr>
            </w:pPr>
          </w:p>
        </w:tc>
      </w:tr>
      <w:tr>
        <w:trPr>
          <w:trHeight w:val="457"/>
        </w:trPr>
        <w:tc>
          <w:tcPr>
            <w:tcW w:w="1860" w:type="dxa"/>
            <w:vAlign w:val="bottom"/>
          </w:tcPr>
          <w:p>
            <w:pPr>
              <w:spacing w:after="0"/>
              <w:rPr>
                <w:sz w:val="24"/>
                <w:szCs w:val="24"/>
                <w:color w:val="auto"/>
              </w:rPr>
            </w:pPr>
          </w:p>
        </w:tc>
        <w:tc>
          <w:tcPr>
            <w:tcW w:w="9560" w:type="dxa"/>
            <w:vAlign w:val="bottom"/>
            <w:gridSpan w:val="2"/>
          </w:tcPr>
          <w:p>
            <w:pPr>
              <w:ind w:left="5000"/>
              <w:spacing w:after="0"/>
              <w:rPr>
                <w:sz w:val="20"/>
                <w:szCs w:val="20"/>
                <w:color w:val="auto"/>
              </w:rPr>
            </w:pPr>
            <w:r>
              <w:rPr>
                <w:rFonts w:ascii="Arial" w:cs="Arial" w:eastAsia="Arial" w:hAnsi="Arial"/>
                <w:sz w:val="20"/>
                <w:szCs w:val="20"/>
                <w:b w:val="1"/>
                <w:bCs w:val="1"/>
                <w:color w:val="auto"/>
              </w:rPr>
              <w:t>SYNDAX PHARMACEUTICALS, INC.</w:t>
            </w:r>
          </w:p>
        </w:tc>
      </w:tr>
      <w:tr>
        <w:trPr>
          <w:trHeight w:val="442"/>
        </w:trPr>
        <w:tc>
          <w:tcPr>
            <w:tcW w:w="1860" w:type="dxa"/>
            <w:vAlign w:val="bottom"/>
          </w:tcPr>
          <w:p>
            <w:pPr>
              <w:spacing w:after="0"/>
              <w:rPr>
                <w:sz w:val="24"/>
                <w:szCs w:val="24"/>
                <w:color w:val="auto"/>
              </w:rPr>
            </w:pPr>
          </w:p>
        </w:tc>
        <w:tc>
          <w:tcPr>
            <w:tcW w:w="9560" w:type="dxa"/>
            <w:vAlign w:val="bottom"/>
            <w:gridSpan w:val="2"/>
          </w:tcPr>
          <w:p>
            <w:pPr>
              <w:ind w:left="5000"/>
              <w:spacing w:after="0"/>
              <w:rPr>
                <w:sz w:val="20"/>
                <w:szCs w:val="20"/>
                <w:color w:val="auto"/>
              </w:rPr>
            </w:pPr>
            <w:r>
              <w:rPr>
                <w:rFonts w:ascii="Arial" w:cs="Arial" w:eastAsia="Arial" w:hAnsi="Arial"/>
                <w:sz w:val="20"/>
                <w:szCs w:val="20"/>
                <w:color w:val="auto"/>
              </w:rPr>
              <w:t>By:</w:t>
            </w:r>
          </w:p>
        </w:tc>
      </w:tr>
      <w:tr>
        <w:trPr>
          <w:trHeight w:val="206"/>
        </w:trPr>
        <w:tc>
          <w:tcPr>
            <w:tcW w:w="186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4020" w:type="dxa"/>
            <w:vAlign w:val="bottom"/>
            <w:tcBorders>
              <w:top w:val="single" w:sz="8" w:color="auto"/>
            </w:tcBorders>
          </w:tcPr>
          <w:p>
            <w:pPr>
              <w:ind w:left="40"/>
              <w:spacing w:after="0" w:line="207" w:lineRule="exact"/>
              <w:rPr>
                <w:sz w:val="20"/>
                <w:szCs w:val="20"/>
                <w:color w:val="auto"/>
              </w:rPr>
            </w:pPr>
            <w:r>
              <w:rPr>
                <w:rFonts w:ascii="Arial" w:cs="Arial" w:eastAsia="Arial" w:hAnsi="Arial"/>
                <w:sz w:val="20"/>
                <w:szCs w:val="20"/>
                <w:color w:val="auto"/>
              </w:rPr>
              <w:t>Briggs W. Morrison, M.D.</w:t>
            </w:r>
          </w:p>
        </w:tc>
      </w:tr>
      <w:tr>
        <w:trPr>
          <w:trHeight w:val="250"/>
        </w:trPr>
        <w:tc>
          <w:tcPr>
            <w:tcW w:w="1860" w:type="dxa"/>
            <w:vAlign w:val="bottom"/>
          </w:tcPr>
          <w:p>
            <w:pPr>
              <w:spacing w:after="0"/>
              <w:rPr>
                <w:sz w:val="21"/>
                <w:szCs w:val="21"/>
                <w:color w:val="auto"/>
              </w:rPr>
            </w:pPr>
          </w:p>
        </w:tc>
        <w:tc>
          <w:tcPr>
            <w:tcW w:w="5540" w:type="dxa"/>
            <w:vAlign w:val="bottom"/>
          </w:tcPr>
          <w:p>
            <w:pPr>
              <w:spacing w:after="0"/>
              <w:rPr>
                <w:sz w:val="21"/>
                <w:szCs w:val="21"/>
                <w:color w:val="auto"/>
              </w:rPr>
            </w:pPr>
          </w:p>
        </w:tc>
        <w:tc>
          <w:tcPr>
            <w:tcW w:w="402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22" w:lineRule="exact"/>
        <w:rPr>
          <w:sz w:val="20"/>
          <w:szCs w:val="20"/>
          <w:color w:val="auto"/>
        </w:rPr>
      </w:pPr>
    </w:p>
    <w:p>
      <w:pPr>
        <w:ind w:right="40" w:firstLine="456"/>
        <w:spacing w:after="0" w:line="272" w:lineRule="auto"/>
        <w:rPr>
          <w:sz w:val="20"/>
          <w:szCs w:val="20"/>
          <w:color w:val="auto"/>
        </w:rPr>
      </w:pPr>
      <w:r>
        <w:rPr>
          <w:rFonts w:ascii="Arial" w:cs="Arial" w:eastAsia="Arial" w:hAnsi="Arial"/>
          <w:sz w:val="18"/>
          <w:szCs w:val="18"/>
          <w:color w:val="auto"/>
        </w:rPr>
        <w:t>Each person whose individual signature appears below hereby authorizes and appoints Briggs W. Morrison, M.D. and John S. Pallies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registration statement, including any and all post-effective amendments and amendments thereto, and any subsequent registration statement relating to the same offering as this registration statement that is to be effective upon filing pursuant to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71" w:lineRule="exact"/>
        <w:rPr>
          <w:sz w:val="20"/>
          <w:szCs w:val="20"/>
          <w:color w:val="auto"/>
        </w:rPr>
      </w:pPr>
    </w:p>
    <w:p>
      <w:pPr>
        <w:ind w:right="520" w:firstLine="456"/>
        <w:spacing w:after="0" w:line="260" w:lineRule="auto"/>
        <w:rPr>
          <w:sz w:val="20"/>
          <w:szCs w:val="20"/>
          <w:color w:val="auto"/>
        </w:rPr>
      </w:pPr>
      <w:r>
        <w:rPr>
          <w:rFonts w:ascii="Arial" w:cs="Arial" w:eastAsia="Arial" w:hAnsi="Arial"/>
          <w:sz w:val="20"/>
          <w:szCs w:val="20"/>
          <w:color w:val="auto"/>
        </w:rPr>
        <w:t>Pursuant to the requirements of the Securities Act of 1933, as amended, this registration statement has been signed by the following persons on behalf of the registrant and in the capacities and on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42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Signature</w:t>
            </w:r>
          </w:p>
        </w:tc>
        <w:tc>
          <w:tcPr>
            <w:tcW w:w="140" w:type="dxa"/>
            <w:vAlign w:val="bottom"/>
          </w:tcPr>
          <w:p>
            <w:pPr>
              <w:spacing w:after="0"/>
              <w:rPr>
                <w:sz w:val="16"/>
                <w:szCs w:val="16"/>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Chief Executive Officer and Director</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280" w:type="dxa"/>
            <w:vAlign w:val="bottom"/>
            <w:vMerge w:val="restart"/>
          </w:tcPr>
          <w:p>
            <w:pPr>
              <w:jc w:val="center"/>
              <w:ind w:right="96"/>
              <w:spacing w:after="0"/>
              <w:rPr>
                <w:sz w:val="20"/>
                <w:szCs w:val="20"/>
                <w:color w:val="auto"/>
              </w:rPr>
            </w:pPr>
            <w:r>
              <w:rPr>
                <w:rFonts w:ascii="Arial" w:cs="Arial" w:eastAsia="Arial" w:hAnsi="Arial"/>
                <w:sz w:val="18"/>
                <w:szCs w:val="18"/>
                <w:color w:val="auto"/>
                <w:w w:val="94"/>
              </w:rPr>
              <w:t>Briggs W. Morrison, M.D.</w:t>
            </w:r>
          </w:p>
        </w:tc>
        <w:tc>
          <w:tcPr>
            <w:tcW w:w="140" w:type="dxa"/>
            <w:vAlign w:val="bottom"/>
          </w:tcPr>
          <w:p>
            <w:pPr>
              <w:spacing w:after="0"/>
              <w:rPr>
                <w:sz w:val="8"/>
                <w:szCs w:val="8"/>
                <w:color w:val="auto"/>
              </w:rPr>
            </w:pPr>
          </w:p>
        </w:tc>
        <w:tc>
          <w:tcPr>
            <w:tcW w:w="5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Executive Officer)</w:t>
            </w: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12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1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1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Chief Financial Officer, Secretary and Treasurer</w:t>
            </w: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180" w:type="dxa"/>
            <w:vAlign w:val="bottom"/>
          </w:tcPr>
          <w:p>
            <w:pPr>
              <w:spacing w:after="0"/>
              <w:rPr>
                <w:sz w:val="8"/>
                <w:szCs w:val="8"/>
                <w:color w:val="auto"/>
              </w:rPr>
            </w:pPr>
          </w:p>
        </w:tc>
        <w:tc>
          <w:tcPr>
            <w:tcW w:w="4280" w:type="dxa"/>
            <w:vAlign w:val="bottom"/>
            <w:vMerge w:val="restart"/>
          </w:tcPr>
          <w:p>
            <w:pPr>
              <w:jc w:val="center"/>
              <w:ind w:right="96"/>
              <w:spacing w:after="0"/>
              <w:rPr>
                <w:sz w:val="20"/>
                <w:szCs w:val="20"/>
                <w:color w:val="auto"/>
              </w:rPr>
            </w:pPr>
            <w:r>
              <w:rPr>
                <w:rFonts w:ascii="Arial" w:cs="Arial" w:eastAsia="Arial" w:hAnsi="Arial"/>
                <w:sz w:val="18"/>
                <w:szCs w:val="18"/>
                <w:color w:val="auto"/>
                <w:w w:val="88"/>
              </w:rPr>
              <w:t>John S. Pallies</w:t>
            </w:r>
          </w:p>
        </w:tc>
        <w:tc>
          <w:tcPr>
            <w:tcW w:w="140" w:type="dxa"/>
            <w:vAlign w:val="bottom"/>
          </w:tcPr>
          <w:p>
            <w:pPr>
              <w:spacing w:after="0"/>
              <w:rPr>
                <w:sz w:val="8"/>
                <w:szCs w:val="8"/>
                <w:color w:val="auto"/>
              </w:rPr>
            </w:pPr>
          </w:p>
        </w:tc>
        <w:tc>
          <w:tcPr>
            <w:tcW w:w="51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1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4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120" w:type="dxa"/>
            <w:vAlign w:val="bottom"/>
            <w:gridSpan w:val="2"/>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Borders>
              <w:bottom w:val="single" w:sz="8" w:color="auto"/>
            </w:tcBorders>
          </w:tcPr>
          <w:p>
            <w:pPr>
              <w:spacing w:after="0"/>
              <w:rPr>
                <w:sz w:val="20"/>
                <w:szCs w:val="20"/>
                <w:color w:val="auto"/>
              </w:rPr>
            </w:pPr>
          </w:p>
        </w:tc>
        <w:tc>
          <w:tcPr>
            <w:tcW w:w="5000" w:type="dxa"/>
            <w:vAlign w:val="bottom"/>
          </w:tcPr>
          <w:p>
            <w:pPr>
              <w:jc w:val="center"/>
              <w:ind w:left="210"/>
              <w:spacing w:after="0"/>
              <w:rPr>
                <w:sz w:val="20"/>
                <w:szCs w:val="20"/>
                <w:color w:val="auto"/>
              </w:rPr>
            </w:pPr>
            <w:r>
              <w:rPr>
                <w:rFonts w:ascii="Arial" w:cs="Arial" w:eastAsia="Arial" w:hAnsi="Arial"/>
                <w:sz w:val="18"/>
                <w:szCs w:val="18"/>
                <w:color w:val="auto"/>
                <w:w w:val="91"/>
              </w:rPr>
              <w:t>Chairman of the Board</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460" w:type="dxa"/>
            <w:vAlign w:val="bottom"/>
            <w:vMerge w:val="restart"/>
          </w:tcPr>
          <w:p>
            <w:pPr>
              <w:jc w:val="center"/>
              <w:spacing w:after="0"/>
              <w:rPr>
                <w:sz w:val="20"/>
                <w:szCs w:val="20"/>
                <w:color w:val="auto"/>
              </w:rPr>
            </w:pPr>
            <w:r>
              <w:rPr>
                <w:rFonts w:ascii="Arial" w:cs="Arial" w:eastAsia="Arial" w:hAnsi="Arial"/>
                <w:sz w:val="18"/>
                <w:szCs w:val="18"/>
                <w:color w:val="auto"/>
                <w:w w:val="89"/>
              </w:rPr>
              <w:t>Dennis G. Podlesak</w:t>
            </w:r>
          </w:p>
        </w:tc>
        <w:tc>
          <w:tcPr>
            <w:tcW w:w="50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vMerge w:val="continue"/>
          </w:tcPr>
          <w:p>
            <w:pPr>
              <w:spacing w:after="0"/>
              <w:rPr>
                <w:sz w:val="10"/>
                <w:szCs w:val="10"/>
                <w:color w:val="auto"/>
              </w:rPr>
            </w:pPr>
          </w:p>
        </w:tc>
        <w:tc>
          <w:tcPr>
            <w:tcW w:w="5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460" w:type="dxa"/>
            <w:vAlign w:val="bottom"/>
            <w:tcBorders>
              <w:bottom w:val="single" w:sz="8" w:color="auto"/>
            </w:tcBorders>
          </w:tcPr>
          <w:p>
            <w:pPr>
              <w:spacing w:after="0"/>
              <w:rPr>
                <w:sz w:val="24"/>
                <w:szCs w:val="24"/>
                <w:color w:val="auto"/>
              </w:rPr>
            </w:pPr>
          </w:p>
        </w:tc>
        <w:tc>
          <w:tcPr>
            <w:tcW w:w="500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460" w:type="dxa"/>
            <w:vAlign w:val="bottom"/>
            <w:vMerge w:val="restart"/>
          </w:tcPr>
          <w:p>
            <w:pPr>
              <w:jc w:val="center"/>
              <w:spacing w:after="0"/>
              <w:rPr>
                <w:sz w:val="20"/>
                <w:szCs w:val="20"/>
                <w:color w:val="auto"/>
              </w:rPr>
            </w:pPr>
            <w:r>
              <w:rPr>
                <w:rFonts w:ascii="Arial" w:cs="Arial" w:eastAsia="Arial" w:hAnsi="Arial"/>
                <w:sz w:val="18"/>
                <w:szCs w:val="18"/>
                <w:color w:val="auto"/>
                <w:w w:val="89"/>
              </w:rPr>
              <w:t>Henry Chen</w:t>
            </w:r>
          </w:p>
        </w:tc>
        <w:tc>
          <w:tcPr>
            <w:tcW w:w="50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vMerge w:val="continue"/>
          </w:tcPr>
          <w:p>
            <w:pPr>
              <w:spacing w:after="0"/>
              <w:rPr>
                <w:sz w:val="10"/>
                <w:szCs w:val="10"/>
                <w:color w:val="auto"/>
              </w:rPr>
            </w:pPr>
          </w:p>
        </w:tc>
        <w:tc>
          <w:tcPr>
            <w:tcW w:w="5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460" w:type="dxa"/>
            <w:vAlign w:val="bottom"/>
            <w:tcBorders>
              <w:bottom w:val="single" w:sz="8" w:color="auto"/>
            </w:tcBorders>
          </w:tcPr>
          <w:p>
            <w:pPr>
              <w:spacing w:after="0"/>
              <w:rPr>
                <w:sz w:val="24"/>
                <w:szCs w:val="24"/>
                <w:color w:val="auto"/>
              </w:rPr>
            </w:pPr>
          </w:p>
        </w:tc>
        <w:tc>
          <w:tcPr>
            <w:tcW w:w="500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460" w:type="dxa"/>
            <w:vAlign w:val="bottom"/>
            <w:vMerge w:val="restart"/>
          </w:tcPr>
          <w:p>
            <w:pPr>
              <w:jc w:val="center"/>
              <w:spacing w:after="0"/>
              <w:rPr>
                <w:sz w:val="20"/>
                <w:szCs w:val="20"/>
                <w:color w:val="auto"/>
              </w:rPr>
            </w:pPr>
            <w:r>
              <w:rPr>
                <w:rFonts w:ascii="Arial" w:cs="Arial" w:eastAsia="Arial" w:hAnsi="Arial"/>
                <w:sz w:val="18"/>
                <w:szCs w:val="18"/>
                <w:color w:val="auto"/>
                <w:w w:val="89"/>
              </w:rPr>
              <w:t>Fabrice Egros, Ph.D.</w:t>
            </w:r>
          </w:p>
        </w:tc>
        <w:tc>
          <w:tcPr>
            <w:tcW w:w="50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vMerge w:val="continue"/>
          </w:tcPr>
          <w:p>
            <w:pPr>
              <w:spacing w:after="0"/>
              <w:rPr>
                <w:sz w:val="10"/>
                <w:szCs w:val="10"/>
                <w:color w:val="auto"/>
              </w:rPr>
            </w:pPr>
          </w:p>
        </w:tc>
        <w:tc>
          <w:tcPr>
            <w:tcW w:w="5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460" w:type="dxa"/>
            <w:vAlign w:val="bottom"/>
            <w:tcBorders>
              <w:bottom w:val="single" w:sz="8" w:color="auto"/>
            </w:tcBorders>
          </w:tcPr>
          <w:p>
            <w:pPr>
              <w:spacing w:after="0"/>
              <w:rPr>
                <w:sz w:val="24"/>
                <w:szCs w:val="24"/>
                <w:color w:val="auto"/>
              </w:rPr>
            </w:pPr>
          </w:p>
        </w:tc>
        <w:tc>
          <w:tcPr>
            <w:tcW w:w="5000" w:type="dxa"/>
            <w:vAlign w:val="bottom"/>
          </w:tcPr>
          <w:p>
            <w:pPr>
              <w:jc w:val="center"/>
              <w:ind w:left="190"/>
              <w:spacing w:after="0"/>
              <w:rPr>
                <w:sz w:val="20"/>
                <w:szCs w:val="20"/>
                <w:color w:val="auto"/>
              </w:rPr>
            </w:pPr>
            <w:r>
              <w:rPr>
                <w:rFonts w:ascii="Arial" w:cs="Arial" w:eastAsia="Arial" w:hAnsi="Arial"/>
                <w:sz w:val="18"/>
                <w:szCs w:val="18"/>
                <w:color w:val="auto"/>
                <w:w w:val="95"/>
              </w:rPr>
              <w:t>Director</w:t>
            </w:r>
          </w:p>
        </w:tc>
        <w:tc>
          <w:tcPr>
            <w:tcW w:w="196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460" w:type="dxa"/>
            <w:vAlign w:val="bottom"/>
            <w:vMerge w:val="restart"/>
          </w:tcPr>
          <w:p>
            <w:pPr>
              <w:jc w:val="center"/>
              <w:spacing w:after="0"/>
              <w:rPr>
                <w:sz w:val="20"/>
                <w:szCs w:val="20"/>
                <w:color w:val="auto"/>
              </w:rPr>
            </w:pPr>
            <w:r>
              <w:rPr>
                <w:rFonts w:ascii="Arial" w:cs="Arial" w:eastAsia="Arial" w:hAnsi="Arial"/>
                <w:sz w:val="18"/>
                <w:szCs w:val="18"/>
                <w:color w:val="auto"/>
                <w:w w:val="92"/>
              </w:rPr>
              <w:t>Luke Evnin, Ph.D.</w:t>
            </w:r>
          </w:p>
        </w:tc>
        <w:tc>
          <w:tcPr>
            <w:tcW w:w="500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60" w:type="dxa"/>
            <w:vAlign w:val="bottom"/>
            <w:vMerge w:val="continue"/>
          </w:tcPr>
          <w:p>
            <w:pPr>
              <w:spacing w:after="0"/>
              <w:rPr>
                <w:sz w:val="10"/>
                <w:szCs w:val="10"/>
                <w:color w:val="auto"/>
              </w:rPr>
            </w:pPr>
          </w:p>
        </w:tc>
        <w:tc>
          <w:tcPr>
            <w:tcW w:w="50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40"/>
        <w:spacing w:after="0"/>
        <w:tabs>
          <w:tab w:leader="none" w:pos="6980" w:val="left"/>
          <w:tab w:leader="none" w:pos="103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tcBorders>
              <w:bottom w:val="single" w:sz="8" w:color="auto"/>
            </w:tcBorders>
          </w:tcPr>
          <w:p>
            <w:pPr>
              <w:spacing w:after="0"/>
              <w:rPr>
                <w:sz w:val="20"/>
                <w:szCs w:val="20"/>
                <w:color w:val="auto"/>
              </w:rPr>
            </w:pPr>
          </w:p>
        </w:tc>
        <w:tc>
          <w:tcPr>
            <w:tcW w:w="4540" w:type="dxa"/>
            <w:vAlign w:val="bottom"/>
          </w:tcPr>
          <w:p>
            <w:pPr>
              <w:ind w:left="2180"/>
              <w:spacing w:after="0"/>
              <w:rPr>
                <w:sz w:val="20"/>
                <w:szCs w:val="20"/>
                <w:color w:val="auto"/>
              </w:rPr>
            </w:pPr>
            <w:r>
              <w:rPr>
                <w:rFonts w:ascii="Arial" w:cs="Arial" w:eastAsia="Arial" w:hAnsi="Arial"/>
                <w:sz w:val="18"/>
                <w:szCs w:val="18"/>
                <w:color w:val="auto"/>
              </w:rPr>
              <w:t>Director</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90"/>
              </w:rPr>
              <w:t>Kim P. Kamdar, Ph.D.</w:t>
            </w:r>
          </w:p>
        </w:tc>
        <w:tc>
          <w:tcPr>
            <w:tcW w:w="45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8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680" w:type="dxa"/>
            <w:vAlign w:val="bottom"/>
            <w:tcBorders>
              <w:bottom w:val="single" w:sz="8" w:color="auto"/>
            </w:tcBorders>
          </w:tcPr>
          <w:p>
            <w:pPr>
              <w:spacing w:after="0"/>
              <w:rPr>
                <w:sz w:val="24"/>
                <w:szCs w:val="24"/>
                <w:color w:val="auto"/>
              </w:rPr>
            </w:pPr>
          </w:p>
        </w:tc>
        <w:tc>
          <w:tcPr>
            <w:tcW w:w="4540" w:type="dxa"/>
            <w:vAlign w:val="bottom"/>
          </w:tcPr>
          <w:p>
            <w:pPr>
              <w:ind w:left="2180"/>
              <w:spacing w:after="0"/>
              <w:rPr>
                <w:sz w:val="20"/>
                <w:szCs w:val="20"/>
                <w:color w:val="auto"/>
              </w:rPr>
            </w:pPr>
            <w:r>
              <w:rPr>
                <w:rFonts w:ascii="Arial" w:cs="Arial" w:eastAsia="Arial" w:hAnsi="Arial"/>
                <w:sz w:val="18"/>
                <w:szCs w:val="18"/>
                <w:color w:val="auto"/>
              </w:rPr>
              <w:t>Director</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95"/>
              </w:rPr>
              <w:t>Ivor Royston, M.D.</w:t>
            </w:r>
          </w:p>
        </w:tc>
        <w:tc>
          <w:tcPr>
            <w:tcW w:w="45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8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680" w:type="dxa"/>
            <w:vAlign w:val="bottom"/>
            <w:tcBorders>
              <w:bottom w:val="single" w:sz="8" w:color="auto"/>
            </w:tcBorders>
          </w:tcPr>
          <w:p>
            <w:pPr>
              <w:spacing w:after="0"/>
              <w:rPr>
                <w:sz w:val="24"/>
                <w:szCs w:val="24"/>
                <w:color w:val="auto"/>
              </w:rPr>
            </w:pPr>
          </w:p>
        </w:tc>
        <w:tc>
          <w:tcPr>
            <w:tcW w:w="4540" w:type="dxa"/>
            <w:vAlign w:val="bottom"/>
          </w:tcPr>
          <w:p>
            <w:pPr>
              <w:ind w:left="2180"/>
              <w:spacing w:after="0"/>
              <w:rPr>
                <w:sz w:val="20"/>
                <w:szCs w:val="20"/>
                <w:color w:val="auto"/>
              </w:rPr>
            </w:pPr>
            <w:r>
              <w:rPr>
                <w:rFonts w:ascii="Arial" w:cs="Arial" w:eastAsia="Arial" w:hAnsi="Arial"/>
                <w:sz w:val="18"/>
                <w:szCs w:val="18"/>
                <w:color w:val="auto"/>
              </w:rPr>
              <w:t>Director</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86"/>
              </w:rPr>
              <w:t>Richard P. Shea</w:t>
            </w:r>
          </w:p>
        </w:tc>
        <w:tc>
          <w:tcPr>
            <w:tcW w:w="45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8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4680" w:type="dxa"/>
            <w:vAlign w:val="bottom"/>
            <w:tcBorders>
              <w:bottom w:val="single" w:sz="8" w:color="auto"/>
            </w:tcBorders>
          </w:tcPr>
          <w:p>
            <w:pPr>
              <w:spacing w:after="0"/>
              <w:rPr>
                <w:sz w:val="24"/>
                <w:szCs w:val="24"/>
                <w:color w:val="auto"/>
              </w:rPr>
            </w:pPr>
          </w:p>
        </w:tc>
        <w:tc>
          <w:tcPr>
            <w:tcW w:w="4540" w:type="dxa"/>
            <w:vAlign w:val="bottom"/>
          </w:tcPr>
          <w:p>
            <w:pPr>
              <w:ind w:left="2180"/>
              <w:spacing w:after="0"/>
              <w:rPr>
                <w:sz w:val="20"/>
                <w:szCs w:val="20"/>
                <w:color w:val="auto"/>
              </w:rPr>
            </w:pPr>
            <w:r>
              <w:rPr>
                <w:rFonts w:ascii="Arial" w:cs="Arial" w:eastAsia="Arial" w:hAnsi="Arial"/>
                <w:sz w:val="18"/>
                <w:szCs w:val="18"/>
                <w:color w:val="auto"/>
              </w:rPr>
              <w:t>Director</w:t>
            </w:r>
          </w:p>
        </w:tc>
        <w:tc>
          <w:tcPr>
            <w:tcW w:w="2200" w:type="dxa"/>
            <w:vAlign w:val="bottom"/>
            <w:vMerge w:val="restart"/>
          </w:tcPr>
          <w:p>
            <w:pPr>
              <w:jc w:val="right"/>
              <w:spacing w:after="0"/>
              <w:rPr>
                <w:sz w:val="20"/>
                <w:szCs w:val="20"/>
                <w:color w:val="auto"/>
              </w:rPr>
            </w:pPr>
            <w:r>
              <w:rPr>
                <w:rFonts w:ascii="Arial" w:cs="Arial" w:eastAsia="Arial" w:hAnsi="Arial"/>
                <w:sz w:val="18"/>
                <w:szCs w:val="18"/>
                <w:color w:val="auto"/>
              </w:rPr>
              <w:t>, 2015</w:t>
            </w:r>
          </w:p>
        </w:tc>
        <w:tc>
          <w:tcPr>
            <w:tcW w:w="0" w:type="dxa"/>
            <w:vAlign w:val="bottom"/>
          </w:tcPr>
          <w:p>
            <w:pPr>
              <w:spacing w:after="0"/>
              <w:rPr>
                <w:sz w:val="1"/>
                <w:szCs w:val="1"/>
                <w:color w:val="auto"/>
              </w:rPr>
            </w:pPr>
          </w:p>
        </w:tc>
      </w:tr>
      <w:tr>
        <w:trPr>
          <w:trHeight w:val="102"/>
        </w:trPr>
        <w:tc>
          <w:tcPr>
            <w:tcW w:w="4680" w:type="dxa"/>
            <w:vAlign w:val="bottom"/>
            <w:vMerge w:val="restart"/>
          </w:tcPr>
          <w:p>
            <w:pPr>
              <w:jc w:val="center"/>
              <w:spacing w:after="0"/>
              <w:rPr>
                <w:sz w:val="20"/>
                <w:szCs w:val="20"/>
                <w:color w:val="auto"/>
              </w:rPr>
            </w:pPr>
            <w:r>
              <w:rPr>
                <w:rFonts w:ascii="Arial" w:cs="Arial" w:eastAsia="Arial" w:hAnsi="Arial"/>
                <w:sz w:val="18"/>
                <w:szCs w:val="18"/>
                <w:color w:val="auto"/>
                <w:w w:val="89"/>
              </w:rPr>
              <w:t>George W. Sledge Jr., M.D.</w:t>
            </w:r>
          </w:p>
        </w:tc>
        <w:tc>
          <w:tcPr>
            <w:tcW w:w="45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68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80" w:type="dxa"/>
            <w:vAlign w:val="bottom"/>
            <w:gridSpan w:val="3"/>
          </w:tcPr>
          <w:p>
            <w:pPr>
              <w:ind w:left="3040"/>
              <w:spacing w:after="0"/>
              <w:rPr>
                <w:sz w:val="20"/>
                <w:szCs w:val="20"/>
                <w:color w:val="auto"/>
              </w:rPr>
            </w:pPr>
            <w:r>
              <w:rPr>
                <w:rFonts w:ascii="Arial" w:cs="Arial" w:eastAsia="Arial" w:hAnsi="Arial"/>
                <w:sz w:val="20"/>
                <w:szCs w:val="20"/>
                <w:b w:val="1"/>
                <w:bCs w:val="1"/>
                <w:color w:val="auto"/>
              </w:rPr>
              <w:t>INDEX TO EXHIBITS</w:t>
            </w:r>
          </w:p>
        </w:tc>
        <w:tc>
          <w:tcPr>
            <w:tcW w:w="5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820" w:type="dxa"/>
            <w:vAlign w:val="bottom"/>
            <w:gridSpan w:val="2"/>
            <w:vMerge w:val="continue"/>
          </w:tcPr>
          <w:p>
            <w:pPr>
              <w:spacing w:after="0"/>
              <w:rPr>
                <w:sz w:val="16"/>
                <w:szCs w:val="16"/>
                <w:color w:val="auto"/>
              </w:rPr>
            </w:pPr>
          </w:p>
        </w:tc>
        <w:tc>
          <w:tcPr>
            <w:tcW w:w="5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600" w:type="dxa"/>
            <w:vAlign w:val="bottom"/>
            <w:gridSpan w:val="2"/>
          </w:tcPr>
          <w:p>
            <w:pPr>
              <w:spacing w:after="0"/>
              <w:rPr>
                <w:sz w:val="20"/>
                <w:szCs w:val="20"/>
                <w:color w:val="auto"/>
              </w:rPr>
            </w:pPr>
            <w:r>
              <w:rPr>
                <w:rFonts w:ascii="Arial" w:cs="Arial" w:eastAsia="Arial" w:hAnsi="Arial"/>
                <w:sz w:val="20"/>
                <w:szCs w:val="20"/>
                <w:color w:val="auto"/>
              </w:rPr>
              <w:t>1.1*</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Form of Underwriting Agreement.</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3.1</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Thirteenth Amended and Restated Certificate of Incorporation, as currently in effect.</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3.2</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Bylaws, as currently in effect.</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3.3*</w:t>
            </w:r>
          </w:p>
        </w:tc>
        <w:tc>
          <w:tcPr>
            <w:tcW w:w="360" w:type="dxa"/>
            <w:vAlign w:val="bottom"/>
          </w:tcPr>
          <w:p>
            <w:pPr>
              <w:spacing w:after="0"/>
              <w:rPr>
                <w:sz w:val="24"/>
                <w:szCs w:val="24"/>
                <w:color w:val="auto"/>
              </w:rPr>
            </w:pPr>
          </w:p>
        </w:tc>
        <w:tc>
          <w:tcPr>
            <w:tcW w:w="10280" w:type="dxa"/>
            <w:vAlign w:val="bottom"/>
            <w:gridSpan w:val="6"/>
          </w:tcPr>
          <w:p>
            <w:pPr>
              <w:ind w:left="300"/>
              <w:spacing w:after="0"/>
              <w:rPr>
                <w:sz w:val="20"/>
                <w:szCs w:val="20"/>
                <w:color w:val="auto"/>
              </w:rPr>
            </w:pPr>
            <w:r>
              <w:rPr>
                <w:rFonts w:ascii="Arial" w:cs="Arial" w:eastAsia="Arial" w:hAnsi="Arial"/>
                <w:sz w:val="20"/>
                <w:szCs w:val="20"/>
                <w:color w:val="auto"/>
                <w:w w:val="96"/>
              </w:rPr>
              <w:t>Amended and Restated Certificate of Incorporation to be in effect immediately prior to the completion of this offering.</w:t>
            </w: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3.4*</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w w:val="96"/>
              </w:rPr>
              <w:t>Amended and Restated Bylaws to be in effect immediately prior to the completion of this offering.</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4.1*</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Specimen Common Stock Certificate.</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4.2*</w:t>
            </w:r>
          </w:p>
        </w:tc>
        <w:tc>
          <w:tcPr>
            <w:tcW w:w="360" w:type="dxa"/>
            <w:vAlign w:val="bottom"/>
          </w:tcPr>
          <w:p>
            <w:pPr>
              <w:spacing w:after="0"/>
              <w:rPr>
                <w:sz w:val="24"/>
                <w:szCs w:val="24"/>
                <w:color w:val="auto"/>
              </w:rPr>
            </w:pPr>
          </w:p>
        </w:tc>
        <w:tc>
          <w:tcPr>
            <w:tcW w:w="10280" w:type="dxa"/>
            <w:vAlign w:val="bottom"/>
            <w:gridSpan w:val="6"/>
          </w:tcPr>
          <w:p>
            <w:pPr>
              <w:ind w:left="300"/>
              <w:spacing w:after="0"/>
              <w:rPr>
                <w:sz w:val="20"/>
                <w:szCs w:val="20"/>
                <w:color w:val="auto"/>
              </w:rPr>
            </w:pPr>
            <w:r>
              <w:rPr>
                <w:rFonts w:ascii="Arial" w:cs="Arial" w:eastAsia="Arial" w:hAnsi="Arial"/>
                <w:sz w:val="20"/>
                <w:szCs w:val="20"/>
                <w:color w:val="auto"/>
                <w:w w:val="91"/>
              </w:rPr>
              <w:t>Form of Warrant to purchase Common Stock issued pursuant to the Warrant Agreement by and between the company and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Bayer Schering Pharma AG, dated as of March 26, 2007.</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5.1*</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Opinion of Hogan Lovells US LLP.</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10.1</w:t>
            </w:r>
          </w:p>
        </w:tc>
        <w:tc>
          <w:tcPr>
            <w:tcW w:w="360" w:type="dxa"/>
            <w:vAlign w:val="bottom"/>
          </w:tcPr>
          <w:p>
            <w:pPr>
              <w:spacing w:after="0"/>
              <w:rPr>
                <w:sz w:val="24"/>
                <w:szCs w:val="24"/>
                <w:color w:val="auto"/>
              </w:rPr>
            </w:pPr>
          </w:p>
        </w:tc>
        <w:tc>
          <w:tcPr>
            <w:tcW w:w="10280" w:type="dxa"/>
            <w:vAlign w:val="bottom"/>
            <w:gridSpan w:val="6"/>
          </w:tcPr>
          <w:p>
            <w:pPr>
              <w:ind w:left="300"/>
              <w:spacing w:after="0"/>
              <w:rPr>
                <w:sz w:val="20"/>
                <w:szCs w:val="20"/>
                <w:color w:val="auto"/>
              </w:rPr>
            </w:pPr>
            <w:r>
              <w:rPr>
                <w:rFonts w:ascii="Arial" w:cs="Arial" w:eastAsia="Arial" w:hAnsi="Arial"/>
                <w:sz w:val="20"/>
                <w:szCs w:val="20"/>
                <w:color w:val="auto"/>
                <w:w w:val="91"/>
              </w:rPr>
              <w:t>Third Amended and Restated Investors’ Rights Agreement by and among the company and the parties thereto, dated as of</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August 21, 2015.</w:t>
            </w: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10.2</w:t>
            </w:r>
          </w:p>
        </w:tc>
        <w:tc>
          <w:tcPr>
            <w:tcW w:w="360" w:type="dxa"/>
            <w:vAlign w:val="bottom"/>
          </w:tcPr>
          <w:p>
            <w:pPr>
              <w:spacing w:after="0"/>
              <w:rPr>
                <w:sz w:val="24"/>
                <w:szCs w:val="24"/>
                <w:color w:val="auto"/>
              </w:rPr>
            </w:pPr>
          </w:p>
        </w:tc>
        <w:tc>
          <w:tcPr>
            <w:tcW w:w="9140" w:type="dxa"/>
            <w:vAlign w:val="bottom"/>
            <w:gridSpan w:val="5"/>
          </w:tcPr>
          <w:p>
            <w:pPr>
              <w:ind w:left="300"/>
              <w:spacing w:after="0"/>
              <w:rPr>
                <w:sz w:val="20"/>
                <w:szCs w:val="20"/>
                <w:color w:val="auto"/>
              </w:rPr>
            </w:pPr>
            <w:r>
              <w:rPr>
                <w:rFonts w:ascii="Arial" w:cs="Arial" w:eastAsia="Arial" w:hAnsi="Arial"/>
                <w:sz w:val="20"/>
                <w:szCs w:val="20"/>
                <w:color w:val="auto"/>
                <w:w w:val="88"/>
              </w:rPr>
              <w:t>Warrant Agreement by and between the company and Bayer Schering Pharma AG, dated as of March 26, 2007.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10.3+</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10.4+</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March 8, 2013.</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10.5+</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July 10, 2013.</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10.6+</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January 23, 2014.</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10.7+</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December 17, 2014.</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10.8+</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May 28, 2015.</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10.9+</w:t>
            </w:r>
          </w:p>
        </w:tc>
        <w:tc>
          <w:tcPr>
            <w:tcW w:w="360" w:type="dxa"/>
            <w:vAlign w:val="bottom"/>
          </w:tcPr>
          <w:p>
            <w:pPr>
              <w:spacing w:after="0"/>
              <w:rPr>
                <w:sz w:val="24"/>
                <w:szCs w:val="24"/>
                <w:color w:val="auto"/>
              </w:rPr>
            </w:pP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2007</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Stock Plan Amendment, dated as of August 20, 2015.</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w w:val="93"/>
              </w:rPr>
              <w:t>10.10+</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Form of Incentive Stock Option Agreement under 2007 Stock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w w:val="93"/>
              </w:rPr>
              <w:t>10.11+</w:t>
            </w:r>
          </w:p>
        </w:tc>
        <w:tc>
          <w:tcPr>
            <w:tcW w:w="360" w:type="dxa"/>
            <w:vAlign w:val="bottom"/>
          </w:tcPr>
          <w:p>
            <w:pPr>
              <w:spacing w:after="0"/>
              <w:rPr>
                <w:sz w:val="24"/>
                <w:szCs w:val="24"/>
                <w:color w:val="auto"/>
              </w:rPr>
            </w:pP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Form of Non-Statutory Stock Option Agreement under 2007 Stock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10.12+*</w:t>
            </w: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2015</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Omnibus Incentive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10.13+*</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Form of Incentive Stock Option Agreement under 2015 Omnibus Incentive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10.14+*</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Form of Non-Qualified Option Agreement under 2015 Omnibus Incentive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10.15+*</w:t>
            </w:r>
          </w:p>
        </w:tc>
        <w:tc>
          <w:tcPr>
            <w:tcW w:w="720" w:type="dxa"/>
            <w:vAlign w:val="bottom"/>
          </w:tcPr>
          <w:p>
            <w:pPr>
              <w:ind w:left="300"/>
              <w:spacing w:after="0"/>
              <w:rPr>
                <w:sz w:val="20"/>
                <w:szCs w:val="20"/>
                <w:color w:val="auto"/>
              </w:rPr>
            </w:pPr>
            <w:r>
              <w:rPr>
                <w:rFonts w:ascii="Arial" w:cs="Arial" w:eastAsia="Arial" w:hAnsi="Arial"/>
                <w:sz w:val="20"/>
                <w:szCs w:val="20"/>
                <w:color w:val="auto"/>
                <w:w w:val="89"/>
              </w:rPr>
              <w:t>2015</w:t>
            </w:r>
          </w:p>
        </w:tc>
        <w:tc>
          <w:tcPr>
            <w:tcW w:w="7880" w:type="dxa"/>
            <w:vAlign w:val="bottom"/>
            <w:gridSpan w:val="3"/>
          </w:tcPr>
          <w:p>
            <w:pPr>
              <w:ind w:left="20"/>
              <w:spacing w:after="0"/>
              <w:rPr>
                <w:sz w:val="20"/>
                <w:szCs w:val="20"/>
                <w:color w:val="auto"/>
              </w:rPr>
            </w:pPr>
            <w:r>
              <w:rPr>
                <w:rFonts w:ascii="Arial" w:cs="Arial" w:eastAsia="Arial" w:hAnsi="Arial"/>
                <w:sz w:val="20"/>
                <w:szCs w:val="20"/>
                <w:color w:val="auto"/>
              </w:rPr>
              <w:t>Employee Stock Purchase Plan.</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10.16+*</w:t>
            </w:r>
          </w:p>
        </w:tc>
        <w:tc>
          <w:tcPr>
            <w:tcW w:w="9140" w:type="dxa"/>
            <w:vAlign w:val="bottom"/>
            <w:gridSpan w:val="5"/>
          </w:tcPr>
          <w:p>
            <w:pPr>
              <w:ind w:left="300"/>
              <w:spacing w:after="0"/>
              <w:rPr>
                <w:sz w:val="20"/>
                <w:szCs w:val="20"/>
                <w:color w:val="auto"/>
              </w:rPr>
            </w:pPr>
            <w:r>
              <w:rPr>
                <w:rFonts w:ascii="Arial" w:cs="Arial" w:eastAsia="Arial" w:hAnsi="Arial"/>
                <w:sz w:val="20"/>
                <w:szCs w:val="20"/>
                <w:color w:val="auto"/>
                <w:w w:val="92"/>
              </w:rPr>
              <w:t>Executive Employment Agreement by and between the company and Briggs W. Morrison, M.D., dated as of</w:t>
            </w:r>
          </w:p>
        </w:tc>
        <w:tc>
          <w:tcPr>
            <w:tcW w:w="1140" w:type="dxa"/>
            <w:vAlign w:val="bottom"/>
          </w:tcPr>
          <w:p>
            <w:pPr>
              <w:jc w:val="right"/>
              <w:spacing w:after="0"/>
              <w:rPr>
                <w:sz w:val="20"/>
                <w:szCs w:val="20"/>
                <w:color w:val="auto"/>
              </w:rPr>
            </w:pPr>
            <w:r>
              <w:rPr>
                <w:rFonts w:ascii="Arial" w:cs="Arial" w:eastAsia="Arial" w:hAnsi="Arial"/>
                <w:sz w:val="20"/>
                <w:szCs w:val="20"/>
                <w:color w:val="auto"/>
              </w:rPr>
              <w:t>, 2015.</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10.17+*</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w w:val="92"/>
              </w:rPr>
              <w:t>Executive Employment Agreement by and between the company and Michael A. Metzger, dated as of</w:t>
            </w:r>
          </w:p>
        </w:tc>
        <w:tc>
          <w:tcPr>
            <w:tcW w:w="540" w:type="dxa"/>
            <w:vAlign w:val="bottom"/>
          </w:tcPr>
          <w:p>
            <w:pPr>
              <w:spacing w:after="0"/>
              <w:rPr>
                <w:sz w:val="24"/>
                <w:szCs w:val="24"/>
                <w:color w:val="auto"/>
              </w:rPr>
            </w:pPr>
          </w:p>
        </w:tc>
        <w:tc>
          <w:tcPr>
            <w:tcW w:w="1140" w:type="dxa"/>
            <w:vAlign w:val="bottom"/>
          </w:tcPr>
          <w:p>
            <w:pPr>
              <w:jc w:val="right"/>
              <w:ind w:right="401"/>
              <w:spacing w:after="0"/>
              <w:rPr>
                <w:sz w:val="20"/>
                <w:szCs w:val="20"/>
                <w:color w:val="auto"/>
              </w:rPr>
            </w:pPr>
            <w:r>
              <w:rPr>
                <w:rFonts w:ascii="Arial" w:cs="Arial" w:eastAsia="Arial" w:hAnsi="Arial"/>
                <w:sz w:val="20"/>
                <w:szCs w:val="20"/>
                <w:color w:val="auto"/>
              </w:rPr>
              <w:t>, 2015.</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10.18+*</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w w:val="92"/>
              </w:rPr>
              <w:t>Executive Employment Agreement by and between the company and Michael L. Meyers, dated as of</w:t>
            </w:r>
          </w:p>
        </w:tc>
        <w:tc>
          <w:tcPr>
            <w:tcW w:w="540" w:type="dxa"/>
            <w:vAlign w:val="bottom"/>
          </w:tcPr>
          <w:p>
            <w:pPr>
              <w:spacing w:after="0"/>
              <w:rPr>
                <w:sz w:val="24"/>
                <w:szCs w:val="24"/>
                <w:color w:val="auto"/>
              </w:rPr>
            </w:pPr>
          </w:p>
        </w:tc>
        <w:tc>
          <w:tcPr>
            <w:tcW w:w="1140" w:type="dxa"/>
            <w:vAlign w:val="bottom"/>
          </w:tcPr>
          <w:p>
            <w:pPr>
              <w:jc w:val="right"/>
              <w:ind w:right="481"/>
              <w:spacing w:after="0"/>
              <w:rPr>
                <w:sz w:val="20"/>
                <w:szCs w:val="20"/>
                <w:color w:val="auto"/>
              </w:rPr>
            </w:pPr>
            <w:r>
              <w:rPr>
                <w:rFonts w:ascii="Arial" w:cs="Arial" w:eastAsia="Arial" w:hAnsi="Arial"/>
                <w:sz w:val="20"/>
                <w:szCs w:val="20"/>
                <w:color w:val="auto"/>
                <w:w w:val="88"/>
              </w:rPr>
              <w:t>, 2015.</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10.19+*</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w w:val="96"/>
              </w:rPr>
              <w:t>Executive Employment Agreement by and between the company and John S. Pallies, dated as of</w:t>
            </w:r>
          </w:p>
        </w:tc>
        <w:tc>
          <w:tcPr>
            <w:tcW w:w="1680" w:type="dxa"/>
            <w:vAlign w:val="bottom"/>
            <w:gridSpan w:val="2"/>
          </w:tcPr>
          <w:p>
            <w:pPr>
              <w:jc w:val="right"/>
              <w:ind w:right="841"/>
              <w:spacing w:after="0"/>
              <w:rPr>
                <w:sz w:val="20"/>
                <w:szCs w:val="20"/>
                <w:color w:val="auto"/>
              </w:rPr>
            </w:pPr>
            <w:r>
              <w:rPr>
                <w:rFonts w:ascii="Arial" w:cs="Arial" w:eastAsia="Arial" w:hAnsi="Arial"/>
                <w:sz w:val="20"/>
                <w:szCs w:val="20"/>
                <w:color w:val="auto"/>
              </w:rPr>
              <w:t>, 2015.</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10.20+*</w:t>
            </w:r>
          </w:p>
        </w:tc>
        <w:tc>
          <w:tcPr>
            <w:tcW w:w="8600" w:type="dxa"/>
            <w:vAlign w:val="bottom"/>
            <w:gridSpan w:val="4"/>
          </w:tcPr>
          <w:p>
            <w:pPr>
              <w:ind w:left="300"/>
              <w:spacing w:after="0"/>
              <w:rPr>
                <w:sz w:val="20"/>
                <w:szCs w:val="20"/>
                <w:color w:val="auto"/>
              </w:rPr>
            </w:pPr>
            <w:r>
              <w:rPr>
                <w:rFonts w:ascii="Arial" w:cs="Arial" w:eastAsia="Arial" w:hAnsi="Arial"/>
                <w:sz w:val="20"/>
                <w:szCs w:val="20"/>
                <w:color w:val="auto"/>
              </w:rPr>
              <w:t>Offer Letter by and between the company and Arlene Morris, dated as of March 18, 2012.</w:t>
            </w: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780" w:type="dxa"/>
            <w:vAlign w:val="bottom"/>
          </w:tcPr>
          <w:p>
            <w:pPr>
              <w:spacing w:after="0"/>
              <w:rPr>
                <w:sz w:val="14"/>
                <w:szCs w:val="14"/>
                <w:color w:val="auto"/>
              </w:rPr>
            </w:pPr>
          </w:p>
        </w:tc>
        <w:tc>
          <w:tcPr>
            <w:tcW w:w="5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4780" w:type="dxa"/>
            <w:vAlign w:val="bottom"/>
          </w:tcPr>
          <w:p>
            <w:pPr>
              <w:spacing w:after="0"/>
              <w:rPr>
                <w:sz w:val="16"/>
                <w:szCs w:val="16"/>
                <w:color w:val="auto"/>
              </w:rPr>
            </w:pPr>
          </w:p>
        </w:tc>
        <w:tc>
          <w:tcPr>
            <w:tcW w:w="5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960" w:type="dxa"/>
            <w:vAlign w:val="bottom"/>
            <w:gridSpan w:val="3"/>
          </w:tcPr>
          <w:p>
            <w:pPr>
              <w:spacing w:after="0"/>
              <w:rPr>
                <w:sz w:val="20"/>
                <w:szCs w:val="20"/>
                <w:color w:val="auto"/>
              </w:rPr>
            </w:pPr>
            <w:r>
              <w:rPr>
                <w:rFonts w:ascii="Arial" w:cs="Arial" w:eastAsia="Arial" w:hAnsi="Arial"/>
                <w:sz w:val="20"/>
                <w:szCs w:val="20"/>
                <w:color w:val="auto"/>
              </w:rPr>
              <w:t>10.21+*</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1"/>
              </w:rPr>
              <w:t>General Release and Post-Separation Consulting Agreement by and between the company and Arlene Morris, dated May 13,</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80" w:type="dxa"/>
            <w:vAlign w:val="bottom"/>
          </w:tcPr>
          <w:p>
            <w:pPr>
              <w:ind w:left="300"/>
              <w:spacing w:after="0"/>
              <w:rPr>
                <w:sz w:val="20"/>
                <w:szCs w:val="20"/>
                <w:color w:val="auto"/>
              </w:rPr>
            </w:pPr>
            <w:r>
              <w:rPr>
                <w:rFonts w:ascii="Arial" w:cs="Arial" w:eastAsia="Arial" w:hAnsi="Arial"/>
                <w:sz w:val="20"/>
                <w:szCs w:val="20"/>
                <w:color w:val="auto"/>
              </w:rPr>
              <w:t>2015.</w:t>
            </w:r>
          </w:p>
        </w:tc>
        <w:tc>
          <w:tcPr>
            <w:tcW w:w="12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10.22+*</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1"/>
              </w:rPr>
              <w:t>Offer Letter by and between the company and Robert S. Goodenow, dated as of March 30, 2007, as amended September 10,</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80" w:type="dxa"/>
            <w:vAlign w:val="bottom"/>
          </w:tcPr>
          <w:p>
            <w:pPr>
              <w:ind w:left="300"/>
              <w:spacing w:after="0"/>
              <w:rPr>
                <w:sz w:val="20"/>
                <w:szCs w:val="20"/>
                <w:color w:val="auto"/>
              </w:rPr>
            </w:pPr>
            <w:r>
              <w:rPr>
                <w:rFonts w:ascii="Arial" w:cs="Arial" w:eastAsia="Arial" w:hAnsi="Arial"/>
                <w:sz w:val="20"/>
                <w:szCs w:val="20"/>
                <w:color w:val="auto"/>
              </w:rPr>
              <w:t>2012.</w:t>
            </w:r>
          </w:p>
        </w:tc>
        <w:tc>
          <w:tcPr>
            <w:tcW w:w="12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10.23+*</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89"/>
              </w:rPr>
              <w:t>General Release and Separation Agreement by and between the company and Robert S. Goodenow, dated as of June 5, 2015.</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10.24+*</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Form of Indemnification Agreement by and between the company and each of its directors and officers.</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10.25†*</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89"/>
              </w:rPr>
              <w:t>License, Development and Commercialization Agreement by and between the company and Bayer Schering Pharma AG, dated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as of March 26, 2007.</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10.26†*</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3"/>
              </w:rPr>
              <w:t>First Amendment to the License, Development and Commercialization Agreement by and between the company and Bayer</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Pharma AG, dated as of October 13, 2012.</w:t>
            </w: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10.27*</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0"/>
              </w:rPr>
              <w:t>Second Amendment to the License, Development and Commercialization Agreement by and between the company and Bayer</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Pharma AG, dated as of February 1, 2013.</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10.28†*</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2"/>
              </w:rPr>
              <w:t>Third Amendment to the License, Development and Commercialization Agreement by and between the company and Bayer</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Pharma AG, dated as of October 9, 2013.</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10.29†*</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Letter Agreement by and between the company and Bayer Pharma AG, dated as of September 18, 2014.</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10.30†*</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0"/>
              </w:rPr>
              <w:t>Clinical Trial Agreement by and between the company and Eastern Cooperative Oncology Group, dated as of March 14, 2014.</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10.31†*</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0"/>
              </w:rPr>
              <w:t>Amendment No. 1 to Clinical Trial Agreement by and between the company and ECOG-ACRIN Cancer Research Group, dated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as of January 30, 2015.</w:t>
            </w: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10.32*</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1"/>
              </w:rPr>
              <w:t>Loan and Security Agreement by and among the company, Solar Capital Ltd. and the Lenders listed therein, dated as of June</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780" w:type="dxa"/>
            <w:vAlign w:val="bottom"/>
          </w:tcPr>
          <w:p>
            <w:pPr>
              <w:ind w:left="300"/>
              <w:spacing w:after="0"/>
              <w:rPr>
                <w:sz w:val="20"/>
                <w:szCs w:val="20"/>
                <w:color w:val="auto"/>
              </w:rPr>
            </w:pPr>
            <w:r>
              <w:rPr>
                <w:rFonts w:ascii="Arial" w:cs="Arial" w:eastAsia="Arial" w:hAnsi="Arial"/>
                <w:sz w:val="20"/>
                <w:szCs w:val="20"/>
                <w:color w:val="auto"/>
              </w:rPr>
              <w:t>13, 2014.</w:t>
            </w:r>
          </w:p>
        </w:tc>
        <w:tc>
          <w:tcPr>
            <w:tcW w:w="12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10.33*</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5"/>
              </w:rPr>
              <w:t>First Amendment to Loan and Security Agreement by and among the company, Solar Capital Ltd. and the Lenders listed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therein, dated as of September 25, 2014.</w:t>
            </w:r>
          </w:p>
        </w:tc>
        <w:tc>
          <w:tcPr>
            <w:tcW w:w="0" w:type="dxa"/>
            <w:vAlign w:val="bottom"/>
          </w:tcPr>
          <w:p>
            <w:pPr>
              <w:spacing w:after="0"/>
              <w:rPr>
                <w:sz w:val="1"/>
                <w:szCs w:val="1"/>
                <w:color w:val="auto"/>
              </w:rPr>
            </w:pPr>
          </w:p>
        </w:tc>
      </w:tr>
      <w:tr>
        <w:trPr>
          <w:trHeight w:val="317"/>
        </w:trPr>
        <w:tc>
          <w:tcPr>
            <w:tcW w:w="600" w:type="dxa"/>
            <w:vAlign w:val="bottom"/>
            <w:gridSpan w:val="2"/>
          </w:tcPr>
          <w:p>
            <w:pPr>
              <w:spacing w:after="0"/>
              <w:rPr>
                <w:sz w:val="20"/>
                <w:szCs w:val="20"/>
                <w:color w:val="auto"/>
              </w:rPr>
            </w:pPr>
            <w:r>
              <w:rPr>
                <w:rFonts w:ascii="Arial" w:cs="Arial" w:eastAsia="Arial" w:hAnsi="Arial"/>
                <w:sz w:val="20"/>
                <w:szCs w:val="20"/>
                <w:color w:val="auto"/>
              </w:rPr>
              <w:t>10.34*</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2"/>
              </w:rPr>
              <w:t>Second Amendment to Loan and Security Agreement by and among the company, Solar Capital Ltd. and the Lenders listed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therein, dated as of December 31, 2014.</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10.35†*</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3"/>
              </w:rPr>
              <w:t>Clinical Trial Collaboration and Supply Agreement by and between the company and MSD International GmbH, dated as of</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March 27, 2015.</w:t>
            </w:r>
          </w:p>
        </w:tc>
        <w:tc>
          <w:tcPr>
            <w:tcW w:w="0" w:type="dxa"/>
            <w:vAlign w:val="bottom"/>
          </w:tcPr>
          <w:p>
            <w:pPr>
              <w:spacing w:after="0"/>
              <w:rPr>
                <w:sz w:val="1"/>
                <w:szCs w:val="1"/>
                <w:color w:val="auto"/>
              </w:rPr>
            </w:pPr>
          </w:p>
        </w:tc>
      </w:tr>
      <w:tr>
        <w:trPr>
          <w:trHeight w:val="317"/>
        </w:trPr>
        <w:tc>
          <w:tcPr>
            <w:tcW w:w="960" w:type="dxa"/>
            <w:vAlign w:val="bottom"/>
            <w:gridSpan w:val="3"/>
          </w:tcPr>
          <w:p>
            <w:pPr>
              <w:spacing w:after="0"/>
              <w:rPr>
                <w:sz w:val="20"/>
                <w:szCs w:val="20"/>
                <w:color w:val="auto"/>
              </w:rPr>
            </w:pPr>
            <w:r>
              <w:rPr>
                <w:rFonts w:ascii="Arial" w:cs="Arial" w:eastAsia="Arial" w:hAnsi="Arial"/>
                <w:sz w:val="20"/>
                <w:szCs w:val="20"/>
                <w:color w:val="auto"/>
              </w:rPr>
              <w:t>10.36†*</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4"/>
              </w:rPr>
              <w:t>License, Development and Commercialization Agreement by and between the company and Kyowa Hakko Kirin Co., Ltd.,</w:t>
            </w:r>
          </w:p>
        </w:tc>
        <w:tc>
          <w:tcPr>
            <w:tcW w:w="0" w:type="dxa"/>
            <w:vAlign w:val="bottom"/>
          </w:tcPr>
          <w:p>
            <w:pPr>
              <w:spacing w:after="0"/>
              <w:rPr>
                <w:sz w:val="1"/>
                <w:szCs w:val="1"/>
                <w:color w:val="auto"/>
              </w:rPr>
            </w:pPr>
          </w:p>
        </w:tc>
      </w:tr>
      <w:tr>
        <w:trPr>
          <w:trHeight w:val="250"/>
        </w:trPr>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dated December 19, 2014.</w:t>
            </w:r>
          </w:p>
        </w:tc>
        <w:tc>
          <w:tcPr>
            <w:tcW w:w="0" w:type="dxa"/>
            <w:vAlign w:val="bottom"/>
          </w:tcPr>
          <w:p>
            <w:pPr>
              <w:spacing w:after="0"/>
              <w:rPr>
                <w:sz w:val="1"/>
                <w:szCs w:val="1"/>
                <w:color w:val="auto"/>
              </w:rPr>
            </w:pPr>
          </w:p>
        </w:tc>
      </w:tr>
      <w:tr>
        <w:trPr>
          <w:trHeight w:val="338"/>
        </w:trPr>
        <w:tc>
          <w:tcPr>
            <w:tcW w:w="960" w:type="dxa"/>
            <w:vAlign w:val="bottom"/>
            <w:gridSpan w:val="3"/>
          </w:tcPr>
          <w:p>
            <w:pPr>
              <w:spacing w:after="0"/>
              <w:rPr>
                <w:sz w:val="20"/>
                <w:szCs w:val="20"/>
                <w:color w:val="auto"/>
              </w:rPr>
            </w:pPr>
            <w:r>
              <w:rPr>
                <w:rFonts w:ascii="Arial" w:cs="Arial" w:eastAsia="Arial" w:hAnsi="Arial"/>
                <w:sz w:val="20"/>
                <w:szCs w:val="20"/>
                <w:color w:val="auto"/>
              </w:rPr>
              <w:t>10.37†*</w:t>
            </w: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w w:val="95"/>
              </w:rPr>
              <w:t>Combination Study Collaboration Agreement by and between the company and Genentech, Inc. dated August 24, 2015.</w:t>
            </w: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21.1</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Subsidiaries of the company.</w:t>
            </w: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23.1*</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Consent of Independent Registered Public Accounting Firm.</w:t>
            </w: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23.2*</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Consent of Hogan Lovells US LLP (included in Exhibit 5.1).</w:t>
            </w:r>
          </w:p>
        </w:tc>
        <w:tc>
          <w:tcPr>
            <w:tcW w:w="0" w:type="dxa"/>
            <w:vAlign w:val="bottom"/>
          </w:tcPr>
          <w:p>
            <w:pPr>
              <w:spacing w:after="0"/>
              <w:rPr>
                <w:sz w:val="1"/>
                <w:szCs w:val="1"/>
                <w:color w:val="auto"/>
              </w:rPr>
            </w:pPr>
          </w:p>
        </w:tc>
      </w:tr>
      <w:tr>
        <w:trPr>
          <w:trHeight w:val="338"/>
        </w:trPr>
        <w:tc>
          <w:tcPr>
            <w:tcW w:w="600" w:type="dxa"/>
            <w:vAlign w:val="bottom"/>
            <w:gridSpan w:val="2"/>
          </w:tcPr>
          <w:p>
            <w:pPr>
              <w:spacing w:after="0"/>
              <w:rPr>
                <w:sz w:val="20"/>
                <w:szCs w:val="20"/>
                <w:color w:val="auto"/>
              </w:rPr>
            </w:pPr>
            <w:r>
              <w:rPr>
                <w:rFonts w:ascii="Arial" w:cs="Arial" w:eastAsia="Arial" w:hAnsi="Arial"/>
                <w:sz w:val="20"/>
                <w:szCs w:val="20"/>
                <w:color w:val="auto"/>
              </w:rPr>
              <w:t>24.1*</w:t>
            </w:r>
          </w:p>
        </w:tc>
        <w:tc>
          <w:tcPr>
            <w:tcW w:w="360" w:type="dxa"/>
            <w:vAlign w:val="bottom"/>
          </w:tcPr>
          <w:p>
            <w:pPr>
              <w:spacing w:after="0"/>
              <w:rPr>
                <w:sz w:val="24"/>
                <w:szCs w:val="24"/>
                <w:color w:val="auto"/>
              </w:rPr>
            </w:pPr>
          </w:p>
        </w:tc>
        <w:tc>
          <w:tcPr>
            <w:tcW w:w="10440" w:type="dxa"/>
            <w:vAlign w:val="bottom"/>
            <w:gridSpan w:val="3"/>
          </w:tcPr>
          <w:p>
            <w:pPr>
              <w:ind w:left="300"/>
              <w:spacing w:after="0"/>
              <w:rPr>
                <w:sz w:val="20"/>
                <w:szCs w:val="20"/>
                <w:color w:val="auto"/>
              </w:rPr>
            </w:pPr>
            <w:r>
              <w:rPr>
                <w:rFonts w:ascii="Arial" w:cs="Arial" w:eastAsia="Arial" w:hAnsi="Arial"/>
                <w:sz w:val="20"/>
                <w:szCs w:val="20"/>
                <w:color w:val="auto"/>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89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8"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To be filed by amendment.</w:t>
      </w:r>
    </w:p>
    <w:p>
      <w:pPr>
        <w:spacing w:after="0" w:line="15"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Indicates a management contract or compensatory plan.</w:t>
      </w:r>
    </w:p>
    <w:p>
      <w:pPr>
        <w:ind w:left="460" w:hanging="452"/>
        <w:spacing w:after="0"/>
        <w:tabs>
          <w:tab w:leader="none" w:pos="46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Registrant intends to request confidential treatment for certain portions of this exhibit.</w:t>
      </w:r>
    </w:p>
    <w:p>
      <w:pPr>
        <w:sectPr>
          <w:pgSz w:w="11900" w:h="16838" w:orient="portrait"/>
          <w:cols w:equalWidth="0" w:num="1">
            <w:col w:w="11400"/>
          </w:cols>
          <w:pgMar w:left="240" w:top="459" w:right="259" w:bottom="1440" w:gutter="0" w:footer="0" w:header="0"/>
        </w:sectPr>
      </w:pPr>
    </w:p>
    <w:bookmarkStart w:id="246" w:name="page247"/>
    <w:bookmarkEnd w:id="246"/>
    <w:p>
      <w:pPr>
        <w:jc w:val="center"/>
        <w:ind w:right="-39"/>
        <w:spacing w:after="0"/>
        <w:rPr>
          <w:sz w:val="20"/>
          <w:szCs w:val="20"/>
          <w:color w:val="auto"/>
        </w:rPr>
      </w:pPr>
      <w:r>
        <w:rPr>
          <w:rFonts w:ascii="Arial" w:cs="Arial" w:eastAsia="Arial" w:hAnsi="Arial"/>
          <w:sz w:val="18"/>
          <w:szCs w:val="18"/>
          <w:b w:val="1"/>
          <w:bCs w:val="1"/>
          <w:color w:val="auto"/>
        </w:rPr>
        <w:t>THIRTEENTH AMENDED AND RESTATED CERTIFICATE OF INCORPORATION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Syndax Pharmaceuticals, Inc., a corporation organized and existing under the laws of the State of Delaware, hereby certifies as follows:</w:t>
      </w:r>
    </w:p>
    <w:p>
      <w:pPr>
        <w:spacing w:after="0" w:line="22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name of this corporation is Syndax Pharmaceuticals, Inc. This corporation was originally incorporated under the same name, and the original Certificate of Incorporation of this corporation was filed with the Secretary of State of the State of Delaware on October 11, 2005. An Amended and Restated Certificate of Incorporation or Certificate of Amendment to the Certificate of Incorporation of this corporation was filed with the Secretary of State of the State of Delaware on March 29, 2007, November 21, 2008, January 22, 2010, August 2, 2010, December 20, 2011, June 28, 2012, October 9, 2012, November 19, 2012, December 28, 2012, January 18, 2013, March 8, 2013, July 11, 2013, November 18, 2013, June 3, 2014, September 17,</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2014, December 17, 2014 and May 28, 2015, all under its present name.</w:t>
      </w:r>
    </w:p>
    <w:p>
      <w:pPr>
        <w:spacing w:after="0" w:line="21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text of the Twelfth Amended and Restated Certificate of Incorporation, as amended, is hereby amended and restated in its entirety to read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this corporation is Syndax Pharmaceuticals, Inc.</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address of this corporation’s registered office in the State of Delaware is 2711 Centerville Road, Suite 400, City of Wilmington, 19808, County of New Castle, Delaware. The name of its registered agent at such address is Corporation Service Company.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purpose of this corporation is to engage in any lawful act or activity for which a corporation may be organized under the General Corporation Law of the State of Delaware.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corporation is authorized to issue two classes of stock to be designated, respectively, “Common Stock” and “Preferred Stock.” The total number of shares which this corporation is authorized to issue is Fifty-One Million One Hundred Thirty-Eight Thousand Nine Hundred Seventy (51,138,970) shares. Twenty-Six Million (26,000,000) shares shall be Common Stock with a par value of $0.0001 per share and Twenty-Five Million One Hundred Thirty-Eight Thousand Nine Hundred Seventy (25,138,970) shares shall be Preferred Stock with a par value of $0.001 per share, Four Million Three Hundred Ninety Thousand Two Hundred Forty-Three (4,390,243) of which shall be designated Series A Preferred Stock (“</w:t>
      </w:r>
      <w:r>
        <w:rPr>
          <w:rFonts w:ascii="Arial" w:cs="Arial" w:eastAsia="Arial" w:hAnsi="Arial"/>
          <w:sz w:val="18"/>
          <w:szCs w:val="18"/>
          <w:u w:val="single" w:color="auto"/>
          <w:color w:val="auto"/>
        </w:rPr>
        <w:t>Series A Preferred Stock</w:t>
      </w:r>
      <w:r>
        <w:rPr>
          <w:rFonts w:ascii="Arial" w:cs="Arial" w:eastAsia="Arial" w:hAnsi="Arial"/>
          <w:sz w:val="18"/>
          <w:szCs w:val="18"/>
          <w:color w:val="auto"/>
        </w:rPr>
        <w:t>”), Three Million Nine Hundred Fifty-One Thousand Two Hundred Nineteen (3,951,219) of which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21" w:right="259" w:bottom="1440" w:gutter="0" w:footer="0" w:header="0"/>
        </w:sectPr>
      </w:pPr>
    </w:p>
    <w:bookmarkStart w:id="247" w:name="page248"/>
    <w:bookmarkEnd w:id="24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be designated Series A-1 Preferred Stock (“</w:t>
      </w:r>
      <w:r>
        <w:rPr>
          <w:rFonts w:ascii="Arial" w:cs="Arial" w:eastAsia="Arial" w:hAnsi="Arial"/>
          <w:sz w:val="17"/>
          <w:szCs w:val="17"/>
          <w:u w:val="single" w:color="auto"/>
          <w:color w:val="auto"/>
        </w:rPr>
        <w:t>Series A-1 Preferred Stock</w:t>
      </w:r>
      <w:r>
        <w:rPr>
          <w:rFonts w:ascii="Arial" w:cs="Arial" w:eastAsia="Arial" w:hAnsi="Arial"/>
          <w:sz w:val="17"/>
          <w:szCs w:val="17"/>
          <w:color w:val="auto"/>
        </w:rPr>
        <w:t>”), Four Million Two Hundred Twenty-Seven Thousand Six Hundred Forty-Two (4,227,642) of which shall be designated Series B Preferred Stock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Four Million Nine Hundred Fifty-Six Thousand Seven Hundred Sixty-Four (4,956,764) of which shall be designated Series B-1 Preferred Stock (“</w:t>
      </w:r>
      <w:r>
        <w:rPr>
          <w:rFonts w:ascii="Arial" w:cs="Arial" w:eastAsia="Arial" w:hAnsi="Arial"/>
          <w:sz w:val="17"/>
          <w:szCs w:val="17"/>
          <w:u w:val="single" w:color="auto"/>
          <w:color w:val="auto"/>
        </w:rPr>
        <w:t>Series B-1 Preferred Stock</w:t>
      </w:r>
      <w:r>
        <w:rPr>
          <w:rFonts w:ascii="Arial" w:cs="Arial" w:eastAsia="Arial" w:hAnsi="Arial"/>
          <w:sz w:val="17"/>
          <w:szCs w:val="17"/>
          <w:color w:val="auto"/>
        </w:rPr>
        <w:t>”) and Seven Million Six Hundred Thirteen Thousand One Hundred Two (7,613,102) of which shall be designated as Series C-1 Preferred Stock (“</w:t>
      </w:r>
      <w:r>
        <w:rPr>
          <w:rFonts w:ascii="Arial" w:cs="Arial" w:eastAsia="Arial" w:hAnsi="Arial"/>
          <w:sz w:val="17"/>
          <w:szCs w:val="17"/>
          <w:u w:val="single" w:color="auto"/>
          <w:color w:val="auto"/>
        </w:rPr>
        <w:t>Series C-1 Preferred Stock</w:t>
      </w:r>
      <w:r>
        <w:rPr>
          <w:rFonts w:ascii="Arial" w:cs="Arial" w:eastAsia="Arial" w:hAnsi="Arial"/>
          <w:sz w:val="17"/>
          <w:szCs w:val="17"/>
          <w:color w:val="auto"/>
        </w:rPr>
        <w:t>” and, collectively with the Series A Preferred Stock, Series A-1 Preferred Stock, Series B Preferred Stock and Series B-1 Preferred Stock, the “</w:t>
      </w:r>
      <w:r>
        <w:rPr>
          <w:rFonts w:ascii="Arial" w:cs="Arial" w:eastAsia="Arial" w:hAnsi="Arial"/>
          <w:sz w:val="17"/>
          <w:szCs w:val="17"/>
          <w:u w:val="single" w:color="auto"/>
          <w:color w:val="auto"/>
        </w:rPr>
        <w:t>Preferred Stock</w:t>
      </w:r>
      <w:r>
        <w:rPr>
          <w:rFonts w:ascii="Arial" w:cs="Arial" w:eastAsia="Arial" w:hAnsi="Arial"/>
          <w:sz w:val="17"/>
          <w:szCs w:val="17"/>
          <w:color w:val="auto"/>
        </w:rPr>
        <w:t>”). This corporation shall from time to time in accordance with the laws of the State of Delaware increase the authorized amount of its Common Stock if at any time the number of shares of Common Stock remaining unissued and available for issuance upon conversion of the Preferred Stock shall not be sufficient to permit conversion of the Preferred Stock. Subject to the provisions herein, the number of authorized shares of Common Stock may be increased or decreased (but not below the number of shares thereof then outstanding) by the affirmative vote of the holders of shares of stock of this corporation representing a majority of the votes represented by all outstanding shares of stock of this corporation entitled to vote, irrespective of the provisions of Section 242(b)(2) of the Delaware General Corporation Law.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relative rights, preferences, privileges and restrictions granted to or imposed upon the respective classes and series of the shares of capital stock or the holders thereof are as follows:</w:t>
      </w:r>
    </w:p>
    <w:p>
      <w:pPr>
        <w:spacing w:after="0" w:line="170" w:lineRule="exact"/>
        <w:rPr>
          <w:sz w:val="20"/>
          <w:szCs w:val="20"/>
          <w:color w:val="auto"/>
        </w:rPr>
      </w:pPr>
    </w:p>
    <w:p>
      <w:pPr>
        <w:ind w:left="640" w:hanging="176"/>
        <w:spacing w:after="0"/>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Dividend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921"/>
        <w:spacing w:after="0" w:line="287" w:lineRule="auto"/>
        <w:tabs>
          <w:tab w:leader="none" w:pos="1157" w:val="left"/>
        </w:tabs>
        <w:numPr>
          <w:ilvl w:val="1"/>
          <w:numId w:val="123"/>
        </w:numPr>
        <w:rPr>
          <w:rFonts w:ascii="Arial" w:cs="Arial" w:eastAsia="Arial" w:hAnsi="Arial"/>
          <w:sz w:val="16"/>
          <w:szCs w:val="16"/>
          <w:color w:val="auto"/>
        </w:rPr>
      </w:pPr>
      <w:r>
        <w:rPr>
          <w:rFonts w:ascii="Arial" w:cs="Arial" w:eastAsia="Arial" w:hAnsi="Arial"/>
          <w:sz w:val="16"/>
          <w:szCs w:val="16"/>
          <w:u w:val="single" w:color="auto"/>
          <w:color w:val="auto"/>
        </w:rPr>
        <w:t>Series C-1 Preferred Stock</w:t>
      </w:r>
      <w:r>
        <w:rPr>
          <w:rFonts w:ascii="Arial" w:cs="Arial" w:eastAsia="Arial" w:hAnsi="Arial"/>
          <w:sz w:val="16"/>
          <w:szCs w:val="16"/>
          <w:color w:val="auto"/>
        </w:rPr>
        <w:t xml:space="preserve">. Prior and in preference to any declaration or payment of any dividends to the holders of shares of Series A-1 Preferred Stock, Series A Preferred Stock, Series B-1 Preferred Stock, Series B Preferred Stock, Common Stock, or any other class of capital stock of this corporation, the holders of shares of the Series C-1 Preferred Stock shall be entitled to receive cumulative dividends on each outstanding share of Series C-1 Preferred Stock, whether or not declared by the board of directors of this corporation,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C-1 Preferred Stock, whether or not earned or declared by the board of directors of this corporation.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C-1 Preferred Stock is entitled. Any dividend payment made on shares of Series C-1 Preferred Stock shall first be credited against the dividends accumulated with respect to the earliest dividend period for which dividends have not been paid.</w:t>
      </w:r>
    </w:p>
    <w:p>
      <w:pPr>
        <w:spacing w:after="0" w:line="172" w:lineRule="exact"/>
        <w:rPr>
          <w:rFonts w:ascii="Arial" w:cs="Arial" w:eastAsia="Arial" w:hAnsi="Arial"/>
          <w:sz w:val="16"/>
          <w:szCs w:val="16"/>
          <w:color w:val="auto"/>
        </w:rPr>
      </w:pPr>
    </w:p>
    <w:p>
      <w:pPr>
        <w:ind w:right="420" w:firstLine="921"/>
        <w:spacing w:after="0" w:line="277" w:lineRule="auto"/>
        <w:tabs>
          <w:tab w:leader="none" w:pos="1168"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Series B-1 Preferred Stock</w:t>
      </w:r>
      <w:r>
        <w:rPr>
          <w:rFonts w:ascii="Arial" w:cs="Arial" w:eastAsia="Arial" w:hAnsi="Arial"/>
          <w:sz w:val="18"/>
          <w:szCs w:val="18"/>
          <w:color w:val="auto"/>
        </w:rPr>
        <w:t>. Prior and in preference to any declaration or payment of any dividends to the holders of shares of Series A-1 Preferred Stock, Series A Preferred Stock, Series B Preferred Stock, Common Stock, or any other class of capital stock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48" w:name="page249"/>
    <w:bookmarkEnd w:id="24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this corporation (other than dividends for holders of Series C-1 Preferred Stock pursuant to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which shall be paid first), the holders of shares of the Series B-1 Preferred Stock shall be entitled to receive cumulative dividends on each outstanding share of Series B-1 Preferred Stock, whether or not declared by the board of directors of this corporation,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B-1 Preferred Stock, whether or not earned or declared by the board of directors of this corporation.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B-1 Preferred Stock is entitled. Any dividend payment made on shares of Series B-1 Preferred Stock shall first be credited against the dividends accumulated with respect to the earliest dividend period for which dividends have not been paid.</w:t>
      </w:r>
    </w:p>
    <w:p>
      <w:pPr>
        <w:spacing w:after="0" w:line="178" w:lineRule="exact"/>
        <w:rPr>
          <w:sz w:val="20"/>
          <w:szCs w:val="20"/>
          <w:color w:val="auto"/>
        </w:rPr>
      </w:pPr>
    </w:p>
    <w:p>
      <w:pPr>
        <w:ind w:firstLine="921"/>
        <w:spacing w:after="0" w:line="269" w:lineRule="auto"/>
        <w:tabs>
          <w:tab w:leader="none" w:pos="1157"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Series A-1 Preferred Stock</w:t>
      </w:r>
      <w:r>
        <w:rPr>
          <w:rFonts w:ascii="Arial" w:cs="Arial" w:eastAsia="Arial" w:hAnsi="Arial"/>
          <w:sz w:val="17"/>
          <w:szCs w:val="17"/>
          <w:color w:val="auto"/>
        </w:rPr>
        <w:t xml:space="preserve">. Prior and in preference to any declaration or payment of any dividends to the holders of shares of Series A Preferred Stock, Series B Preferred Stock, Common Stock, or any other class of capital stock of this corporation (other than dividends for holders of Series C-1 Preferred Stock and Series B-1 Preferred Stock pursuant to </w:t>
      </w:r>
      <w:r>
        <w:rPr>
          <w:rFonts w:ascii="Arial" w:cs="Arial" w:eastAsia="Arial" w:hAnsi="Arial"/>
          <w:sz w:val="17"/>
          <w:szCs w:val="17"/>
          <w:u w:val="single" w:color="auto"/>
          <w:color w:val="auto"/>
        </w:rPr>
        <w:t>Sections 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respectively, which shall be paid first), the holders of shares of the Series A-1 Preferred Stock shall be entitled to receive cumulative dividends on each outstanding share of Series A-1 Preferred Stock, whether or not declared by the board of directors of this corporation,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out of any assets legally available therefor (payable other than in Common Stock or other securities and rights convertible into or entitling the holder thereof to receive, directly or indirectly, additional shares of Common Stock of this corporation), at the rate of eight percent (8%) of the applicable Original Issue Price (as defined herein) per share per annum. Such dividends shall accrue and be cumulative from the date of issuance of the shares of Series A-1 Preferred Stock, whether or not earned or declared by the board of directors of this corporation. In the event that the board of directors of this corporation declares a dividend, the amount of which is insufficient to permit payment of the full aforesaid dividends, such dividends will be paid ratably to each holder in proportion to the dividend amounts to which each holder of Series A-1 Preferred Stock is entitled. Any dividend payment made on shares of Series A-1 Preferred Stock shall first be credited against the dividends accumulated with respect to the earliest dividend period for which dividends have not been paid.</w:t>
      </w:r>
    </w:p>
    <w:p>
      <w:pPr>
        <w:spacing w:after="0" w:line="179" w:lineRule="exact"/>
        <w:rPr>
          <w:rFonts w:ascii="Arial" w:cs="Arial" w:eastAsia="Arial" w:hAnsi="Arial"/>
          <w:sz w:val="17"/>
          <w:szCs w:val="17"/>
          <w:color w:val="auto"/>
        </w:rPr>
      </w:pPr>
    </w:p>
    <w:p>
      <w:pPr>
        <w:ind w:right="300" w:firstLine="921"/>
        <w:spacing w:after="0" w:line="255" w:lineRule="auto"/>
        <w:tabs>
          <w:tab w:leader="none" w:pos="116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This corporation shall not declare, pay or set aside any dividends on shares of any other class or series of capital stock of this corporation (other than dividends on shares of Common Stock payable in shares of Common Stock) unless (in addition to the obtaining of any consents required elsewhere in this Thirteenth Amended and Restated Certificate of Incorporation) the holders of shares of Series A-1 Preferred Stock, Series B-1 Preferred Stock and Series C-1 Preferred Stock (together, the “</w:t>
      </w:r>
      <w:r>
        <w:rPr>
          <w:rFonts w:ascii="Arial" w:cs="Arial" w:eastAsia="Arial" w:hAnsi="Arial"/>
          <w:sz w:val="18"/>
          <w:szCs w:val="18"/>
          <w:u w:val="single" w:color="auto"/>
          <w:color w:val="auto"/>
        </w:rPr>
        <w:t>Prime Preferred Stock</w:t>
      </w:r>
      <w:r>
        <w:rPr>
          <w:rFonts w:ascii="Arial" w:cs="Arial" w:eastAsia="Arial" w:hAnsi="Arial"/>
          <w:sz w:val="18"/>
          <w:szCs w:val="18"/>
          <w:color w:val="auto"/>
        </w:rPr>
        <w:t>”) then outstanding shall first receive, or simultaneously receive, a dividend on each outstanding share of Prime Preferred Stock in an amount at least equal to the product of (i) the dividend payable on each share of such class or series determined, if applicable, as if all shares of such class or series had been converted into Common Stock and (ii) the number of shares of Common Stock issuable upon conversion of</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9" w:name="page250"/>
    <w:bookmarkEnd w:id="249"/>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share of the applicable Prime Preferred Stock, in each case calculated on the record date for determination of holders entitled to receive such dividend. The “</w:t>
      </w:r>
      <w:r>
        <w:rPr>
          <w:rFonts w:ascii="Arial" w:cs="Arial" w:eastAsia="Arial" w:hAnsi="Arial"/>
          <w:sz w:val="18"/>
          <w:szCs w:val="18"/>
          <w:u w:val="single" w:color="auto"/>
          <w:color w:val="auto"/>
        </w:rPr>
        <w:t>Original Issue Price</w:t>
      </w:r>
      <w:r>
        <w:rPr>
          <w:rFonts w:ascii="Arial" w:cs="Arial" w:eastAsia="Arial" w:hAnsi="Arial"/>
          <w:sz w:val="18"/>
          <w:szCs w:val="18"/>
          <w:color w:val="auto"/>
        </w:rPr>
        <w:t>” of each series of the Preferred Stock shall be Eleven Dollars and One Hundred Ninety-Three Thousandths of a Cent ($11.193) per share (as adjusted for stock splits, stock dividends, recapitalization and similar events).</w:t>
      </w:r>
    </w:p>
    <w:p>
      <w:pPr>
        <w:spacing w:after="0" w:line="181" w:lineRule="exact"/>
        <w:rPr>
          <w:sz w:val="20"/>
          <w:szCs w:val="20"/>
          <w:color w:val="auto"/>
        </w:rPr>
      </w:pPr>
    </w:p>
    <w:p>
      <w:pPr>
        <w:ind w:left="640" w:hanging="176"/>
        <w:spacing w:after="0"/>
        <w:tabs>
          <w:tab w:leader="none" w:pos="6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Liquidation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Preferred Preference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69" w:lineRule="auto"/>
        <w:tabs>
          <w:tab w:leader="none" w:pos="1698"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In the event of any Liquidating Transaction (as defined below), either voluntarily or involuntarily, the holders of Series C-1 Preferred Stock shall be entitled to receive, prior and in preference to any distribution of any of the assets or surplus funds of this corporation (or distribution of consideration in connection with a Liquidating Transaction) to the holders of Series A-1 Preferred Stock, Series A Preferred Stock, Series B-1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 amount equal to 1.75 multiplied by the applicable Original Issue Price per share for each share of Series C-1 Preferred Stock then so held, plus a further amount equal to any accrued but unpaid dividends on such shares. All of the preferential amounts to be paid to the holders of the Series C-1 Preferred Stock under this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A-1 Preferred Stock Series A Preferred Stock, Series B-1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C-1 Preferred Stock, such assets as are available shall be distributed ratably among the holders of the Series C-1 Preferred Stock in proportion to the full preferential amount each such holder is otherwise entitled to receive.</w:t>
      </w:r>
    </w:p>
    <w:p>
      <w:pPr>
        <w:spacing w:after="0" w:line="182" w:lineRule="exact"/>
        <w:rPr>
          <w:rFonts w:ascii="Arial" w:cs="Arial" w:eastAsia="Arial" w:hAnsi="Arial"/>
          <w:sz w:val="17"/>
          <w:szCs w:val="17"/>
          <w:color w:val="auto"/>
        </w:rPr>
      </w:pPr>
    </w:p>
    <w:p>
      <w:pPr>
        <w:ind w:right="40" w:firstLine="1492"/>
        <w:spacing w:after="0" w:line="269" w:lineRule="auto"/>
        <w:tabs>
          <w:tab w:leader="none" w:pos="1748" w:val="left"/>
        </w:tabs>
        <w:numPr>
          <w:ilvl w:val="2"/>
          <w:numId w:val="125"/>
        </w:numPr>
        <w:rPr>
          <w:rFonts w:ascii="Arial" w:cs="Arial" w:eastAsia="Arial" w:hAnsi="Arial"/>
          <w:sz w:val="17"/>
          <w:szCs w:val="17"/>
          <w:color w:val="auto"/>
        </w:rPr>
      </w:pPr>
      <w:r>
        <w:rPr>
          <w:rFonts w:ascii="Arial" w:cs="Arial" w:eastAsia="Arial" w:hAnsi="Arial"/>
          <w:sz w:val="17"/>
          <w:szCs w:val="17"/>
          <w:color w:val="auto"/>
        </w:rPr>
        <w:t xml:space="preserve">After payment has been made to the holders of the Series C-1 Preferred Stock of the full amounts to which they are entitled as provided in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above, the remaining assets of this corporation available for distribution to the stockholders shall be distributed pro rata among the holders of Series B-1 Preferred Stock, prior and in preference to any distribution of any of the assets or surplus funds of this corporation (or distribution of consideration in connection with a Liquidating Transaction) to the holders of Series A-1 Preferred Stock, Series A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 amount equal to 1.75 multiplied by the applicable Original Issue Price per share for each share of Series B-1 Preferred Stock then so held, plus a further amount equal to any accrued but unpaid dividends on such shares. All of the preferential amounts to be paid to the holders of the Series B-1 Preferred Stock under this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A-1 Preferred Stock, Series A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B-1 Preferred Stock, such assets as are available shall be distributed ratably among the holders of the Series B-1 Preferred Stock in proportion to the full preferential amount each such holder is otherwise entitled to receive.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50" w:name="page251"/>
    <w:bookmarkEnd w:id="250"/>
    <w:p>
      <w:pPr>
        <w:ind w:left="-40" w:firstLine="1492"/>
        <w:spacing w:after="0" w:line="269" w:lineRule="auto"/>
        <w:tabs>
          <w:tab w:leader="none" w:pos="17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After payment has been made to the holders of the Series C-1 Preferred Stock and Series B-1 Preferred Stock of the full amounts to which they are entitled as provided in </w:t>
      </w:r>
      <w:r>
        <w:rPr>
          <w:rFonts w:ascii="Arial" w:cs="Arial" w:eastAsia="Arial" w:hAnsi="Arial"/>
          <w:sz w:val="17"/>
          <w:szCs w:val="17"/>
          <w:u w:val="single" w:color="auto"/>
          <w:color w:val="auto"/>
        </w:rPr>
        <w:t>Sections 2(a)(i)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2(a)(ii)</w:t>
      </w:r>
      <w:r>
        <w:rPr>
          <w:rFonts w:ascii="Arial" w:cs="Arial" w:eastAsia="Arial" w:hAnsi="Arial"/>
          <w:sz w:val="17"/>
          <w:szCs w:val="17"/>
          <w:color w:val="auto"/>
        </w:rPr>
        <w:t xml:space="preserve"> above, respectively, the remaining assets of this corporation available for distribution to the stockholders shall be distributed pro rata among the holders of Series A-1 Preferred Stock, prior and in preference to any distribution of any of the assets or surplus funds of this corporation (or distribution of consideration in connection with a Liquidating Transaction) to the holders of Series A Preferred Stock, Series B Preferred Stock and Common Stock,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an amount equal to the applicable Original Issue Price per share for each share of Series A-1 Preferred Stock then so held, plus a further amount equal to any accrued but unpaid dividends on such shares. All of the preferential amounts to be paid to the holders of the Series A-1 Preferred Stock under this </w:t>
      </w:r>
      <w:r>
        <w:rPr>
          <w:rFonts w:ascii="Arial" w:cs="Arial" w:eastAsia="Arial" w:hAnsi="Arial"/>
          <w:sz w:val="17"/>
          <w:szCs w:val="17"/>
          <w:u w:val="single" w:color="auto"/>
          <w:color w:val="auto"/>
        </w:rPr>
        <w:t>Section 2(a)(iii)</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 Preferred Stock, Series B Preferred Stock or Common Stock in connection with such Liquidating Transaction. If, upon such Liquidating Transaction the assets of this corporation are insufficient to provide for the cash payment of the full aforesaid preferential amounts to the holders of the Series A-1 Preferred Stock, such assets as are available shall be distributed ratably among the holders of the Series A-1 Preferred Stock in proportion to the full preferential amount each such holder is otherwise entitled to receive.</w:t>
      </w:r>
    </w:p>
    <w:p>
      <w:pPr>
        <w:spacing w:after="0" w:line="179" w:lineRule="exact"/>
        <w:rPr>
          <w:rFonts w:ascii="Arial" w:cs="Arial" w:eastAsia="Arial" w:hAnsi="Arial"/>
          <w:sz w:val="17"/>
          <w:szCs w:val="17"/>
          <w:color w:val="auto"/>
        </w:rPr>
      </w:pPr>
    </w:p>
    <w:p>
      <w:pPr>
        <w:ind w:left="-40" w:right="60" w:firstLine="1492"/>
        <w:spacing w:after="0" w:line="268" w:lineRule="auto"/>
        <w:tabs>
          <w:tab w:leader="none" w:pos="174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After payment has been made to the holders of the Prime Preferred Stock of the full amounts to which they are entitled as provided in </w:t>
      </w:r>
      <w:r>
        <w:rPr>
          <w:rFonts w:ascii="Arial" w:cs="Arial" w:eastAsia="Arial" w:hAnsi="Arial"/>
          <w:sz w:val="17"/>
          <w:szCs w:val="17"/>
          <w:u w:val="single" w:color="auto"/>
          <w:color w:val="auto"/>
        </w:rPr>
        <w:t>Section 2(a)(i)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2(a)(iii)</w:t>
      </w:r>
      <w:r>
        <w:rPr>
          <w:rFonts w:ascii="Arial" w:cs="Arial" w:eastAsia="Arial" w:hAnsi="Arial"/>
          <w:sz w:val="17"/>
          <w:szCs w:val="17"/>
          <w:color w:val="auto"/>
        </w:rPr>
        <w:t xml:space="preserve"> above, the remaining assets of this corporation available for distribution to the stockholders shall be distributed pro rata among the holders of Series B Preferred Stock, prior and in preference to any distribution of any of the assets or surplus funds of this corporation (or distribution of consideration in connection with a Liquidating Transaction) to the holders of Series A Preferred Stock and Common Stock, in an amount equal to seventy-five percent (75%) of the applicable Original Issue Price per share for each share of Series B Preferred Stock then so held, plus a further amount equal to any dividends declared but unpaid on such shares. All of the preferential amounts to be paid to the holders of the Series B Preferred Stock under this </w:t>
      </w:r>
      <w:r>
        <w:rPr>
          <w:rFonts w:ascii="Arial" w:cs="Arial" w:eastAsia="Arial" w:hAnsi="Arial"/>
          <w:sz w:val="17"/>
          <w:szCs w:val="17"/>
          <w:u w:val="single" w:color="auto"/>
          <w:color w:val="auto"/>
        </w:rPr>
        <w:t>Section 2(a)(iv)</w:t>
      </w:r>
      <w:r>
        <w:rPr>
          <w:rFonts w:ascii="Arial" w:cs="Arial" w:eastAsia="Arial" w:hAnsi="Arial"/>
          <w:sz w:val="17"/>
          <w:szCs w:val="17"/>
          <w:color w:val="auto"/>
        </w:rPr>
        <w:t xml:space="preserve"> shall be paid or set apart for payment before the payment or setting apart for payment of any amount for, or the distribution of any assets of this corporation to, the holders of the Series A Preferred Stock and Common Stock in connection with such Liquidating Transaction. If, upon such Liquidating Transaction the assets of this corporation are insufficient to provide for the cash payment of the full aforesaid preferential amounts to the holders of the Series B Preferred Stock, such assets as are available shall be distributed ratably among the holders of the Series B Preferred Stock in proportion to the full preferential amount each such holder is otherwise entitled to receive. For purposes of this </w:t>
      </w:r>
      <w:r>
        <w:rPr>
          <w:rFonts w:ascii="Arial" w:cs="Arial" w:eastAsia="Arial" w:hAnsi="Arial"/>
          <w:sz w:val="17"/>
          <w:szCs w:val="17"/>
          <w:u w:val="single" w:color="auto"/>
          <w:color w:val="auto"/>
        </w:rPr>
        <w:t>Section 2(a)(iv)</w:t>
      </w:r>
      <w:r>
        <w:rPr>
          <w:rFonts w:ascii="Arial" w:cs="Arial" w:eastAsia="Arial" w:hAnsi="Arial"/>
          <w:sz w:val="17"/>
          <w:szCs w:val="17"/>
          <w:color w:val="auto"/>
        </w:rPr>
        <w:t>, consideration placed in escrow or retained as a holdback to be available for satisfaction of indemnification or similar obligations in connection with such Liquidating Transaction shall be deemed to be Initial Consideration.</w:t>
      </w:r>
    </w:p>
    <w:p>
      <w:pPr>
        <w:spacing w:after="0" w:line="187" w:lineRule="exact"/>
        <w:rPr>
          <w:rFonts w:ascii="Arial" w:cs="Arial" w:eastAsia="Arial" w:hAnsi="Arial"/>
          <w:sz w:val="17"/>
          <w:szCs w:val="17"/>
          <w:color w:val="auto"/>
        </w:rPr>
      </w:pPr>
    </w:p>
    <w:p>
      <w:pPr>
        <w:ind w:left="-40" w:right="60" w:firstLine="1492"/>
        <w:spacing w:after="0" w:line="312" w:lineRule="auto"/>
        <w:tabs>
          <w:tab w:leader="none" w:pos="168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After payment has been made to the holders of the Preferred Stock of the full amounts to which they are entitled as provided in </w:t>
      </w:r>
      <w:r>
        <w:rPr>
          <w:rFonts w:ascii="Arial" w:cs="Arial" w:eastAsia="Arial" w:hAnsi="Arial"/>
          <w:sz w:val="16"/>
          <w:szCs w:val="16"/>
          <w:u w:val="single" w:color="auto"/>
          <w:color w:val="auto"/>
        </w:rPr>
        <w:t>Sections 2(a)(i)</w:t>
      </w:r>
      <w:r>
        <w:rPr>
          <w:rFonts w:ascii="Arial" w:cs="Arial" w:eastAsia="Arial" w:hAnsi="Arial"/>
          <w:sz w:val="16"/>
          <w:szCs w:val="16"/>
          <w:color w:val="auto"/>
        </w:rPr>
        <w:t xml:space="preserve">, </w:t>
      </w:r>
      <w:r>
        <w:rPr>
          <w:rFonts w:ascii="Arial" w:cs="Arial" w:eastAsia="Arial" w:hAnsi="Arial"/>
          <w:sz w:val="16"/>
          <w:szCs w:val="16"/>
          <w:u w:val="single" w:color="auto"/>
          <w:color w:val="auto"/>
        </w:rPr>
        <w:t>2(a)(ii)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2(a)(iii)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2(a)(iv)</w:t>
      </w:r>
      <w:r>
        <w:rPr>
          <w:rFonts w:ascii="Arial" w:cs="Arial" w:eastAsia="Arial" w:hAnsi="Arial"/>
          <w:sz w:val="16"/>
          <w:szCs w:val="16"/>
          <w:color w:val="auto"/>
        </w:rPr>
        <w:t xml:space="preserve"> above, the remaining assets of this corporation available for distribution to the stockholders shall be distributed pro rata among the holders of Common Stock, Prime Preferred Stock and Series A Preferred Stock (on an as-converted to Common Stock basis).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74" w:right="279" w:bottom="1440" w:gutter="0" w:footer="0" w:header="0"/>
        </w:sectPr>
      </w:pPr>
    </w:p>
    <w:bookmarkStart w:id="251" w:name="page252"/>
    <w:bookmarkEnd w:id="251"/>
    <w:p>
      <w:pPr>
        <w:ind w:firstLine="1492"/>
        <w:spacing w:after="0" w:line="254" w:lineRule="auto"/>
        <w:tabs>
          <w:tab w:leader="none" w:pos="1788"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any portion of the consideration payable to the stockholders of this corporation is placed into escrow and/or is payable to the stockholders of this corporation subject to contingencies, the agreement governing such transaction shall provide that (x) the portion of such consideration that is not placed in escrow and not subject to any contingencies (the “</w:t>
      </w:r>
      <w:r>
        <w:rPr>
          <w:rFonts w:ascii="Arial" w:cs="Arial" w:eastAsia="Arial" w:hAnsi="Arial"/>
          <w:sz w:val="18"/>
          <w:szCs w:val="18"/>
          <w:u w:val="single" w:color="auto"/>
          <w:color w:val="auto"/>
        </w:rPr>
        <w:t>Initial Consideration</w:t>
      </w:r>
      <w:r>
        <w:rPr>
          <w:rFonts w:ascii="Arial" w:cs="Arial" w:eastAsia="Arial" w:hAnsi="Arial"/>
          <w:sz w:val="18"/>
          <w:szCs w:val="18"/>
          <w:color w:val="auto"/>
        </w:rPr>
        <w:t xml:space="preserve">”) shall be allocated among the holders of capital stock of this corporation in accordance with the liquidation preference order as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as if the Initial Consideration were the only consideration payable in connection with such Liquidating Transaction and (y) any additional consideration which becomes payable to the stockholders of this corporation upon release from escrow or satisfaction of contingencies shall be allocated among the holders of capital stock of this corporation in accordance with the liquidation preference order as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after taking into account the previous payment of the Initial Consideration as part of the same transaction.</w:t>
      </w:r>
    </w:p>
    <w:p>
      <w:pPr>
        <w:spacing w:after="0" w:line="192"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2</w:t>
      </w:r>
      <w:r>
        <w:rPr>
          <w:rFonts w:ascii="Arial" w:cs="Arial" w:eastAsia="Arial" w:hAnsi="Arial"/>
          <w:sz w:val="17"/>
          <w:szCs w:val="17"/>
          <w:color w:val="auto"/>
        </w:rPr>
        <w:t>, a “</w:t>
      </w:r>
      <w:r>
        <w:rPr>
          <w:rFonts w:ascii="Arial" w:cs="Arial" w:eastAsia="Arial" w:hAnsi="Arial"/>
          <w:sz w:val="17"/>
          <w:szCs w:val="17"/>
          <w:u w:val="single" w:color="auto"/>
          <w:color w:val="auto"/>
        </w:rPr>
        <w:t>Liquidating Transaction</w:t>
      </w:r>
      <w:r>
        <w:rPr>
          <w:rFonts w:ascii="Arial" w:cs="Arial" w:eastAsia="Arial" w:hAnsi="Arial"/>
          <w:sz w:val="17"/>
          <w:szCs w:val="17"/>
          <w:color w:val="auto"/>
        </w:rPr>
        <w:t>” of this corporation shall mean a (i) liquidation, dissolution or winding-up of this corporation, (ii) sale, conveyance, license or other disposition of all or substantially all of the assets, property or business of this corporation, or, (iii) merger or consolidation with or into any other corporation if, as a result of such merger or consolidation, the holders of the Common Stock and Preferred Stock prior to such merger or consolidation do not hold at least fifty percent (50%) of the combined voting power of the surviving corporation.</w:t>
      </w:r>
    </w:p>
    <w:p>
      <w:pPr>
        <w:spacing w:after="0" w:line="171" w:lineRule="exact"/>
        <w:rPr>
          <w:sz w:val="20"/>
          <w:szCs w:val="20"/>
          <w:color w:val="auto"/>
        </w:rPr>
      </w:pPr>
    </w:p>
    <w:p>
      <w:pPr>
        <w:ind w:right="140" w:firstLine="921"/>
        <w:spacing w:after="0" w:line="284" w:lineRule="auto"/>
        <w:tabs>
          <w:tab w:leader="none" w:pos="1168" w:val="left"/>
        </w:tabs>
        <w:numPr>
          <w:ilvl w:val="1"/>
          <w:numId w:val="128"/>
        </w:numPr>
        <w:rPr>
          <w:rFonts w:ascii="Arial" w:cs="Arial" w:eastAsia="Arial" w:hAnsi="Arial"/>
          <w:sz w:val="16"/>
          <w:szCs w:val="16"/>
          <w:color w:val="auto"/>
        </w:rPr>
      </w:pPr>
      <w:r>
        <w:rPr>
          <w:rFonts w:ascii="Arial" w:cs="Arial" w:eastAsia="Arial" w:hAnsi="Arial"/>
          <w:sz w:val="16"/>
          <w:szCs w:val="16"/>
          <w:u w:val="single" w:color="auto"/>
          <w:color w:val="auto"/>
        </w:rPr>
        <w:t>Notice of Liquidating Transaction</w:t>
      </w:r>
      <w:r>
        <w:rPr>
          <w:rFonts w:ascii="Arial" w:cs="Arial" w:eastAsia="Arial" w:hAnsi="Arial"/>
          <w:sz w:val="16"/>
          <w:szCs w:val="16"/>
          <w:color w:val="auto"/>
        </w:rPr>
        <w:t xml:space="preserve">. This corporation shall give each holder of record of Preferred Stock written notice of any impending Liquidating Transaction not later than ten (10) days prior to the stockholders’ meeting called to approve such Liquidating Transaction, or ten (10) days prior to the closing of such Liquidating Transaction, whichever is earlier, and shall also notify such holders in writing of the final approval of such Liquidating Transaction. The first of such notices shall describe the material terms and conditions of the impending Liquidating Transaction and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and this corporation shall thereafter give such holders prompt notice of any material changes. Unless such notice requirements are waived, the Liquidating Transaction shall not take place sooner than ten (10) days after this corporation has given the first notice provided for herein or sooner than ten</w:t>
      </w:r>
    </w:p>
    <w:p>
      <w:pPr>
        <w:spacing w:after="0" w:line="4" w:lineRule="exact"/>
        <w:rPr>
          <w:rFonts w:ascii="Arial" w:cs="Arial" w:eastAsia="Arial" w:hAnsi="Arial"/>
          <w:sz w:val="16"/>
          <w:szCs w:val="16"/>
          <w:color w:val="auto"/>
        </w:rPr>
      </w:pPr>
    </w:p>
    <w:p>
      <w:pPr>
        <w:jc w:val="both"/>
        <w:ind w:right="200" w:firstLine="8"/>
        <w:spacing w:after="0" w:line="273" w:lineRule="auto"/>
        <w:tabs>
          <w:tab w:leader="none" w:pos="3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days after this corporation has given notice of any material changes provided for herein. Notwithstanding the other provisions of this Thirteenth Amended and Restated Certificate of Incorporation, all notice periods or requirements in this Certificate of Incorporation applicable to the holders of Preferred Stock may be shortened or waived, either before or after the action for which notice is required, upon the written consent of the holders of at least sixty percent (60%) of the voting power of the outstanding shares of Preferred Stock that are entitled to such notice rights.</w:t>
      </w:r>
    </w:p>
    <w:p>
      <w:pPr>
        <w:spacing w:after="0" w:line="176" w:lineRule="exact"/>
        <w:rPr>
          <w:rFonts w:ascii="Arial" w:cs="Arial" w:eastAsia="Arial" w:hAnsi="Arial"/>
          <w:sz w:val="17"/>
          <w:szCs w:val="17"/>
          <w:color w:val="auto"/>
        </w:rPr>
      </w:pPr>
    </w:p>
    <w:p>
      <w:pPr>
        <w:jc w:val="both"/>
        <w:ind w:right="100" w:firstLine="921"/>
        <w:spacing w:after="0" w:line="312" w:lineRule="auto"/>
        <w:tabs>
          <w:tab w:leader="none" w:pos="1157" w:val="left"/>
        </w:tabs>
        <w:numPr>
          <w:ilvl w:val="1"/>
          <w:numId w:val="129"/>
        </w:numPr>
        <w:rPr>
          <w:rFonts w:ascii="Arial" w:cs="Arial" w:eastAsia="Arial" w:hAnsi="Arial"/>
          <w:sz w:val="16"/>
          <w:szCs w:val="16"/>
          <w:color w:val="auto"/>
        </w:rPr>
      </w:pPr>
      <w:r>
        <w:rPr>
          <w:rFonts w:ascii="Arial" w:cs="Arial" w:eastAsia="Arial" w:hAnsi="Arial"/>
          <w:sz w:val="16"/>
          <w:szCs w:val="16"/>
          <w:u w:val="single" w:color="auto"/>
          <w:color w:val="auto"/>
        </w:rPr>
        <w:t>Consent for Certain Repurchases</w:t>
      </w:r>
      <w:r>
        <w:rPr>
          <w:rFonts w:ascii="Arial" w:cs="Arial" w:eastAsia="Arial" w:hAnsi="Arial"/>
          <w:sz w:val="16"/>
          <w:szCs w:val="16"/>
          <w:color w:val="auto"/>
        </w:rPr>
        <w:t>. Each holder of an outstanding share of Preferred Stock shall be deemed to have consented, for purposes of Section 160 of the General Corporation Law of the State of Delaware (and, if applicable, Sections 502, 503 and 506 of the California Corporations Code), to distributions made by this corporation in connection with the repurchase of shares of Common Stock issued to or held by employees or consultants upon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252" w:name="page253"/>
    <w:bookmarkEnd w:id="252"/>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their employment or services pursuant to agreements providing for the right of said repurchase between this corporation and such persons but only to the extent each distribution equals the original purchase price of such shares being repurchased.</w:t>
      </w:r>
    </w:p>
    <w:p>
      <w:pPr>
        <w:spacing w:after="0" w:line="170" w:lineRule="exact"/>
        <w:rPr>
          <w:sz w:val="20"/>
          <w:szCs w:val="20"/>
          <w:color w:val="auto"/>
        </w:rPr>
      </w:pPr>
    </w:p>
    <w:p>
      <w:pPr>
        <w:ind w:left="640" w:hanging="17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21"/>
        <w:spacing w:after="0" w:line="285" w:lineRule="auto"/>
        <w:tabs>
          <w:tab w:leader="none" w:pos="115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Prime Preferred Stock, voting together as a separate class, shall be entitled to elect four (4) members of the board of directors (the “</w:t>
      </w:r>
      <w:r>
        <w:rPr>
          <w:rFonts w:ascii="Arial" w:cs="Arial" w:eastAsia="Arial" w:hAnsi="Arial"/>
          <w:sz w:val="16"/>
          <w:szCs w:val="16"/>
          <w:u w:val="single" w:color="auto"/>
          <w:color w:val="auto"/>
        </w:rPr>
        <w:t>Prime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xml:space="preserve">”); the Series C-1 Preferred Stock, voting as a separate class, shall be entitled to elect one (1) member of the board of directors (the </w:t>
      </w:r>
      <w:r>
        <w:rPr>
          <w:rFonts w:ascii="Arial" w:cs="Arial" w:eastAsia="Arial" w:hAnsi="Arial"/>
          <w:sz w:val="16"/>
          <w:szCs w:val="16"/>
          <w:u w:val="single" w:color="auto"/>
          <w:color w:val="auto"/>
        </w:rPr>
        <w:t>Series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C-1 Director</w:t>
      </w:r>
      <w:r>
        <w:rPr>
          <w:rFonts w:ascii="Arial" w:cs="Arial" w:eastAsia="Arial" w:hAnsi="Arial"/>
          <w:sz w:val="16"/>
          <w:szCs w:val="16"/>
          <w:color w:val="auto"/>
        </w:rPr>
        <w:t>” and together with the Prime Preferred Directors,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the Common Stock, voting as a separate class, shall be entitled to elect two (2) members of the board of directors (the “</w:t>
      </w:r>
      <w:r>
        <w:rPr>
          <w:rFonts w:ascii="Arial" w:cs="Arial" w:eastAsia="Arial" w:hAnsi="Arial"/>
          <w:sz w:val="16"/>
          <w:szCs w:val="16"/>
          <w:u w:val="single" w:color="auto"/>
          <w:color w:val="auto"/>
        </w:rPr>
        <w:t>Common Directors</w:t>
      </w:r>
      <w:r>
        <w:rPr>
          <w:rFonts w:ascii="Arial" w:cs="Arial" w:eastAsia="Arial" w:hAnsi="Arial"/>
          <w:sz w:val="16"/>
          <w:szCs w:val="16"/>
          <w:color w:val="auto"/>
        </w:rPr>
        <w:t>”); the holders of a majority of the Common Stock and the Preferred Stock, voting as a single class on an as converted basis, shall be entitled to elect two (2) members (the “</w:t>
      </w:r>
      <w:r>
        <w:rPr>
          <w:rFonts w:ascii="Arial" w:cs="Arial" w:eastAsia="Arial" w:hAnsi="Arial"/>
          <w:sz w:val="16"/>
          <w:szCs w:val="16"/>
          <w:u w:val="single" w:color="auto"/>
          <w:color w:val="auto"/>
        </w:rPr>
        <w:t>Independent Directors</w:t>
      </w:r>
      <w:r>
        <w:rPr>
          <w:rFonts w:ascii="Arial" w:cs="Arial" w:eastAsia="Arial" w:hAnsi="Arial"/>
          <w:sz w:val="16"/>
          <w:szCs w:val="16"/>
          <w:color w:val="auto"/>
        </w:rPr>
        <w:t>”); and the holders of at least sixty percent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(60%) of the Common Stock and the Preferred Stock, voting as a single class on an as converted basis, shall be entitled to elect any additional directors.</w:t>
      </w:r>
    </w:p>
    <w:p>
      <w:pPr>
        <w:spacing w:after="0" w:line="233" w:lineRule="exact"/>
        <w:rPr>
          <w:rFonts w:ascii="Arial" w:cs="Arial" w:eastAsia="Arial" w:hAnsi="Arial"/>
          <w:sz w:val="16"/>
          <w:szCs w:val="16"/>
          <w:color w:val="auto"/>
        </w:rPr>
      </w:pPr>
    </w:p>
    <w:p>
      <w:pPr>
        <w:ind w:right="40" w:firstLine="921"/>
        <w:spacing w:after="0" w:line="287" w:lineRule="auto"/>
        <w:tabs>
          <w:tab w:leader="none" w:pos="1168" w:val="left"/>
        </w:tabs>
        <w:numPr>
          <w:ilvl w:val="1"/>
          <w:numId w:val="130"/>
        </w:numPr>
        <w:rPr>
          <w:rFonts w:ascii="Arial" w:cs="Arial" w:eastAsia="Arial" w:hAnsi="Arial"/>
          <w:sz w:val="16"/>
          <w:szCs w:val="16"/>
          <w:color w:val="auto"/>
        </w:rPr>
      </w:pPr>
      <w:r>
        <w:rPr>
          <w:rFonts w:ascii="Arial" w:cs="Arial" w:eastAsia="Arial" w:hAnsi="Arial"/>
          <w:sz w:val="16"/>
          <w:szCs w:val="16"/>
          <w:color w:val="auto"/>
        </w:rPr>
        <w:t xml:space="preserve">On all other matters, except as specifically provided herein or as otherwise required by law, holders of the Preferred Stock shall have full voting rights and powers equal to the voting rights and powers of the holders of Common Stock, and shall be entitled to vote, together with the holders of Common Stock, with respect to any matters upon which holders of Common Stock have the right to vote. Except as otherwise provided herein, the holder of each share of Common Stock issued and outstanding shall have one vote and the holder of each share of Preferred Stock shall be entitled to the number of votes equal to the largest number of shares of Common Stock into which such share of Preferred Stock could be converted at the record date for determination of the stockholders entitled to vote on such matters, or, if no such record date is established, at the date such vote is taken or any written consent of stockholders is solicited, such votes to be counted together with all other shares of stock of this corporation having general voting power and not separately as a class. For purposes of this </w:t>
      </w:r>
      <w:r>
        <w:rPr>
          <w:rFonts w:ascii="Arial" w:cs="Arial" w:eastAsia="Arial" w:hAnsi="Arial"/>
          <w:sz w:val="16"/>
          <w:szCs w:val="16"/>
          <w:u w:val="single" w:color="auto"/>
          <w:color w:val="auto"/>
        </w:rPr>
        <w:t>Section 3</w:t>
      </w:r>
      <w:r>
        <w:rPr>
          <w:rFonts w:ascii="Arial" w:cs="Arial" w:eastAsia="Arial" w:hAnsi="Arial"/>
          <w:sz w:val="16"/>
          <w:szCs w:val="16"/>
          <w:color w:val="auto"/>
        </w:rPr>
        <w:t>, the “voting power of the shares of Preferred Stock” shall mean the number of votes equal to the number of shares of Common Stock into which such shares of Preferred Stock could be converted at the dates provided in the preceding sentence. Fractional votes by the holders of Preferred Stock shall not, however, be permitted and any fractional voting rights shall (after aggregating all shares into which shares of Preferred Stock held by each holder could be converted) be rounded to the nearest whole number.</w:t>
      </w:r>
    </w:p>
    <w:p>
      <w:pPr>
        <w:spacing w:after="0" w:line="172" w:lineRule="exact"/>
        <w:rPr>
          <w:rFonts w:ascii="Arial" w:cs="Arial" w:eastAsia="Arial" w:hAnsi="Arial"/>
          <w:sz w:val="16"/>
          <w:szCs w:val="16"/>
          <w:color w:val="auto"/>
        </w:rPr>
      </w:pPr>
    </w:p>
    <w:p>
      <w:pPr>
        <w:ind w:left="640" w:hanging="176"/>
        <w:spacing w:after="0"/>
        <w:tabs>
          <w:tab w:leader="none" w:pos="64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u w:val="single" w:color="auto"/>
          <w:color w:val="auto"/>
        </w:rPr>
        <w:t>Conversion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921"/>
        <w:spacing w:after="0" w:line="297" w:lineRule="auto"/>
        <w:tabs>
          <w:tab w:leader="none" w:pos="1157" w:val="left"/>
        </w:tabs>
        <w:numPr>
          <w:ilvl w:val="1"/>
          <w:numId w:val="130"/>
        </w:numPr>
        <w:rPr>
          <w:rFonts w:ascii="Arial" w:cs="Arial" w:eastAsia="Arial" w:hAnsi="Arial"/>
          <w:sz w:val="16"/>
          <w:szCs w:val="16"/>
          <w:color w:val="auto"/>
        </w:rPr>
      </w:pPr>
      <w:r>
        <w:rPr>
          <w:rFonts w:ascii="Arial" w:cs="Arial" w:eastAsia="Arial" w:hAnsi="Arial"/>
          <w:sz w:val="16"/>
          <w:szCs w:val="16"/>
          <w:u w:val="single" w:color="auto"/>
          <w:color w:val="auto"/>
        </w:rPr>
        <w:t>Right to Convert</w:t>
      </w:r>
      <w:r>
        <w:rPr>
          <w:rFonts w:ascii="Arial" w:cs="Arial" w:eastAsia="Arial" w:hAnsi="Arial"/>
          <w:sz w:val="16"/>
          <w:szCs w:val="16"/>
          <w:color w:val="auto"/>
        </w:rPr>
        <w:t>. Each share of Preferred Stock shall be convertible into shares of Common Stock without the payment of any additional consideration by the holder thereof and, at the option of the holder thereof, at any time after the date of issuance of such share, at the office of this corporation or any transfer agent for the Preferred Stock and shall be convertible into the number of fully paid and nonassessable shares of Common Stock which results from dividing the per share Conversion Value (as hereinafter defined) of each series of Preferred Stock at the time of conversion by the Conversion Price (as hereinafter defined) per share in effect for such series. The initial per share Conversion Price of the Series A Preferred</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3" w:name="page254"/>
    <w:bookmarkEnd w:id="253"/>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Stock shall be Fifty-Five Dollars and Nine Hundred Sixty-Five Thousandths of a Cent ($55.965). The per share Conversion Value of the Series A Preferred Stock shall be Eleven Dollars and One Hundred Ninety-Three Thousandths of a Cent ($11.193) (as adjusted for stock splits, stock dividends, recapitalization and similar events relating to the Series A Preferred Stock). The initial per share Conversion Price of the Series A-1 Preferred Stock shall be Eleven Dollars and One Hundred Ninety-Three Thousandths of a Cent ($11.193). The per share Conversion Value of the Series A-1 Preferred Stock shall be Eleven Dollars and One Hundred Ninety-Three Thousandths of a Cent ($11.193) (as adjusted for stock splits, stock dividends, recapitalization and similar events relating to the Series A-1 Preferred Stock). The initial per share Conversion Price of the Series B Preferred Stock shall be Eleven Dollars and One Hundred Ninety-Three Thousandths of a Cent ($11.193). The per share Conversion Value of the Series B Preferred Stock shall be Eleven Dollars and One Hundred Ninety-Three Thousandths of a Cent ($11.193) (as adjusted for stock splits, stock dividends, recapitalization and similar events relating to the Series B Preferred Stock). The initial per share Conversion Price of the Series B-1 Preferred Stock shall be Eleven Dollars and One Hundred Ninety-Three Thousandths of a Cent ($11.193). The per share Conversion Value of the Series B-1 Preferred Stock shall be Eleven Dollars and One Hundred Ninety-Three Thousandths of a Cent ($11.193) (as adjusted for stock splits, stock dividends, recapitalization and similar events relating to the Series B-1 Preferred Stock). The initial per share Conversion Price of the Series C-1 Preferred Stock shall be Eleven Dollars and One Hundred Ninety-Three Thousandths of a Cent ($11.193). The per share Conversion Value of the Series C-1 Preferred Stock shall be Eleven Dollars and One Hundred Ninety-Three Thousandths of a Cent ($11.193) (as adjusted for stock splits, stock dividends, recapitalization and similar events relating to the Series C-1 Preferred Stock). The initial Conversion Price of each series of Preferred Stock shall be subject to adjustment from time to time as provided below, subject to the terms of </w:t>
      </w:r>
      <w:r>
        <w:rPr>
          <w:rFonts w:ascii="Arial" w:cs="Arial" w:eastAsia="Arial" w:hAnsi="Arial"/>
          <w:sz w:val="16"/>
          <w:szCs w:val="16"/>
          <w:u w:val="single" w:color="auto"/>
          <w:color w:val="auto"/>
        </w:rPr>
        <w:t>Section 4(e)</w:t>
      </w:r>
      <w:r>
        <w:rPr>
          <w:rFonts w:ascii="Arial" w:cs="Arial" w:eastAsia="Arial" w:hAnsi="Arial"/>
          <w:sz w:val="16"/>
          <w:szCs w:val="16"/>
          <w:color w:val="auto"/>
        </w:rPr>
        <w:t xml:space="preserve"> hereof. The number of shares of Common Stock into which a share of Preferred Stock is convertible is hereinafter referred to as the “</w:t>
      </w:r>
      <w:r>
        <w:rPr>
          <w:rFonts w:ascii="Arial" w:cs="Arial" w:eastAsia="Arial" w:hAnsi="Arial"/>
          <w:sz w:val="16"/>
          <w:szCs w:val="16"/>
          <w:u w:val="single" w:color="auto"/>
          <w:color w:val="auto"/>
        </w:rPr>
        <w:t>Conversion Rate</w:t>
      </w:r>
      <w:r>
        <w:rPr>
          <w:rFonts w:ascii="Arial" w:cs="Arial" w:eastAsia="Arial" w:hAnsi="Arial"/>
          <w:sz w:val="16"/>
          <w:szCs w:val="16"/>
          <w:color w:val="auto"/>
        </w:rPr>
        <w:t>” of such series.</w:t>
      </w:r>
    </w:p>
    <w:p>
      <w:pPr>
        <w:spacing w:after="0" w:line="178" w:lineRule="exact"/>
        <w:rPr>
          <w:sz w:val="20"/>
          <w:szCs w:val="20"/>
          <w:color w:val="auto"/>
        </w:rPr>
      </w:pPr>
    </w:p>
    <w:p>
      <w:pPr>
        <w:ind w:left="1180" w:hanging="259"/>
        <w:spacing w:after="0"/>
        <w:tabs>
          <w:tab w:leader="none" w:pos="11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92"/>
        <w:spacing w:after="0" w:line="271" w:lineRule="auto"/>
        <w:tabs>
          <w:tab w:leader="none" w:pos="1698" w:val="left"/>
        </w:tabs>
        <w:numPr>
          <w:ilvl w:val="1"/>
          <w:numId w:val="131"/>
        </w:numPr>
        <w:rPr>
          <w:rFonts w:ascii="Arial" w:cs="Arial" w:eastAsia="Arial" w:hAnsi="Arial"/>
          <w:sz w:val="17"/>
          <w:szCs w:val="17"/>
          <w:color w:val="auto"/>
        </w:rPr>
      </w:pPr>
      <w:r>
        <w:rPr>
          <w:rFonts w:ascii="Arial" w:cs="Arial" w:eastAsia="Arial" w:hAnsi="Arial"/>
          <w:sz w:val="17"/>
          <w:szCs w:val="17"/>
          <w:color w:val="auto"/>
        </w:rPr>
        <w:t>Each share of Preferred Stock shall automatically be converted into share(s) of Common Stock at its then effective Conversion Rate of such series of Preferred Stock immediately upon the earlier of (A) the closing of the sale of this corporation’s Common Stock in an underwritten initial public offering registered under the Securities Act of 1933, as amended (“</w:t>
      </w:r>
      <w:r>
        <w:rPr>
          <w:rFonts w:ascii="Arial" w:cs="Arial" w:eastAsia="Arial" w:hAnsi="Arial"/>
          <w:sz w:val="17"/>
          <w:szCs w:val="17"/>
          <w:u w:val="single" w:color="auto"/>
          <w:color w:val="auto"/>
        </w:rPr>
        <w:t>Securities Act</w:t>
      </w:r>
      <w:r>
        <w:rPr>
          <w:rFonts w:ascii="Arial" w:cs="Arial" w:eastAsia="Arial" w:hAnsi="Arial"/>
          <w:sz w:val="17"/>
          <w:szCs w:val="17"/>
          <w:color w:val="auto"/>
        </w:rPr>
        <w:t xml:space="preserve">”) on the New York Stock Exchange, The NASDAQ Stock Market or another nationally recognized securities exchange, with aggregate offering proceeds to this corporation (before deduction for underwriters’ discounts and expenses relating to the issuance) of at least Thirty Million Dollars ($30,000,000) and a public offering price per share equal to at least $11.193 (as adjusted for stock splits, stock dividends, recapitalization and similar events), or (B) subject to the protective provisions of the Series C-1 Preferred Stock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or other protective provisions set forth herein, at the election of the holders of at least sixty percent (60%) of the outstanding shares of the Prime Preferred Stock voting together as a separate class on an as-converted basis.</w:t>
      </w:r>
    </w:p>
    <w:p>
      <w:pPr>
        <w:spacing w:after="0" w:line="178" w:lineRule="exact"/>
        <w:rPr>
          <w:rFonts w:ascii="Arial" w:cs="Arial" w:eastAsia="Arial" w:hAnsi="Arial"/>
          <w:sz w:val="17"/>
          <w:szCs w:val="17"/>
          <w:color w:val="auto"/>
        </w:rPr>
      </w:pPr>
    </w:p>
    <w:p>
      <w:pPr>
        <w:ind w:right="320" w:firstLine="1492"/>
        <w:spacing w:after="0" w:line="277" w:lineRule="auto"/>
        <w:tabs>
          <w:tab w:leader="none" w:pos="1748"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Subject to the protective provisions of the Series C-1 Preferred Stock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or other protective provisions set forth herein, each share of Prime Preferred Stock shall automatically be converted into share(s) of Common Stock at its then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54" w:name="page255"/>
    <w:bookmarkEnd w:id="254"/>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effective Conversion Rate of such series of Prime Preferred Stock immediately upon the election of the holders of a majority of the outstanding shares of the Prime Preferred Stock voting as a separate class on an as-converted basis. Each share of Series A-1 Preferred Stock shall automatically be converted into share(s) of Common Stock at its then effective Conversion Rate of Series A-1 Preferred Stock immediately upon the election of the holders of a majority of the outstanding shares of the Series A-1 Preferred Stock. Each share of Series B-1 Preferred Stock shall automatically be converted into share(s) of Common Stock at its then effective Conversion Rate of Series B-1 Preferred Stock immediately upon the election of the holders of a majority of the outstanding shares of the Series B-1 Preferred Stock. Subject to the protective provisions of the Series C-1 Preferred Stock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each share of Series C-1 Preferred Stock shall automatically be converted into share(s) of Common Stock at its then effective Conversion Rate of Series C-1 Preferred Stock immediately upon the election of the holders of at least a majority of the outstanding shares of the Series C-1 Preferred Stock.</w:t>
      </w:r>
    </w:p>
    <w:p>
      <w:pPr>
        <w:spacing w:after="0" w:line="166" w:lineRule="exact"/>
        <w:rPr>
          <w:sz w:val="20"/>
          <w:szCs w:val="20"/>
          <w:color w:val="auto"/>
        </w:rPr>
      </w:pPr>
    </w:p>
    <w:p>
      <w:pPr>
        <w:ind w:firstLine="921"/>
        <w:spacing w:after="0" w:line="286" w:lineRule="auto"/>
        <w:tabs>
          <w:tab w:leader="none" w:pos="1157"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Mechanics of Conversion</w:t>
      </w:r>
      <w:r>
        <w:rPr>
          <w:rFonts w:ascii="Arial" w:cs="Arial" w:eastAsia="Arial" w:hAnsi="Arial"/>
          <w:sz w:val="16"/>
          <w:szCs w:val="16"/>
          <w:color w:val="auto"/>
        </w:rPr>
        <w:t xml:space="preserve">. Before any holder of Preferred Stock shall be entitled to convert the same into shares of Common Stock, the holder shall surrender the certificate(s) therefor, duly endorsed, at the office of this corporation or of any transfer agent for the Preferred Stock and shall give written notice to this corporation at such office that the holder elects to convert the same (except that no such written notice of election to convert shall be necessary in the event of an automatic conversion pursuant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hereof). This corporation shall, as soon as practicable thereafter, issue and deliver at such office to such holder of Preferred Stock certificate(s) for the number of shares of Common Stock to which such holder shall be entitled as aforesaid. Such conversion shall be deemed to have been made immediately prior to the close of business on the date of such surrender of the shares of Preferred Stock to be converted (except that in the case of an automatic conversion pursuant to </w:t>
      </w:r>
      <w:r>
        <w:rPr>
          <w:rFonts w:ascii="Arial" w:cs="Arial" w:eastAsia="Arial" w:hAnsi="Arial"/>
          <w:sz w:val="16"/>
          <w:szCs w:val="16"/>
          <w:u w:val="single" w:color="auto"/>
          <w:color w:val="auto"/>
        </w:rPr>
        <w:t>Section 4(b)(i)(A)</w:t>
      </w:r>
      <w:r>
        <w:rPr>
          <w:rFonts w:ascii="Arial" w:cs="Arial" w:eastAsia="Arial" w:hAnsi="Arial"/>
          <w:sz w:val="16"/>
          <w:szCs w:val="16"/>
          <w:color w:val="auto"/>
        </w:rPr>
        <w:t xml:space="preserve"> hereof such conversion shall be deemed to have been made immediately prior to the closing of the offering referred to in </w:t>
      </w:r>
      <w:r>
        <w:rPr>
          <w:rFonts w:ascii="Arial" w:cs="Arial" w:eastAsia="Arial" w:hAnsi="Arial"/>
          <w:sz w:val="16"/>
          <w:szCs w:val="16"/>
          <w:u w:val="single" w:color="auto"/>
          <w:color w:val="auto"/>
        </w:rPr>
        <w:t>Section 4(b)(i)(A))</w:t>
      </w:r>
      <w:r>
        <w:rPr>
          <w:rFonts w:ascii="Arial" w:cs="Arial" w:eastAsia="Arial" w:hAnsi="Arial"/>
          <w:sz w:val="16"/>
          <w:szCs w:val="16"/>
          <w:color w:val="auto"/>
        </w:rPr>
        <w:t xml:space="preserve"> or in the case of an automatic conversion pursuant to </w:t>
      </w:r>
      <w:r>
        <w:rPr>
          <w:rFonts w:ascii="Arial" w:cs="Arial" w:eastAsia="Arial" w:hAnsi="Arial"/>
          <w:sz w:val="16"/>
          <w:szCs w:val="16"/>
          <w:u w:val="single" w:color="auto"/>
          <w:color w:val="auto"/>
        </w:rPr>
        <w:t>Section 4(b)(i)(B)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4(b)(ii)</w:t>
      </w:r>
      <w:r>
        <w:rPr>
          <w:rFonts w:ascii="Arial" w:cs="Arial" w:eastAsia="Arial" w:hAnsi="Arial"/>
          <w:sz w:val="16"/>
          <w:szCs w:val="16"/>
          <w:color w:val="auto"/>
        </w:rPr>
        <w:t xml:space="preserve"> hereof, immediately prior to the close of business on the date of the election referred to in </w:t>
      </w:r>
      <w:r>
        <w:rPr>
          <w:rFonts w:ascii="Arial" w:cs="Arial" w:eastAsia="Arial" w:hAnsi="Arial"/>
          <w:sz w:val="16"/>
          <w:szCs w:val="16"/>
          <w:u w:val="single" w:color="auto"/>
          <w:color w:val="auto"/>
        </w:rPr>
        <w:t>Section 4(b)(i)(B)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4(b)(ii)</w:t>
      </w:r>
      <w:r>
        <w:rPr>
          <w:rFonts w:ascii="Arial" w:cs="Arial" w:eastAsia="Arial" w:hAnsi="Arial"/>
          <w:sz w:val="16"/>
          <w:szCs w:val="16"/>
          <w:color w:val="auto"/>
        </w:rPr>
        <w:t>, as applicable, and the person or persons entitled to receive the shares of Common Stock issuable upon such conversion shall be treated for all purposes as the record holder or holders of such shares of Common Stock on such date. If the conversion is in connection with an underwritten public offering of securities registered pursuant to the Securities Act, the conversion may, at the option of any holder tendering such Preferred Stock for conversion, be conditioned upon the closing with the underwriters of the sale of securities pursuant to such offering, in which event any persons entitled to receive Common Stock upon conversion of such Preferred Stock shall not be deemed to have converted such Preferred Stock until immediately prior to the closing of such sale of securities.</w:t>
      </w:r>
    </w:p>
    <w:p>
      <w:pPr>
        <w:spacing w:after="0" w:line="171" w:lineRule="exact"/>
        <w:rPr>
          <w:rFonts w:ascii="Arial" w:cs="Arial" w:eastAsia="Arial" w:hAnsi="Arial"/>
          <w:sz w:val="16"/>
          <w:szCs w:val="16"/>
          <w:color w:val="auto"/>
        </w:rPr>
      </w:pPr>
    </w:p>
    <w:p>
      <w:pPr>
        <w:jc w:val="both"/>
        <w:ind w:right="240" w:firstLine="921"/>
        <w:spacing w:after="0" w:line="257" w:lineRule="auto"/>
        <w:tabs>
          <w:tab w:leader="none" w:pos="1168"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Fractional Shares</w:t>
      </w:r>
      <w:r>
        <w:rPr>
          <w:rFonts w:ascii="Arial" w:cs="Arial" w:eastAsia="Arial" w:hAnsi="Arial"/>
          <w:sz w:val="18"/>
          <w:szCs w:val="18"/>
          <w:color w:val="auto"/>
        </w:rPr>
        <w:t>. In lieu of any fractional shares to which the holder of Preferred Stock would otherwise be entitled, this corporation shall pay cash equal to such fraction multiplied by the fair market value of one share of such series of Preferred Stock as determined by the board of directors of this corporation. Whether or not fractional shares are issuable upon such conversion shall be determined on the basis of the total number of shares of Preferred Stock of each holder at the time converting into Common Stock and the number of shares of Common Stock issuable upon such aggregate conversion.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55" w:name="page256"/>
    <w:bookmarkEnd w:id="255"/>
    <w:p>
      <w:pPr>
        <w:ind w:left="-60" w:right="100" w:firstLine="921"/>
        <w:spacing w:after="0" w:line="297" w:lineRule="auto"/>
        <w:tabs>
          <w:tab w:leader="none" w:pos="109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of Conversion Price</w:t>
      </w:r>
      <w:r>
        <w:rPr>
          <w:rFonts w:ascii="Arial" w:cs="Arial" w:eastAsia="Arial" w:hAnsi="Arial"/>
          <w:sz w:val="16"/>
          <w:szCs w:val="16"/>
          <w:color w:val="auto"/>
        </w:rPr>
        <w:t>. The Conversion Price of the Series A Preferred Stock (“</w:t>
      </w:r>
      <w:r>
        <w:rPr>
          <w:rFonts w:ascii="Arial" w:cs="Arial" w:eastAsia="Arial" w:hAnsi="Arial"/>
          <w:sz w:val="16"/>
          <w:szCs w:val="16"/>
          <w:u w:val="single" w:color="auto"/>
          <w:color w:val="auto"/>
        </w:rPr>
        <w:t>Series A Conversion Price</w:t>
      </w:r>
      <w:r>
        <w:rPr>
          <w:rFonts w:ascii="Arial" w:cs="Arial" w:eastAsia="Arial" w:hAnsi="Arial"/>
          <w:sz w:val="16"/>
          <w:szCs w:val="16"/>
          <w:color w:val="auto"/>
        </w:rPr>
        <w:t>”), the Conversion Price of the Series A-1 Preferred Stock (“</w:t>
      </w:r>
      <w:r>
        <w:rPr>
          <w:rFonts w:ascii="Arial" w:cs="Arial" w:eastAsia="Arial" w:hAnsi="Arial"/>
          <w:sz w:val="16"/>
          <w:szCs w:val="16"/>
          <w:u w:val="single" w:color="auto"/>
          <w:color w:val="auto"/>
        </w:rPr>
        <w:t>Series A-1 Conversion Price</w:t>
      </w:r>
      <w:r>
        <w:rPr>
          <w:rFonts w:ascii="Arial" w:cs="Arial" w:eastAsia="Arial" w:hAnsi="Arial"/>
          <w:sz w:val="16"/>
          <w:szCs w:val="16"/>
          <w:color w:val="auto"/>
        </w:rPr>
        <w:t>”), the Conversion Price of the Series B Preferred Stock (“</w:t>
      </w:r>
      <w:r>
        <w:rPr>
          <w:rFonts w:ascii="Arial" w:cs="Arial" w:eastAsia="Arial" w:hAnsi="Arial"/>
          <w:sz w:val="16"/>
          <w:szCs w:val="16"/>
          <w:u w:val="single" w:color="auto"/>
          <w:color w:val="auto"/>
        </w:rPr>
        <w:t>Series B Conversion Price</w:t>
      </w:r>
      <w:r>
        <w:rPr>
          <w:rFonts w:ascii="Arial" w:cs="Arial" w:eastAsia="Arial" w:hAnsi="Arial"/>
          <w:sz w:val="16"/>
          <w:szCs w:val="16"/>
          <w:color w:val="auto"/>
        </w:rPr>
        <w:t>”), the Conversion Price of the Series B-1 Preferred Stock (“</w:t>
      </w:r>
      <w:r>
        <w:rPr>
          <w:rFonts w:ascii="Arial" w:cs="Arial" w:eastAsia="Arial" w:hAnsi="Arial"/>
          <w:sz w:val="16"/>
          <w:szCs w:val="16"/>
          <w:u w:val="single" w:color="auto"/>
          <w:color w:val="auto"/>
        </w:rPr>
        <w:t>Series B-1 Conversion Price</w:t>
      </w:r>
      <w:r>
        <w:rPr>
          <w:rFonts w:ascii="Arial" w:cs="Arial" w:eastAsia="Arial" w:hAnsi="Arial"/>
          <w:sz w:val="16"/>
          <w:szCs w:val="16"/>
          <w:color w:val="auto"/>
        </w:rPr>
        <w:t>”) and the Conversion Price of the Series C-1 Preferred Stock (“</w:t>
      </w:r>
      <w:r>
        <w:rPr>
          <w:rFonts w:ascii="Arial" w:cs="Arial" w:eastAsia="Arial" w:hAnsi="Arial"/>
          <w:sz w:val="16"/>
          <w:szCs w:val="16"/>
          <w:u w:val="single" w:color="auto"/>
          <w:color w:val="auto"/>
        </w:rPr>
        <w:t>Series C-1</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Conversion Price</w:t>
      </w:r>
      <w:r>
        <w:rPr>
          <w:rFonts w:ascii="Arial" w:cs="Arial" w:eastAsia="Arial" w:hAnsi="Arial"/>
          <w:sz w:val="16"/>
          <w:szCs w:val="16"/>
          <w:color w:val="auto"/>
        </w:rPr>
        <w:t>” and, collectively with the Series A Conversion Price, Series A-1 Conversion Price, Series B Conversion Price and Series B-1 Conversion Price, each a “</w:t>
      </w:r>
      <w:r>
        <w:rPr>
          <w:rFonts w:ascii="Arial" w:cs="Arial" w:eastAsia="Arial" w:hAnsi="Arial"/>
          <w:sz w:val="16"/>
          <w:szCs w:val="16"/>
          <w:u w:val="single" w:color="auto"/>
          <w:color w:val="auto"/>
        </w:rPr>
        <w:t>Preferred Stock Conversion Price</w:t>
      </w:r>
      <w:r>
        <w:rPr>
          <w:rFonts w:ascii="Arial" w:cs="Arial" w:eastAsia="Arial" w:hAnsi="Arial"/>
          <w:sz w:val="16"/>
          <w:szCs w:val="16"/>
          <w:color w:val="auto"/>
        </w:rPr>
        <w:t>”) shall each be subject to independent adjustment from time to time as follows:</w:t>
      </w:r>
    </w:p>
    <w:p>
      <w:pPr>
        <w:spacing w:after="0" w:line="158" w:lineRule="exact"/>
        <w:rPr>
          <w:rFonts w:ascii="Arial" w:cs="Arial" w:eastAsia="Arial" w:hAnsi="Arial"/>
          <w:sz w:val="16"/>
          <w:szCs w:val="16"/>
          <w:color w:val="auto"/>
        </w:rPr>
      </w:pPr>
    </w:p>
    <w:p>
      <w:pPr>
        <w:ind w:left="1640" w:hanging="208"/>
        <w:spacing w:after="0"/>
        <w:tabs>
          <w:tab w:leader="none" w:pos="1640"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4(e)</w:t>
      </w:r>
      <w:r>
        <w:rPr>
          <w:rFonts w:ascii="Arial" w:cs="Arial" w:eastAsia="Arial" w:hAnsi="Arial"/>
          <w:sz w:val="18"/>
          <w:szCs w:val="18"/>
          <w:color w:val="auto"/>
        </w:rPr>
        <w:t>, the following definitions shall apply:</w:t>
      </w:r>
    </w:p>
    <w:p>
      <w:pPr>
        <w:spacing w:after="0" w:line="225" w:lineRule="exact"/>
        <w:rPr>
          <w:rFonts w:ascii="Arial" w:cs="Arial" w:eastAsia="Arial" w:hAnsi="Arial"/>
          <w:sz w:val="18"/>
          <w:szCs w:val="18"/>
          <w:color w:val="auto"/>
        </w:rPr>
      </w:pPr>
    </w:p>
    <w:p>
      <w:pPr>
        <w:ind w:left="2180" w:hanging="292"/>
        <w:spacing w:after="0"/>
        <w:tabs>
          <w:tab w:leader="none" w:pos="218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Securities</w:t>
      </w:r>
      <w:r>
        <w:rPr>
          <w:rFonts w:ascii="Arial" w:cs="Arial" w:eastAsia="Arial" w:hAnsi="Arial"/>
          <w:sz w:val="18"/>
          <w:szCs w:val="18"/>
          <w:color w:val="auto"/>
        </w:rPr>
        <w:t>” shall mean:</w:t>
      </w:r>
    </w:p>
    <w:p>
      <w:pPr>
        <w:spacing w:after="0" w:line="225" w:lineRule="exact"/>
        <w:rPr>
          <w:rFonts w:ascii="Arial" w:cs="Arial" w:eastAsia="Arial" w:hAnsi="Arial"/>
          <w:sz w:val="18"/>
          <w:szCs w:val="18"/>
          <w:color w:val="auto"/>
        </w:rPr>
      </w:pPr>
    </w:p>
    <w:p>
      <w:pPr>
        <w:ind w:left="-60" w:firstLine="2404"/>
        <w:spacing w:after="0" w:line="342" w:lineRule="auto"/>
        <w:tabs>
          <w:tab w:leader="none" w:pos="2591" w:val="left"/>
        </w:tabs>
        <w:numPr>
          <w:ilvl w:val="3"/>
          <w:numId w:val="133"/>
        </w:numPr>
        <w:rPr>
          <w:rFonts w:ascii="Arial" w:cs="Arial" w:eastAsia="Arial" w:hAnsi="Arial"/>
          <w:sz w:val="16"/>
          <w:szCs w:val="16"/>
          <w:color w:val="auto"/>
        </w:rPr>
      </w:pPr>
      <w:r>
        <w:rPr>
          <w:rFonts w:ascii="Arial" w:cs="Arial" w:eastAsia="Arial" w:hAnsi="Arial"/>
          <w:sz w:val="16"/>
          <w:szCs w:val="16"/>
          <w:color w:val="auto"/>
        </w:rPr>
        <w:t>all shares of Common Stock issued or deemed issued to directors or employees of, or consultants or advisors to, this corporation, pursuant to any stock option plan or equity incentive plan of this corporation approved by a majority of the board of directors of this corporation;</w:t>
      </w:r>
    </w:p>
    <w:p>
      <w:pPr>
        <w:spacing w:after="0" w:line="123" w:lineRule="exact"/>
        <w:rPr>
          <w:rFonts w:ascii="Arial" w:cs="Arial" w:eastAsia="Arial" w:hAnsi="Arial"/>
          <w:sz w:val="16"/>
          <w:szCs w:val="16"/>
          <w:color w:val="auto"/>
        </w:rPr>
      </w:pPr>
    </w:p>
    <w:p>
      <w:pPr>
        <w:ind w:left="-60" w:right="140" w:firstLine="2404"/>
        <w:spacing w:after="0" w:line="264" w:lineRule="auto"/>
        <w:tabs>
          <w:tab w:leader="none" w:pos="2591" w:val="left"/>
        </w:tabs>
        <w:numPr>
          <w:ilvl w:val="3"/>
          <w:numId w:val="133"/>
        </w:numPr>
        <w:rPr>
          <w:rFonts w:ascii="Arial" w:cs="Arial" w:eastAsia="Arial" w:hAnsi="Arial"/>
          <w:sz w:val="18"/>
          <w:szCs w:val="18"/>
          <w:color w:val="auto"/>
        </w:rPr>
      </w:pPr>
      <w:r>
        <w:rPr>
          <w:rFonts w:ascii="Arial" w:cs="Arial" w:eastAsia="Arial" w:hAnsi="Arial"/>
          <w:sz w:val="18"/>
          <w:szCs w:val="18"/>
          <w:color w:val="auto"/>
        </w:rPr>
        <w:t>all shares of Common Stock issued or deemed issued in connection with research and development partnerships, licensing, corporate partnering, collaborative arrangements or similar transactions approved by the holders of at least sixty percent (60%) of the outstanding Prime Preferred Stock;</w:t>
      </w:r>
    </w:p>
    <w:p>
      <w:pPr>
        <w:spacing w:after="0" w:line="181" w:lineRule="exact"/>
        <w:rPr>
          <w:rFonts w:ascii="Arial" w:cs="Arial" w:eastAsia="Arial" w:hAnsi="Arial"/>
          <w:sz w:val="18"/>
          <w:szCs w:val="18"/>
          <w:color w:val="auto"/>
        </w:rPr>
      </w:pPr>
    </w:p>
    <w:p>
      <w:pPr>
        <w:ind w:left="2600" w:hanging="256"/>
        <w:spacing w:after="0"/>
        <w:tabs>
          <w:tab w:leader="none" w:pos="260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all securities issued pursuant to dividends or distributions on the Preferred Stock;</w:t>
      </w:r>
    </w:p>
    <w:p>
      <w:pPr>
        <w:spacing w:after="0" w:line="225" w:lineRule="exact"/>
        <w:rPr>
          <w:rFonts w:ascii="Arial" w:cs="Arial" w:eastAsia="Arial" w:hAnsi="Arial"/>
          <w:sz w:val="18"/>
          <w:szCs w:val="18"/>
          <w:color w:val="auto"/>
        </w:rPr>
      </w:pPr>
    </w:p>
    <w:p>
      <w:pPr>
        <w:ind w:left="-60" w:right="520" w:firstLine="2404"/>
        <w:spacing w:after="0" w:line="342" w:lineRule="auto"/>
        <w:tabs>
          <w:tab w:leader="none" w:pos="2591" w:val="left"/>
        </w:tabs>
        <w:numPr>
          <w:ilvl w:val="3"/>
          <w:numId w:val="133"/>
        </w:numPr>
        <w:rPr>
          <w:rFonts w:ascii="Arial" w:cs="Arial" w:eastAsia="Arial" w:hAnsi="Arial"/>
          <w:sz w:val="16"/>
          <w:szCs w:val="16"/>
          <w:color w:val="auto"/>
        </w:rPr>
      </w:pPr>
      <w:r>
        <w:rPr>
          <w:rFonts w:ascii="Arial" w:cs="Arial" w:eastAsia="Arial" w:hAnsi="Arial"/>
          <w:sz w:val="16"/>
          <w:szCs w:val="16"/>
          <w:color w:val="auto"/>
        </w:rPr>
        <w:t>securities to financial institutions or lessors issued in connection with commercial credit arrangements, equipment financings, commercial property lease transactions, or similar transactions approved by a majority of the board of directors of this corporation;</w:t>
      </w:r>
    </w:p>
    <w:p>
      <w:pPr>
        <w:spacing w:after="0" w:line="123" w:lineRule="exact"/>
        <w:rPr>
          <w:rFonts w:ascii="Arial" w:cs="Arial" w:eastAsia="Arial" w:hAnsi="Arial"/>
          <w:sz w:val="16"/>
          <w:szCs w:val="16"/>
          <w:color w:val="auto"/>
        </w:rPr>
      </w:pPr>
    </w:p>
    <w:p>
      <w:pPr>
        <w:ind w:left="-60" w:right="60" w:firstLine="2404"/>
        <w:spacing w:after="0" w:line="308" w:lineRule="auto"/>
        <w:tabs>
          <w:tab w:leader="none" w:pos="2591" w:val="left"/>
        </w:tabs>
        <w:numPr>
          <w:ilvl w:val="3"/>
          <w:numId w:val="133"/>
        </w:numPr>
        <w:rPr>
          <w:rFonts w:ascii="Arial" w:cs="Arial" w:eastAsia="Arial" w:hAnsi="Arial"/>
          <w:sz w:val="17"/>
          <w:szCs w:val="17"/>
          <w:color w:val="auto"/>
        </w:rPr>
      </w:pPr>
      <w:r>
        <w:rPr>
          <w:rFonts w:ascii="Arial" w:cs="Arial" w:eastAsia="Arial" w:hAnsi="Arial"/>
          <w:sz w:val="17"/>
          <w:szCs w:val="17"/>
          <w:color w:val="auto"/>
        </w:rPr>
        <w:t>capital stock issued in connection with bona fide acquisitions, mergers, consolidations or similar business combinations, provided that such issuance has been approved by the holders of at least sixty percent (60%) of the outstanding Preferred Stock;</w:t>
      </w:r>
    </w:p>
    <w:p>
      <w:pPr>
        <w:spacing w:after="0" w:line="146" w:lineRule="exact"/>
        <w:rPr>
          <w:rFonts w:ascii="Arial" w:cs="Arial" w:eastAsia="Arial" w:hAnsi="Arial"/>
          <w:sz w:val="17"/>
          <w:szCs w:val="17"/>
          <w:color w:val="auto"/>
        </w:rPr>
      </w:pPr>
    </w:p>
    <w:p>
      <w:pPr>
        <w:ind w:left="2600" w:hanging="256"/>
        <w:spacing w:after="0"/>
        <w:tabs>
          <w:tab w:leader="none" w:pos="260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Common Stock issuable upon conversion of the Preferred Stock;</w:t>
      </w:r>
    </w:p>
    <w:p>
      <w:pPr>
        <w:spacing w:after="0" w:line="225" w:lineRule="exact"/>
        <w:rPr>
          <w:rFonts w:ascii="Arial" w:cs="Arial" w:eastAsia="Arial" w:hAnsi="Arial"/>
          <w:sz w:val="18"/>
          <w:szCs w:val="18"/>
          <w:color w:val="auto"/>
        </w:rPr>
      </w:pPr>
    </w:p>
    <w:p>
      <w:pPr>
        <w:ind w:left="-60" w:right="240" w:firstLine="2404"/>
        <w:spacing w:after="0" w:line="342" w:lineRule="auto"/>
        <w:tabs>
          <w:tab w:leader="none" w:pos="2591" w:val="left"/>
        </w:tabs>
        <w:numPr>
          <w:ilvl w:val="3"/>
          <w:numId w:val="133"/>
        </w:numPr>
        <w:rPr>
          <w:rFonts w:ascii="Arial" w:cs="Arial" w:eastAsia="Arial" w:hAnsi="Arial"/>
          <w:sz w:val="16"/>
          <w:szCs w:val="16"/>
          <w:color w:val="auto"/>
        </w:rPr>
      </w:pPr>
      <w:r>
        <w:rPr>
          <w:rFonts w:ascii="Arial" w:cs="Arial" w:eastAsia="Arial" w:hAnsi="Arial"/>
          <w:sz w:val="16"/>
          <w:szCs w:val="16"/>
          <w:color w:val="auto"/>
        </w:rPr>
        <w:t>all securities issued or issuable (including any convertible debt) pursuant to the Note Purchase Agreement dated on or around September 18, 2014, among the Company and certain investors, as the same may be amended from time to time pursuant to its terms;</w:t>
      </w:r>
    </w:p>
    <w:p>
      <w:pPr>
        <w:spacing w:after="0" w:line="123" w:lineRule="exact"/>
        <w:rPr>
          <w:rFonts w:ascii="Arial" w:cs="Arial" w:eastAsia="Arial" w:hAnsi="Arial"/>
          <w:sz w:val="16"/>
          <w:szCs w:val="16"/>
          <w:color w:val="auto"/>
        </w:rPr>
      </w:pPr>
    </w:p>
    <w:p>
      <w:pPr>
        <w:ind w:left="-60" w:right="20" w:firstLine="2404"/>
        <w:spacing w:after="0" w:line="277" w:lineRule="auto"/>
        <w:tabs>
          <w:tab w:leader="none" w:pos="2591" w:val="left"/>
        </w:tabs>
        <w:numPr>
          <w:ilvl w:val="3"/>
          <w:numId w:val="133"/>
        </w:numPr>
        <w:rPr>
          <w:rFonts w:ascii="Arial" w:cs="Arial" w:eastAsia="Arial" w:hAnsi="Arial"/>
          <w:sz w:val="18"/>
          <w:szCs w:val="18"/>
          <w:color w:val="auto"/>
        </w:rPr>
      </w:pPr>
      <w:r>
        <w:rPr>
          <w:rFonts w:ascii="Arial" w:cs="Arial" w:eastAsia="Arial" w:hAnsi="Arial"/>
          <w:sz w:val="18"/>
          <w:szCs w:val="18"/>
          <w:color w:val="auto"/>
        </w:rPr>
        <w:t>any issuance of Common Stock or Purchase Rights that the holders of sixty-six (66%) of the outstanding Preferred Stock elect to be treated as Excluded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300" w:top="274" w:right="279" w:bottom="1440" w:gutter="0" w:footer="0" w:header="0"/>
        </w:sectPr>
      </w:pPr>
    </w:p>
    <w:bookmarkStart w:id="256" w:name="page257"/>
    <w:bookmarkEnd w:id="256"/>
    <w:p>
      <w:pPr>
        <w:ind w:left="2660" w:hanging="256"/>
        <w:spacing w:after="0"/>
        <w:tabs>
          <w:tab w:leader="none" w:pos="2660" w:val="left"/>
        </w:tabs>
        <w:numPr>
          <w:ilvl w:val="2"/>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right="60" w:firstLine="2404"/>
        <w:spacing w:after="0" w:line="264" w:lineRule="auto"/>
        <w:tabs>
          <w:tab w:leader="none" w:pos="2741" w:val="left"/>
        </w:tabs>
        <w:numPr>
          <w:ilvl w:val="2"/>
          <w:numId w:val="134"/>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upon the exercise of Options or shares of Common Stock issued upon the conversion or exchange of Convertible Securities, in each case provided such issuance is pursuant to the terms of such Option or Convertible Security; and</w:t>
      </w:r>
    </w:p>
    <w:p>
      <w:pPr>
        <w:spacing w:after="0" w:line="181" w:lineRule="exact"/>
        <w:rPr>
          <w:rFonts w:ascii="Arial" w:cs="Arial" w:eastAsia="Arial" w:hAnsi="Arial"/>
          <w:sz w:val="18"/>
          <w:szCs w:val="18"/>
          <w:color w:val="auto"/>
        </w:rPr>
      </w:pPr>
    </w:p>
    <w:p>
      <w:pPr>
        <w:ind w:right="480" w:firstLine="2404"/>
        <w:spacing w:after="0" w:line="277" w:lineRule="auto"/>
        <w:tabs>
          <w:tab w:leader="none" w:pos="2735" w:val="left"/>
        </w:tabs>
        <w:numPr>
          <w:ilvl w:val="2"/>
          <w:numId w:val="134"/>
        </w:numPr>
        <w:rPr>
          <w:rFonts w:ascii="Arial" w:cs="Arial" w:eastAsia="Arial" w:hAnsi="Arial"/>
          <w:sz w:val="18"/>
          <w:szCs w:val="18"/>
          <w:color w:val="auto"/>
        </w:rPr>
      </w:pPr>
      <w:r>
        <w:rPr>
          <w:rFonts w:ascii="Arial" w:cs="Arial" w:eastAsia="Arial" w:hAnsi="Arial"/>
          <w:sz w:val="18"/>
          <w:szCs w:val="18"/>
          <w:color w:val="auto"/>
        </w:rPr>
        <w:t>all securities issued pursuant to a firm commitment, underwritten initial public offering of the capital stock of this corporation registered under the Securities Act.</w:t>
      </w:r>
    </w:p>
    <w:p>
      <w:pPr>
        <w:spacing w:after="0" w:line="170" w:lineRule="exact"/>
        <w:rPr>
          <w:rFonts w:ascii="Arial" w:cs="Arial" w:eastAsia="Arial" w:hAnsi="Arial"/>
          <w:sz w:val="18"/>
          <w:szCs w:val="18"/>
          <w:color w:val="auto"/>
        </w:rPr>
      </w:pPr>
    </w:p>
    <w:p>
      <w:pPr>
        <w:ind w:left="2240" w:hanging="292"/>
        <w:spacing w:after="0"/>
        <w:tabs>
          <w:tab w:leader="none" w:pos="22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Options</w:t>
      </w:r>
      <w:r>
        <w:rPr>
          <w:rFonts w:ascii="Arial" w:cs="Arial" w:eastAsia="Arial" w:hAnsi="Arial"/>
          <w:sz w:val="17"/>
          <w:szCs w:val="17"/>
          <w:color w:val="auto"/>
        </w:rPr>
        <w:t>” means rights, options or warrants to subscribe for, purchase or otherwise acquire either Common Stock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Convertible Securities.</w:t>
      </w:r>
    </w:p>
    <w:p>
      <w:pPr>
        <w:spacing w:after="0" w:line="210" w:lineRule="exact"/>
        <w:rPr>
          <w:rFonts w:ascii="Arial" w:cs="Arial" w:eastAsia="Arial" w:hAnsi="Arial"/>
          <w:sz w:val="17"/>
          <w:szCs w:val="17"/>
          <w:color w:val="auto"/>
        </w:rPr>
      </w:pPr>
    </w:p>
    <w:p>
      <w:pPr>
        <w:ind w:left="2240" w:hanging="292"/>
        <w:spacing w:after="0"/>
        <w:tabs>
          <w:tab w:leader="none" w:pos="22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Convertible Securities</w:t>
      </w:r>
      <w:r>
        <w:rPr>
          <w:rFonts w:ascii="Arial" w:cs="Arial" w:eastAsia="Arial" w:hAnsi="Arial"/>
          <w:sz w:val="17"/>
          <w:szCs w:val="17"/>
          <w:color w:val="auto"/>
        </w:rPr>
        <w:t>” means securities by their terms directly or indirectly convertible into or exchangeable for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 but excluding Options.</w:t>
      </w:r>
    </w:p>
    <w:p>
      <w:pPr>
        <w:spacing w:after="0" w:line="210" w:lineRule="exact"/>
        <w:rPr>
          <w:rFonts w:ascii="Arial" w:cs="Arial" w:eastAsia="Arial" w:hAnsi="Arial"/>
          <w:sz w:val="17"/>
          <w:szCs w:val="17"/>
          <w:color w:val="auto"/>
        </w:rPr>
      </w:pPr>
    </w:p>
    <w:p>
      <w:pPr>
        <w:ind w:left="2240" w:hanging="292"/>
        <w:spacing w:after="0"/>
        <w:tabs>
          <w:tab w:leader="none" w:pos="22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Rights</w:t>
      </w:r>
      <w:r>
        <w:rPr>
          <w:rFonts w:ascii="Arial" w:cs="Arial" w:eastAsia="Arial" w:hAnsi="Arial"/>
          <w:sz w:val="18"/>
          <w:szCs w:val="18"/>
          <w:color w:val="auto"/>
        </w:rPr>
        <w:t>” means Options and Convertible Securities.</w:t>
      </w:r>
    </w:p>
    <w:p>
      <w:pPr>
        <w:spacing w:after="0" w:line="225" w:lineRule="exact"/>
        <w:rPr>
          <w:rFonts w:ascii="Arial" w:cs="Arial" w:eastAsia="Arial" w:hAnsi="Arial"/>
          <w:sz w:val="18"/>
          <w:szCs w:val="18"/>
          <w:color w:val="auto"/>
        </w:rPr>
      </w:pPr>
    </w:p>
    <w:p>
      <w:pPr>
        <w:jc w:val="both"/>
        <w:ind w:right="20" w:firstLine="1948"/>
        <w:spacing w:after="0" w:line="312" w:lineRule="auto"/>
        <w:tabs>
          <w:tab w:leader="none" w:pos="2215" w:val="left"/>
        </w:tabs>
        <w:numPr>
          <w:ilvl w:val="1"/>
          <w:numId w:val="13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Dilutive Issuance</w:t>
      </w:r>
      <w:r>
        <w:rPr>
          <w:rFonts w:ascii="Arial" w:cs="Arial" w:eastAsia="Arial" w:hAnsi="Arial"/>
          <w:sz w:val="16"/>
          <w:szCs w:val="16"/>
          <w:color w:val="auto"/>
        </w:rPr>
        <w:t>” means an issuance of Purchase Rights or Common Stock, in each case excluding any issuance of Excluded Securities, without consideration or for a consideration per share less than the applicable Preferred Stock Conversion Price. “</w:t>
      </w:r>
      <w:r>
        <w:rPr>
          <w:rFonts w:ascii="Arial" w:cs="Arial" w:eastAsia="Arial" w:hAnsi="Arial"/>
          <w:sz w:val="16"/>
          <w:szCs w:val="16"/>
          <w:u w:val="single" w:color="auto"/>
          <w:color w:val="auto"/>
        </w:rPr>
        <w:t>Dilutive Issuance</w:t>
      </w:r>
      <w:r>
        <w:rPr>
          <w:rFonts w:ascii="Arial" w:cs="Arial" w:eastAsia="Arial" w:hAnsi="Arial"/>
          <w:sz w:val="16"/>
          <w:szCs w:val="16"/>
          <w:color w:val="auto"/>
        </w:rPr>
        <w:t xml:space="preserve">” excludes any stock dividend, subdivision or split-up, stock combination, dividend or Transaction described in </w:t>
      </w:r>
      <w:r>
        <w:rPr>
          <w:rFonts w:ascii="Arial" w:cs="Arial" w:eastAsia="Arial" w:hAnsi="Arial"/>
          <w:sz w:val="16"/>
          <w:szCs w:val="16"/>
          <w:u w:val="single" w:color="auto"/>
          <w:color w:val="auto"/>
        </w:rPr>
        <w:t>Sections 4(e)(iv) through (vii)</w:t>
      </w:r>
      <w:r>
        <w:rPr>
          <w:rFonts w:ascii="Arial" w:cs="Arial" w:eastAsia="Arial" w:hAnsi="Arial"/>
          <w:sz w:val="16"/>
          <w:szCs w:val="16"/>
          <w:color w:val="auto"/>
        </w:rPr>
        <w:t xml:space="preserve"> below.</w:t>
      </w:r>
    </w:p>
    <w:p>
      <w:pPr>
        <w:spacing w:after="0" w:line="146" w:lineRule="exact"/>
        <w:rPr>
          <w:rFonts w:ascii="Arial" w:cs="Arial" w:eastAsia="Arial" w:hAnsi="Arial"/>
          <w:sz w:val="16"/>
          <w:szCs w:val="16"/>
          <w:color w:val="auto"/>
        </w:rPr>
      </w:pPr>
    </w:p>
    <w:p>
      <w:pPr>
        <w:ind w:left="1760" w:hanging="268"/>
        <w:spacing w:after="0"/>
        <w:tabs>
          <w:tab w:leader="none" w:pos="17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Adjustment of Conversion Price for Dilutive Issuances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59" w:lineRule="auto"/>
        <w:tabs>
          <w:tab w:leader="none" w:pos="223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this corporation issues or is deemed to issue any Common Stock in a Dilutive Issuance after the initial date shares of Series C-1 Preferred Stock are issued, the Series A-1 Conversion Price, Series B-1 Conversion Price, the Series C-1 Conversion Price and Series B Conversion Price then in effect shall be adjusted to a price determined by multiplying the applicable Preferred Stock Conversion Price in effect immediately prior to the Dilutive Issuance by a fraction:</w:t>
      </w:r>
    </w:p>
    <w:p>
      <w:pPr>
        <w:spacing w:after="0" w:line="186" w:lineRule="exact"/>
        <w:rPr>
          <w:rFonts w:ascii="Arial" w:cs="Arial" w:eastAsia="Arial" w:hAnsi="Arial"/>
          <w:sz w:val="18"/>
          <w:szCs w:val="18"/>
          <w:color w:val="auto"/>
        </w:rPr>
      </w:pPr>
    </w:p>
    <w:p>
      <w:pPr>
        <w:ind w:firstLine="2404"/>
        <w:spacing w:after="0" w:line="312" w:lineRule="auto"/>
        <w:tabs>
          <w:tab w:leader="none" w:pos="2651" w:val="left"/>
        </w:tabs>
        <w:numPr>
          <w:ilvl w:val="2"/>
          <w:numId w:val="136"/>
        </w:numPr>
        <w:rPr>
          <w:rFonts w:ascii="Arial" w:cs="Arial" w:eastAsia="Arial" w:hAnsi="Arial"/>
          <w:sz w:val="16"/>
          <w:szCs w:val="16"/>
          <w:color w:val="auto"/>
        </w:rPr>
      </w:pPr>
      <w:r>
        <w:rPr>
          <w:rFonts w:ascii="Arial" w:cs="Arial" w:eastAsia="Arial" w:hAnsi="Arial"/>
          <w:sz w:val="16"/>
          <w:szCs w:val="16"/>
          <w:color w:val="auto"/>
        </w:rPr>
        <w:t>the numerator of which shall be (x) the number of shares of Common Stock outstanding and issuable on exercise of all outstanding Options and Convertible Securities immediately prior to the Dilutive Issuance, plus (y) the number of shares of Common Stock that the aggregate consideration, if any, received by this corporation in connection with the Dilutive Issuance would purchase at such Preferred Stock Conversion Price, and</w:t>
      </w:r>
    </w:p>
    <w:p>
      <w:pPr>
        <w:spacing w:after="0" w:line="146" w:lineRule="exact"/>
        <w:rPr>
          <w:rFonts w:ascii="Arial" w:cs="Arial" w:eastAsia="Arial" w:hAnsi="Arial"/>
          <w:sz w:val="16"/>
          <w:szCs w:val="16"/>
          <w:color w:val="auto"/>
        </w:rPr>
      </w:pPr>
    </w:p>
    <w:p>
      <w:pPr>
        <w:jc w:val="both"/>
        <w:ind w:right="20" w:firstLine="2404"/>
        <w:spacing w:after="0" w:line="264" w:lineRule="auto"/>
        <w:tabs>
          <w:tab w:leader="none" w:pos="2651" w:val="left"/>
        </w:tabs>
        <w:numPr>
          <w:ilvl w:val="2"/>
          <w:numId w:val="136"/>
        </w:numPr>
        <w:rPr>
          <w:rFonts w:ascii="Arial" w:cs="Arial" w:eastAsia="Arial" w:hAnsi="Arial"/>
          <w:sz w:val="18"/>
          <w:szCs w:val="18"/>
          <w:color w:val="auto"/>
        </w:rPr>
      </w:pPr>
      <w:r>
        <w:rPr>
          <w:rFonts w:ascii="Arial" w:cs="Arial" w:eastAsia="Arial" w:hAnsi="Arial"/>
          <w:sz w:val="18"/>
          <w:szCs w:val="18"/>
          <w:color w:val="auto"/>
        </w:rPr>
        <w:t>the denominator of which shall be (x) the number of shares of Common Stock outstanding and issuable on exercise of all outstanding Options and Convertible Securities immediately prior to the Dilutive Issuance, plus (y) the number of shares of Common Stock issued or deemed issued in the Dilutive Issuance.</w:t>
      </w:r>
    </w:p>
    <w:p>
      <w:pPr>
        <w:spacing w:after="0" w:line="181" w:lineRule="exact"/>
        <w:rPr>
          <w:rFonts w:ascii="Arial" w:cs="Arial" w:eastAsia="Arial" w:hAnsi="Arial"/>
          <w:sz w:val="18"/>
          <w:szCs w:val="18"/>
          <w:color w:val="auto"/>
        </w:rPr>
      </w:pPr>
    </w:p>
    <w:p>
      <w:pPr>
        <w:ind w:right="120" w:firstLine="1948"/>
        <w:spacing w:after="0" w:line="277" w:lineRule="auto"/>
        <w:tabs>
          <w:tab w:leader="none" w:pos="222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 xml:space="preserve">For the avoidance of doubt, the Series A Conversion Price shall not be automatically adjusted pursuant to this </w:t>
      </w:r>
      <w:r>
        <w:rPr>
          <w:rFonts w:ascii="Arial" w:cs="Arial" w:eastAsia="Arial" w:hAnsi="Arial"/>
          <w:sz w:val="18"/>
          <w:szCs w:val="18"/>
          <w:u w:val="single" w:color="auto"/>
          <w:color w:val="auto"/>
        </w:rPr>
        <w:t>Section 4(e)(ii)</w:t>
      </w:r>
      <w:r>
        <w:rPr>
          <w:rFonts w:ascii="Arial" w:cs="Arial" w:eastAsia="Arial" w:hAnsi="Arial"/>
          <w:sz w:val="18"/>
          <w:szCs w:val="18"/>
          <w:color w:val="auto"/>
        </w:rPr>
        <w:t xml:space="preserve"> in connection with a Dilutive Issuance.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257" w:name="page258"/>
    <w:bookmarkEnd w:id="257"/>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For purposes of any adjustment of the Preferred Stock Conversion Price pursuant to clause (ii) above, the following provisions shall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w:t>
      </w:r>
    </w:p>
    <w:p>
      <w:pPr>
        <w:spacing w:after="0" w:line="211" w:lineRule="exact"/>
        <w:rPr>
          <w:sz w:val="20"/>
          <w:szCs w:val="20"/>
          <w:color w:val="auto"/>
        </w:rPr>
      </w:pPr>
    </w:p>
    <w:p>
      <w:pPr>
        <w:ind w:firstLine="1948"/>
        <w:spacing w:after="0" w:line="308" w:lineRule="auto"/>
        <w:tabs>
          <w:tab w:leader="none" w:pos="223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the case of the issuance of Common Stock for cash, the consideration shall be deemed to be the amount of cash paid therefor after deducting any discounts or commissions paid or incurred by this corporation in connection with the issuance and sale thereof.</w:t>
      </w:r>
    </w:p>
    <w:p>
      <w:pPr>
        <w:spacing w:after="0" w:line="146" w:lineRule="exact"/>
        <w:rPr>
          <w:rFonts w:ascii="Arial" w:cs="Arial" w:eastAsia="Arial" w:hAnsi="Arial"/>
          <w:sz w:val="17"/>
          <w:szCs w:val="17"/>
          <w:color w:val="auto"/>
        </w:rPr>
      </w:pPr>
    </w:p>
    <w:p>
      <w:pPr>
        <w:ind w:right="280" w:firstLine="1948"/>
        <w:spacing w:after="0" w:line="276" w:lineRule="auto"/>
        <w:tabs>
          <w:tab w:leader="none" w:pos="222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In the case of the issuance of Common Stock for a consideration in whole or in part other than cash, the consideration other than cash shall be deemed to be the fair market value thereof as determined by the board of directors of this corporation, in accordance with generally accepted accounting treatment; provided, however, that if at the time of such determination, this corporation’s Common Stock is traded in the over-the-counter market or on a national or regional securities exchange, such fair market value as determined by the board of directors of this corporation shall not exceed the aggregate “</w:t>
      </w:r>
      <w:r>
        <w:rPr>
          <w:rFonts w:ascii="Arial" w:cs="Arial" w:eastAsia="Arial" w:hAnsi="Arial"/>
          <w:sz w:val="17"/>
          <w:szCs w:val="17"/>
          <w:u w:val="single" w:color="auto"/>
          <w:color w:val="auto"/>
        </w:rPr>
        <w:t>Current Market Price</w:t>
      </w:r>
      <w:r>
        <w:rPr>
          <w:rFonts w:ascii="Arial" w:cs="Arial" w:eastAsia="Arial" w:hAnsi="Arial"/>
          <w:sz w:val="17"/>
          <w:szCs w:val="17"/>
          <w:color w:val="auto"/>
        </w:rPr>
        <w:t>” (as defined below) of the shares of Common Stock being issued.</w:t>
      </w:r>
    </w:p>
    <w:p>
      <w:pPr>
        <w:spacing w:after="0" w:line="172" w:lineRule="exact"/>
        <w:rPr>
          <w:rFonts w:ascii="Arial" w:cs="Arial" w:eastAsia="Arial" w:hAnsi="Arial"/>
          <w:sz w:val="17"/>
          <w:szCs w:val="17"/>
          <w:color w:val="auto"/>
        </w:rPr>
      </w:pPr>
    </w:p>
    <w:p>
      <w:pPr>
        <w:ind w:left="2240" w:hanging="292"/>
        <w:spacing w:after="0"/>
        <w:tabs>
          <w:tab w:leader="none" w:pos="224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case of the issuance of Purchase Rights in a Dilutive Issuance:</w:t>
      </w:r>
    </w:p>
    <w:p>
      <w:pPr>
        <w:spacing w:after="0" w:line="225" w:lineRule="exact"/>
        <w:rPr>
          <w:rFonts w:ascii="Arial" w:cs="Arial" w:eastAsia="Arial" w:hAnsi="Arial"/>
          <w:sz w:val="18"/>
          <w:szCs w:val="18"/>
          <w:color w:val="auto"/>
        </w:rPr>
      </w:pPr>
    </w:p>
    <w:p>
      <w:pPr>
        <w:ind w:right="180" w:firstLine="2404"/>
        <w:spacing w:after="0" w:line="291" w:lineRule="auto"/>
        <w:tabs>
          <w:tab w:leader="none" w:pos="2651" w:val="left"/>
        </w:tabs>
        <w:numPr>
          <w:ilvl w:val="2"/>
          <w:numId w:val="137"/>
        </w:numPr>
        <w:rPr>
          <w:rFonts w:ascii="Arial" w:cs="Arial" w:eastAsia="Arial" w:hAnsi="Arial"/>
          <w:sz w:val="16"/>
          <w:szCs w:val="16"/>
          <w:color w:val="auto"/>
        </w:rPr>
      </w:pPr>
      <w:r>
        <w:rPr>
          <w:rFonts w:ascii="Arial" w:cs="Arial" w:eastAsia="Arial" w:hAnsi="Arial"/>
          <w:sz w:val="16"/>
          <w:szCs w:val="16"/>
          <w:color w:val="auto"/>
        </w:rPr>
        <w:t>the aggregate maximum number of shares of Common Stock deliverable upon exercise of Options shall be deemed to have been issued at the time such Options were issued and for a consideration equal to the consideration (determined in the manner provided in (iii) (A) and</w:t>
      </w:r>
    </w:p>
    <w:p>
      <w:pPr>
        <w:ind w:right="620" w:firstLine="8"/>
        <w:spacing w:after="0" w:line="261" w:lineRule="auto"/>
        <w:tabs>
          <w:tab w:leader="none" w:pos="2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above), if any, received by this corporation upon the issuance of such Options plus the minimum purchase price provided in such Options covered thereby;</w:t>
      </w:r>
    </w:p>
    <w:p>
      <w:pPr>
        <w:spacing w:after="0" w:line="183" w:lineRule="exact"/>
        <w:rPr>
          <w:rFonts w:ascii="Arial" w:cs="Arial" w:eastAsia="Arial" w:hAnsi="Arial"/>
          <w:sz w:val="18"/>
          <w:szCs w:val="18"/>
          <w:color w:val="auto"/>
        </w:rPr>
      </w:pPr>
    </w:p>
    <w:p>
      <w:pPr>
        <w:ind w:right="80" w:firstLine="2404"/>
        <w:spacing w:after="0" w:line="257" w:lineRule="auto"/>
        <w:tabs>
          <w:tab w:leader="none" w:pos="2651" w:val="left"/>
        </w:tabs>
        <w:numPr>
          <w:ilvl w:val="2"/>
          <w:numId w:val="138"/>
        </w:numPr>
        <w:rPr>
          <w:rFonts w:ascii="Arial" w:cs="Arial" w:eastAsia="Arial" w:hAnsi="Arial"/>
          <w:sz w:val="18"/>
          <w:szCs w:val="18"/>
          <w:color w:val="auto"/>
        </w:rPr>
      </w:pPr>
      <w:r>
        <w:rPr>
          <w:rFonts w:ascii="Arial" w:cs="Arial" w:eastAsia="Arial" w:hAnsi="Arial"/>
          <w:sz w:val="18"/>
          <w:szCs w:val="18"/>
          <w:color w:val="auto"/>
        </w:rPr>
        <w:t>the aggregate maximum number of shares of Common Stock deliverable upon conversion or exercise of or exchange for any Convertible Securities shall be deemed to have been issued at the time such Convertible Securities were issued and for a consideration equal to the consideration received by this corporation for any such Convertible Securities (excluding any cash received on account of accrued interest or accrued dividends), plus the minimum additional consideration, if any; to be received by this corporation upon the conversion or exchange of such Convertible Securities (determined in the manner provided in (iii) (A) and (B) above);</w:t>
      </w:r>
    </w:p>
    <w:p>
      <w:pPr>
        <w:spacing w:after="0" w:line="188" w:lineRule="exact"/>
        <w:rPr>
          <w:rFonts w:ascii="Arial" w:cs="Arial" w:eastAsia="Arial" w:hAnsi="Arial"/>
          <w:sz w:val="18"/>
          <w:szCs w:val="18"/>
          <w:color w:val="auto"/>
        </w:rPr>
      </w:pPr>
    </w:p>
    <w:p>
      <w:pPr>
        <w:ind w:right="20" w:firstLine="2404"/>
        <w:spacing w:after="0" w:line="297" w:lineRule="auto"/>
        <w:tabs>
          <w:tab w:leader="none" w:pos="2651" w:val="left"/>
        </w:tabs>
        <w:numPr>
          <w:ilvl w:val="2"/>
          <w:numId w:val="138"/>
        </w:numPr>
        <w:rPr>
          <w:rFonts w:ascii="Arial" w:cs="Arial" w:eastAsia="Arial" w:hAnsi="Arial"/>
          <w:sz w:val="16"/>
          <w:szCs w:val="16"/>
          <w:color w:val="auto"/>
        </w:rPr>
      </w:pPr>
      <w:r>
        <w:rPr>
          <w:rFonts w:ascii="Arial" w:cs="Arial" w:eastAsia="Arial" w:hAnsi="Arial"/>
          <w:sz w:val="16"/>
          <w:szCs w:val="16"/>
          <w:color w:val="auto"/>
        </w:rPr>
        <w:t>on any change in the number of shares of Common Stock deliverable upon exercise of any such Purchase Rights or on any change in the minimum purchase price of such Purchase Rights, the Preferred Stock Conversion Price shall forthwith be readjusted to such Preferred Stock Conversion Price as would have been obtained had the adjustment been made upon (x) the issuance of such Purchase Rights not exercised, converted or exchanged prior to such change, as the case may be, been made upon the basis of such change or (y) the issuance of options or rights related to such securities not converted or exchanged prior to such change, as the case may be, been made upon the basis of such change; and</w:t>
      </w:r>
    </w:p>
    <w:p>
      <w:pPr>
        <w:spacing w:after="0" w:line="158" w:lineRule="exact"/>
        <w:rPr>
          <w:rFonts w:ascii="Arial" w:cs="Arial" w:eastAsia="Arial" w:hAnsi="Arial"/>
          <w:sz w:val="16"/>
          <w:szCs w:val="16"/>
          <w:color w:val="auto"/>
        </w:rPr>
      </w:pPr>
    </w:p>
    <w:p>
      <w:pPr>
        <w:ind w:right="20" w:firstLine="2404"/>
        <w:spacing w:after="0" w:line="286" w:lineRule="auto"/>
        <w:tabs>
          <w:tab w:leader="none" w:pos="2651" w:val="left"/>
        </w:tabs>
        <w:numPr>
          <w:ilvl w:val="2"/>
          <w:numId w:val="138"/>
        </w:numPr>
        <w:rPr>
          <w:rFonts w:ascii="Arial" w:cs="Arial" w:eastAsia="Arial" w:hAnsi="Arial"/>
          <w:sz w:val="17"/>
          <w:szCs w:val="17"/>
          <w:color w:val="auto"/>
        </w:rPr>
      </w:pPr>
      <w:r>
        <w:rPr>
          <w:rFonts w:ascii="Arial" w:cs="Arial" w:eastAsia="Arial" w:hAnsi="Arial"/>
          <w:sz w:val="17"/>
          <w:szCs w:val="17"/>
          <w:color w:val="auto"/>
        </w:rPr>
        <w:t>on the expiration of any Purchase Rights, the Preferred Stock Conversion Price shall forthwith be readjusted to such Preferred Stock Conversion Price as would have obtained had the adjustment made upon the issuance of such Purchase Right been made upon the basis of the issuance of only the number of shares of Common Stock actually issued upon the exercise of such Purchase Rights.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58" w:name="page259"/>
    <w:bookmarkEnd w:id="258"/>
    <w:p>
      <w:pPr>
        <w:ind w:right="40" w:firstLine="1492"/>
        <w:spacing w:after="0" w:line="257" w:lineRule="auto"/>
        <w:tabs>
          <w:tab w:leader="none" w:pos="1788"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at any time after the date on which this Thirteenth Amended and Restated Certificate of Incorporation is filed with the Secretary of State of the State of Delaware (the “</w:t>
      </w:r>
      <w:r>
        <w:rPr>
          <w:rFonts w:ascii="Arial" w:cs="Arial" w:eastAsia="Arial" w:hAnsi="Arial"/>
          <w:sz w:val="18"/>
          <w:szCs w:val="18"/>
          <w:u w:val="single" w:color="auto"/>
          <w:color w:val="auto"/>
        </w:rPr>
        <w:t>Filing Date</w:t>
      </w:r>
      <w:r>
        <w:rPr>
          <w:rFonts w:ascii="Arial" w:cs="Arial" w:eastAsia="Arial" w:hAnsi="Arial"/>
          <w:sz w:val="18"/>
          <w:szCs w:val="18"/>
          <w:color w:val="auto"/>
        </w:rPr>
        <w:t>”) the number of shares of Common Stock then outstanding is increased by a stock dividend payable in shares of Common Stock or by a subdivision or split-up of shares of Common Stock, then, on the date such payment is made or such change is effective, the applicable Conversion Price shall be appropriately decreased so that the number of shares of Common Stock issuable on conversion of any shares of such Preferred Stock shall be increased in proportion to such increase of outstanding shares.</w:t>
      </w:r>
    </w:p>
    <w:p>
      <w:pPr>
        <w:spacing w:after="0" w:line="188" w:lineRule="exact"/>
        <w:rPr>
          <w:rFonts w:ascii="Arial" w:cs="Arial" w:eastAsia="Arial" w:hAnsi="Arial"/>
          <w:sz w:val="18"/>
          <w:szCs w:val="18"/>
          <w:color w:val="auto"/>
        </w:rPr>
      </w:pPr>
    </w:p>
    <w:p>
      <w:pPr>
        <w:ind w:right="60" w:firstLine="1492"/>
        <w:spacing w:after="0" w:line="259" w:lineRule="auto"/>
        <w:tabs>
          <w:tab w:leader="none" w:pos="17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If at any time after the Filing Date the number of shares of Common Stock then outstanding is decreased by a combination of the outstanding shares of Common Stock then, on the effective date of such combination, the applicable Conversion Price shall be appropriately increased so that the number of shares of Common Stock issuable on conversion of any shares of Preferred Stock shall be decreased in proportion to such decrease in outstanding shares.</w:t>
      </w:r>
    </w:p>
    <w:p>
      <w:pPr>
        <w:spacing w:after="0" w:line="186" w:lineRule="exact"/>
        <w:rPr>
          <w:rFonts w:ascii="Arial" w:cs="Arial" w:eastAsia="Arial" w:hAnsi="Arial"/>
          <w:sz w:val="18"/>
          <w:szCs w:val="18"/>
          <w:color w:val="auto"/>
        </w:rPr>
      </w:pPr>
    </w:p>
    <w:p>
      <w:pPr>
        <w:ind w:firstLine="1492"/>
        <w:spacing w:after="0" w:line="276" w:lineRule="auto"/>
        <w:tabs>
          <w:tab w:leader="none" w:pos="178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case this corporation shall declare a cash dividend upon its Common Stock payable otherwise than out of retained earnings or shall distribute to holders of its Common Stock shares of its capital stock (other than Common Stock), stock or other securities of other persons, evidences of indebtedness issued by this corporation or other persons, assets (excluding cash dividends) or options or rights (excluding Purchase Rights), then, in each such case, the holders of shares of Preferred Stock shall, concurrent with the distribution to holders of Common Stock, receive a like distribution based upon the number of shares of Common Stock into which each series of Preferred Stock is convertible.</w:t>
      </w:r>
    </w:p>
    <w:p>
      <w:pPr>
        <w:spacing w:after="0" w:line="172" w:lineRule="exact"/>
        <w:rPr>
          <w:rFonts w:ascii="Arial" w:cs="Arial" w:eastAsia="Arial" w:hAnsi="Arial"/>
          <w:sz w:val="17"/>
          <w:szCs w:val="17"/>
          <w:color w:val="auto"/>
        </w:rPr>
      </w:pPr>
    </w:p>
    <w:p>
      <w:pPr>
        <w:ind w:right="100" w:firstLine="1492"/>
        <w:spacing w:after="0" w:line="272" w:lineRule="auto"/>
        <w:tabs>
          <w:tab w:leader="none" w:pos="183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In case, at any time after the Filing Date, of any capital reorganization, or any reclassification of the stock of this corporation (other than as a result of a stock dividend or subdivision, split-up or combination of shares provided for under </w:t>
      </w:r>
      <w:r>
        <w:rPr>
          <w:rFonts w:ascii="Arial" w:cs="Arial" w:eastAsia="Arial" w:hAnsi="Arial"/>
          <w:sz w:val="17"/>
          <w:szCs w:val="17"/>
          <w:u w:val="single" w:color="auto"/>
          <w:color w:val="auto"/>
        </w:rPr>
        <w:t>Section 4(e)(iv) or (v)</w:t>
      </w:r>
      <w:r>
        <w:rPr>
          <w:rFonts w:ascii="Arial" w:cs="Arial" w:eastAsia="Arial" w:hAnsi="Arial"/>
          <w:sz w:val="17"/>
          <w:szCs w:val="17"/>
          <w:color w:val="auto"/>
        </w:rPr>
        <w:t xml:space="preserve"> above), the consolidation or merger of this corporation with or into another person, or of the sale or other disposition of all or substantially all the properties and assets of this corporation (other than a Liquidating Transaction, which shall be governed by </w:t>
      </w:r>
      <w:r>
        <w:rPr>
          <w:rFonts w:ascii="Arial" w:cs="Arial" w:eastAsia="Arial" w:hAnsi="Arial"/>
          <w:sz w:val="17"/>
          <w:szCs w:val="17"/>
          <w:u w:val="single" w:color="auto"/>
          <w:color w:val="auto"/>
        </w:rPr>
        <w:t>Section 2</w:t>
      </w:r>
      <w:r>
        <w:rPr>
          <w:rFonts w:ascii="Arial" w:cs="Arial" w:eastAsia="Arial" w:hAnsi="Arial"/>
          <w:sz w:val="17"/>
          <w:szCs w:val="17"/>
          <w:color w:val="auto"/>
        </w:rPr>
        <w:t>), (“</w:t>
      </w:r>
      <w:r>
        <w:rPr>
          <w:rFonts w:ascii="Arial" w:cs="Arial" w:eastAsia="Arial" w:hAnsi="Arial"/>
          <w:sz w:val="17"/>
          <w:szCs w:val="17"/>
          <w:u w:val="single" w:color="auto"/>
          <w:color w:val="auto"/>
        </w:rPr>
        <w:t>Transaction</w:t>
      </w:r>
      <w:r>
        <w:rPr>
          <w:rFonts w:ascii="Arial" w:cs="Arial" w:eastAsia="Arial" w:hAnsi="Arial"/>
          <w:sz w:val="17"/>
          <w:szCs w:val="17"/>
          <w:color w:val="auto"/>
        </w:rPr>
        <w:t>”), the shares of Preferred Stock shall, after such Transaction, be convertible into the kind and number of shares of stock or other securities or property of this corporation or otherwise to which such holder would have been entitled if immediately prior to such Transaction the holder had converted the holder’s shares of Preferred Stock into Common Stock. The provisions of this clause (vii) shall similarly apply to successive Transactions.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9" w:name="page260"/>
    <w:bookmarkEnd w:id="259"/>
    <w:p>
      <w:pPr>
        <w:ind w:left="1900" w:hanging="408"/>
        <w:spacing w:after="0"/>
        <w:tabs>
          <w:tab w:leader="none" w:pos="1900" w:val="left"/>
        </w:tabs>
        <w:numPr>
          <w:ilvl w:val="2"/>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calculations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be made to the nearest cent or to the nearest 1/100 of a share, as the case may be.</w:t>
      </w:r>
    </w:p>
    <w:p>
      <w:pPr>
        <w:spacing w:after="0" w:line="236" w:lineRule="exact"/>
        <w:rPr>
          <w:rFonts w:ascii="Arial" w:cs="Arial" w:eastAsia="Arial" w:hAnsi="Arial"/>
          <w:sz w:val="17"/>
          <w:szCs w:val="17"/>
          <w:color w:val="auto"/>
        </w:rPr>
      </w:pPr>
    </w:p>
    <w:p>
      <w:pPr>
        <w:ind w:right="80" w:firstLine="1492"/>
        <w:spacing w:after="0" w:line="257" w:lineRule="auto"/>
        <w:tabs>
          <w:tab w:leader="none" w:pos="1788" w:val="left"/>
        </w:tabs>
        <w:numPr>
          <w:ilvl w:val="2"/>
          <w:numId w:val="140"/>
        </w:numPr>
        <w:rPr>
          <w:rFonts w:ascii="Arial" w:cs="Arial" w:eastAsia="Arial" w:hAnsi="Arial"/>
          <w:sz w:val="18"/>
          <w:szCs w:val="18"/>
          <w:color w:val="auto"/>
        </w:rPr>
      </w:pPr>
      <w:r>
        <w:rPr>
          <w:rFonts w:ascii="Arial" w:cs="Arial" w:eastAsia="Arial" w:hAnsi="Arial"/>
          <w:sz w:val="18"/>
          <w:szCs w:val="18"/>
          <w:color w:val="auto"/>
        </w:rPr>
        <w:t xml:space="preserve">For the purpose of any computation pursuant to this </w:t>
      </w:r>
      <w:r>
        <w:rPr>
          <w:rFonts w:ascii="Arial" w:cs="Arial" w:eastAsia="Arial" w:hAnsi="Arial"/>
          <w:sz w:val="18"/>
          <w:szCs w:val="18"/>
          <w:u w:val="single" w:color="auto"/>
          <w:color w:val="auto"/>
        </w:rPr>
        <w:t>Section 4(e)</w:t>
      </w:r>
      <w:r>
        <w:rPr>
          <w:rFonts w:ascii="Arial" w:cs="Arial" w:eastAsia="Arial" w:hAnsi="Arial"/>
          <w:sz w:val="18"/>
          <w:szCs w:val="18"/>
          <w:color w:val="auto"/>
        </w:rPr>
        <w:t>, the “</w:t>
      </w:r>
      <w:r>
        <w:rPr>
          <w:rFonts w:ascii="Arial" w:cs="Arial" w:eastAsia="Arial" w:hAnsi="Arial"/>
          <w:sz w:val="18"/>
          <w:szCs w:val="18"/>
          <w:u w:val="single" w:color="auto"/>
          <w:color w:val="auto"/>
        </w:rPr>
        <w:t>Current Market Price</w:t>
      </w:r>
      <w:r>
        <w:rPr>
          <w:rFonts w:ascii="Arial" w:cs="Arial" w:eastAsia="Arial" w:hAnsi="Arial"/>
          <w:sz w:val="18"/>
          <w:szCs w:val="18"/>
          <w:color w:val="auto"/>
        </w:rPr>
        <w:t>” at any date of one share of Common Stock, shall be deemed to be the average of the highest reported bid and the lowest reported offer prices on the preceding business day as reported by Nasdaq (or equivalent recognized source of quotations); provided, however, that if the Common Stock is not traded in such manner that the quotations referred to in this clause (ix) are available for the period required hereunder, Current Market Price shall be determined in good faith by the board of directors of this corporation.</w:t>
      </w:r>
    </w:p>
    <w:p>
      <w:pPr>
        <w:spacing w:after="0" w:line="188" w:lineRule="exact"/>
        <w:rPr>
          <w:rFonts w:ascii="Arial" w:cs="Arial" w:eastAsia="Arial" w:hAnsi="Arial"/>
          <w:sz w:val="18"/>
          <w:szCs w:val="18"/>
          <w:color w:val="auto"/>
        </w:rPr>
      </w:pPr>
    </w:p>
    <w:p>
      <w:pPr>
        <w:ind w:right="100" w:firstLine="921"/>
        <w:spacing w:after="0" w:line="286" w:lineRule="auto"/>
        <w:tabs>
          <w:tab w:leader="none" w:pos="1138" w:val="left"/>
        </w:tabs>
        <w:numPr>
          <w:ilvl w:val="1"/>
          <w:numId w:val="141"/>
        </w:numPr>
        <w:rPr>
          <w:rFonts w:ascii="Arial" w:cs="Arial" w:eastAsia="Arial" w:hAnsi="Arial"/>
          <w:sz w:val="17"/>
          <w:szCs w:val="17"/>
          <w:color w:val="auto"/>
        </w:rPr>
      </w:pPr>
      <w:r>
        <w:rPr>
          <w:rFonts w:ascii="Arial" w:cs="Arial" w:eastAsia="Arial" w:hAnsi="Arial"/>
          <w:sz w:val="17"/>
          <w:szCs w:val="17"/>
          <w:u w:val="single" w:color="auto"/>
          <w:color w:val="auto"/>
        </w:rPr>
        <w:t>Minimal Adjustments</w:t>
      </w:r>
      <w:r>
        <w:rPr>
          <w:rFonts w:ascii="Arial" w:cs="Arial" w:eastAsia="Arial" w:hAnsi="Arial"/>
          <w:sz w:val="17"/>
          <w:szCs w:val="17"/>
          <w:color w:val="auto"/>
        </w:rPr>
        <w:t>. No adjustment in the Conversion Price need be made if such adjustment would result in a change in the Conversion Price of less than $0.01. Any adjustment of less than $0.01 which is not made shall be carried forward and shall be made at the time of and together with any subsequent adjustment which, on a cumulative basis, amounts to an adjustment of $0.01 or more in the Conversion Price.</w:t>
      </w:r>
    </w:p>
    <w:p>
      <w:pPr>
        <w:spacing w:after="0" w:line="165" w:lineRule="exact"/>
        <w:rPr>
          <w:rFonts w:ascii="Arial" w:cs="Arial" w:eastAsia="Arial" w:hAnsi="Arial"/>
          <w:sz w:val="17"/>
          <w:szCs w:val="17"/>
          <w:color w:val="auto"/>
        </w:rPr>
      </w:pPr>
    </w:p>
    <w:p>
      <w:pPr>
        <w:ind w:left="1180" w:hanging="259"/>
        <w:spacing w:after="0"/>
        <w:tabs>
          <w:tab w:leader="none" w:pos="11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921"/>
        <w:spacing w:after="0" w:line="288" w:lineRule="auto"/>
        <w:tabs>
          <w:tab w:leader="none" w:pos="1168"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Conversion Rate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adjustment or readjustment is based.</w:t>
      </w:r>
    </w:p>
    <w:p>
      <w:pPr>
        <w:spacing w:after="0"/>
        <w:rPr>
          <w:rFonts w:ascii="Arial" w:cs="Arial" w:eastAsia="Arial" w:hAnsi="Arial"/>
          <w:sz w:val="16"/>
          <w:szCs w:val="16"/>
          <w:color w:val="auto"/>
        </w:rPr>
      </w:pPr>
      <w:r>
        <w:rPr>
          <w:rFonts w:ascii="Arial" w:cs="Arial" w:eastAsia="Arial" w:hAnsi="Arial"/>
          <w:sz w:val="16"/>
          <w:szCs w:val="16"/>
          <w:color w:val="auto"/>
        </w:rPr>
        <w:t>This corporation shall, upon request at any time of any holder of Preferred Stock, furnish or cause to be furnished to such holder a like certificate setting forth</w:t>
      </w:r>
    </w:p>
    <w:p>
      <w:pPr>
        <w:spacing w:after="0" w:line="32" w:lineRule="exact"/>
        <w:rPr>
          <w:rFonts w:ascii="Arial" w:cs="Arial" w:eastAsia="Arial" w:hAnsi="Arial"/>
          <w:sz w:val="16"/>
          <w:szCs w:val="16"/>
          <w:color w:val="auto"/>
        </w:rPr>
      </w:pPr>
    </w:p>
    <w:p>
      <w:pPr>
        <w:ind w:right="80" w:firstLine="8"/>
        <w:spacing w:after="0" w:line="261" w:lineRule="auto"/>
        <w:tabs>
          <w:tab w:leader="none" w:pos="2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such adjustments and readjustments, (ii) the Conversion Rate at the time in effect, and (iii) the number of shares of Common Stock and the amount, if any, of other property which at the time would be received upon the conversions of such holder’s shares of Preferred Stock.</w:t>
      </w:r>
    </w:p>
    <w:p>
      <w:pPr>
        <w:spacing w:after="0" w:line="183" w:lineRule="exact"/>
        <w:rPr>
          <w:rFonts w:ascii="Arial" w:cs="Arial" w:eastAsia="Arial" w:hAnsi="Arial"/>
          <w:sz w:val="18"/>
          <w:szCs w:val="18"/>
          <w:color w:val="auto"/>
        </w:rPr>
      </w:pPr>
    </w:p>
    <w:p>
      <w:pPr>
        <w:ind w:right="60" w:firstLine="921"/>
        <w:spacing w:after="0" w:line="276" w:lineRule="auto"/>
        <w:tabs>
          <w:tab w:leader="none" w:pos="1128" w:val="left"/>
        </w:tabs>
        <w:numPr>
          <w:ilvl w:val="1"/>
          <w:numId w:val="142"/>
        </w:numPr>
        <w:rPr>
          <w:rFonts w:ascii="Arial" w:cs="Arial" w:eastAsia="Arial" w:hAnsi="Arial"/>
          <w:sz w:val="17"/>
          <w:szCs w:val="17"/>
          <w:color w:val="auto"/>
        </w:rPr>
      </w:pPr>
      <w:r>
        <w:rPr>
          <w:rFonts w:ascii="Arial" w:cs="Arial" w:eastAsia="Arial" w:hAnsi="Arial"/>
          <w:sz w:val="17"/>
          <w:szCs w:val="17"/>
          <w:u w:val="single" w:color="auto"/>
          <w:color w:val="auto"/>
        </w:rPr>
        <w:t>Notices of Record Date</w:t>
      </w:r>
      <w:r>
        <w:rPr>
          <w:rFonts w:ascii="Arial" w:cs="Arial" w:eastAsia="Arial" w:hAnsi="Arial"/>
          <w:sz w:val="17"/>
          <w:szCs w:val="17"/>
          <w:color w:val="auto"/>
        </w:rPr>
        <w:t>. In the event of any taking by this corporation of a record of the holders of any class of securities for the purpose of determining the holders thereof who are entitled to receive any dividend (other than a cash dividend) or other distribution, any right to subscribe for, purchase or otherwise acquire any shares of stock of any class or any other securities or property or to receive any other right, this corporation shall mail to each holder of Preferred Stock at least twenty (20) days prior to such record date, a notice specifying the date on which any such record is to be taken for the purpose of such dividend or distribution or right, and the amount and character of such dividend, distribution or right.</w:t>
      </w:r>
    </w:p>
    <w:p>
      <w:pPr>
        <w:spacing w:after="0" w:line="172" w:lineRule="exact"/>
        <w:rPr>
          <w:rFonts w:ascii="Arial" w:cs="Arial" w:eastAsia="Arial" w:hAnsi="Arial"/>
          <w:sz w:val="17"/>
          <w:szCs w:val="17"/>
          <w:color w:val="auto"/>
        </w:rPr>
      </w:pPr>
    </w:p>
    <w:p>
      <w:pPr>
        <w:ind w:right="60" w:firstLine="921"/>
        <w:spacing w:after="0" w:line="255" w:lineRule="auto"/>
        <w:tabs>
          <w:tab w:leader="none" w:pos="112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Reservation of Stock Issuable Upon Conversion</w:t>
      </w:r>
      <w:r>
        <w:rPr>
          <w:rFonts w:ascii="Arial" w:cs="Arial" w:eastAsia="Arial" w:hAnsi="Arial"/>
          <w:sz w:val="18"/>
          <w:szCs w:val="18"/>
          <w:color w:val="auto"/>
        </w:rPr>
        <w:t>. This corporation shall at all times reserve and keep available out of its authorized but unissued shares of Common Stock solely for the purpose of effecting the conversion of the shares of Preferred Stock such number of its shares of Common Stock as shall from time to time be sufficient to effect the conversion of all outstanding shares of Preferred Stock; and if at any time the number of authorized but unissued shares of Common Stock shall not be sufficient to effect the conversion of all then outstanding shares of Preferred Stock, this corporation will take such corporate action as may, in the opinion of its counsel, be necessary to increase its authorized but unissued shares of Common Stock to such number of shares as shall be sufficient for such purpose.</w:t>
      </w:r>
    </w:p>
    <w:p>
      <w:pPr>
        <w:spacing w:after="0" w:line="193" w:lineRule="exact"/>
        <w:rPr>
          <w:rFonts w:ascii="Arial" w:cs="Arial" w:eastAsia="Arial" w:hAnsi="Arial"/>
          <w:sz w:val="18"/>
          <w:szCs w:val="18"/>
          <w:color w:val="auto"/>
        </w:rPr>
      </w:pPr>
    </w:p>
    <w:p>
      <w:pPr>
        <w:ind w:firstLine="921"/>
        <w:spacing w:after="0" w:line="264" w:lineRule="auto"/>
        <w:tabs>
          <w:tab w:leader="none" w:pos="1168"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by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to be given to the holder of shares of Preferred Stock shall be deemed given if deposited in the United States mail, postage prepaid, and addressed to each holder of record at such holder’s address appearing on the books of this corporation.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0" w:name="page261"/>
    <w:bookmarkEnd w:id="260"/>
    <w:p>
      <w:pPr>
        <w:ind w:left="632" w:hanging="176"/>
        <w:spacing w:after="0"/>
        <w:tabs>
          <w:tab w:leader="none" w:pos="63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Mandatory Conversions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52" w:hanging="239"/>
        <w:spacing w:after="0"/>
        <w:tabs>
          <w:tab w:leader="none" w:pos="1152" w:val="left"/>
        </w:tabs>
        <w:numPr>
          <w:ilvl w:val="2"/>
          <w:numId w:val="143"/>
        </w:numPr>
        <w:rPr>
          <w:rFonts w:ascii="Arial" w:cs="Arial" w:eastAsia="Arial" w:hAnsi="Arial"/>
          <w:sz w:val="18"/>
          <w:szCs w:val="18"/>
          <w:color w:val="auto"/>
        </w:rPr>
      </w:pPr>
      <w:r>
        <w:rPr>
          <w:rFonts w:ascii="Arial" w:cs="Arial" w:eastAsia="Arial" w:hAnsi="Arial"/>
          <w:sz w:val="18"/>
          <w:szCs w:val="18"/>
          <w:u w:val="single" w:color="auto"/>
          <w:color w:val="auto"/>
        </w:rPr>
        <w:t>Trigger Event</w:t>
      </w:r>
      <w:r>
        <w:rPr>
          <w:rFonts w:ascii="Arial" w:cs="Arial" w:eastAsia="Arial" w:hAnsi="Arial"/>
          <w:sz w:val="18"/>
          <w:szCs w:val="18"/>
          <w:color w:val="auto"/>
        </w:rPr>
        <w:t>. Except to the extent waived by the holders of a majority of the outstanding Prime Preferred Stock:</w:t>
      </w:r>
    </w:p>
    <w:p>
      <w:pPr>
        <w:spacing w:after="0" w:line="225" w:lineRule="exact"/>
        <w:rPr>
          <w:rFonts w:ascii="Arial" w:cs="Arial" w:eastAsia="Arial" w:hAnsi="Arial"/>
          <w:sz w:val="18"/>
          <w:szCs w:val="18"/>
          <w:color w:val="auto"/>
        </w:rPr>
      </w:pPr>
    </w:p>
    <w:p>
      <w:pPr>
        <w:ind w:left="1692" w:hanging="208"/>
        <w:spacing w:after="0"/>
        <w:tabs>
          <w:tab w:leader="none" w:pos="1692" w:val="left"/>
        </w:tabs>
        <w:numPr>
          <w:ilvl w:val="3"/>
          <w:numId w:val="143"/>
        </w:numPr>
        <w:rPr>
          <w:rFonts w:ascii="Arial" w:cs="Arial" w:eastAsia="Arial" w:hAnsi="Arial"/>
          <w:sz w:val="18"/>
          <w:szCs w:val="18"/>
          <w:color w:val="auto"/>
        </w:rPr>
      </w:pPr>
      <w:r>
        <w:rPr>
          <w:rFonts w:ascii="Arial" w:cs="Arial" w:eastAsia="Arial" w:hAnsi="Arial"/>
          <w:sz w:val="18"/>
          <w:szCs w:val="18"/>
          <w:u w:val="single" w:color="auto"/>
          <w:color w:val="auto"/>
        </w:rPr>
        <w:t>Equity Securities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232" w:hanging="292"/>
        <w:spacing w:after="0"/>
        <w:tabs>
          <w:tab w:leader="none" w:pos="2232" w:val="left"/>
        </w:tabs>
        <w:numPr>
          <w:ilvl w:val="4"/>
          <w:numId w:val="14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8" w:firstLine="1948"/>
        <w:spacing w:after="0" w:line="282" w:lineRule="auto"/>
        <w:tabs>
          <w:tab w:leader="none" w:pos="2217" w:val="left"/>
        </w:tabs>
        <w:numPr>
          <w:ilvl w:val="4"/>
          <w:numId w:val="143"/>
        </w:numPr>
        <w:rPr>
          <w:rFonts w:ascii="Arial" w:cs="Arial" w:eastAsia="Arial" w:hAnsi="Arial"/>
          <w:sz w:val="16"/>
          <w:szCs w:val="16"/>
          <w:color w:val="auto"/>
        </w:rPr>
      </w:pPr>
      <w:r>
        <w:rPr>
          <w:rFonts w:ascii="Arial" w:cs="Arial" w:eastAsia="Arial" w:hAnsi="Arial"/>
          <w:sz w:val="16"/>
          <w:szCs w:val="16"/>
          <w:color w:val="auto"/>
        </w:rPr>
        <w:t xml:space="preserve">In the event that any holder of shares of Preferred Stock (other than holders of Series C-1 Preferred Stock, for whom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does not apply) does not participate in any of the Fourth Equity Closing or Fifth Equity Closing (each as defined in that certain Series B-1 Preferred Stock Purchase Agreement by and among this corporation and the Investors (as defined therein), dated as of March 8, 2013, as amended (the “</w:t>
      </w:r>
      <w:r>
        <w:rPr>
          <w:rFonts w:ascii="Arial" w:cs="Arial" w:eastAsia="Arial" w:hAnsi="Arial"/>
          <w:sz w:val="16"/>
          <w:szCs w:val="16"/>
          <w:u w:val="single" w:color="auto"/>
          <w:color w:val="auto"/>
        </w:rPr>
        <w:t>2013 Purchase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subject to the terms and conditions of such closing, including without limitation the satisfaction or waiver of applicable closing conditions, of the Qualified Financing by purchasing such holder’s Pro Rata Share (as defined in the 2013 Purchase Agreement) at such closing, then, automatically, and without any further action on the part of such holder, and effective upon, subject to, and concurrently with, the consummation of such closing, (1) each share of Series A-1 Preferred Stock held by such holder immediately prior thereto shall be converted into one share of Series A Preferred Stock, (2) each share of Series B-1 Preferred Stock held by such holder immediately prior thereto shall be converted into one share of Series B Preferred Stock, and (3) the outstanding principal balance and all unpaid accrued interest, net of any required withholding taxes, of all Debt, if any, held by such holder shall convert in whole into shares of Series B Preferred Stock at a conversion price equal to the price per share paid by the participants in the Qualified Financing on the same terms and conditions as given to the participants in the Qualified Financing. Notwithstanding the foregoing, </w:t>
      </w:r>
      <w:r>
        <w:rPr>
          <w:rFonts w:ascii="Arial" w:cs="Arial" w:eastAsia="Arial" w:hAnsi="Arial"/>
          <w:sz w:val="16"/>
          <w:szCs w:val="16"/>
          <w:u w:val="single" w:color="auto"/>
          <w:color w:val="auto"/>
        </w:rPr>
        <w:t>Section 5(a)(i)(B)</w:t>
      </w:r>
      <w:r>
        <w:rPr>
          <w:rFonts w:ascii="Arial" w:cs="Arial" w:eastAsia="Arial" w:hAnsi="Arial"/>
          <w:sz w:val="16"/>
          <w:szCs w:val="16"/>
          <w:color w:val="auto"/>
        </w:rPr>
        <w:t xml:space="preserve"> shall not apply to: (X) GE Capital Equity Investments, Inc. or its Affiliates with respect to those shares of Series B-1 Preferred Stock issued to it or them pursuant to that certain Exchange Agreement by and between GE Capital Equity Investments, Inc. and this corporation on or about the date of this corporation’s Sixth Amended and Restated Certificate of Incorporation; or (Y) Eddingpharm International Company Limited, a British Virgin Islands company (“</w:t>
      </w:r>
      <w:r>
        <w:rPr>
          <w:rFonts w:ascii="Arial" w:cs="Arial" w:eastAsia="Arial" w:hAnsi="Arial"/>
          <w:sz w:val="16"/>
          <w:szCs w:val="16"/>
          <w:u w:val="single" w:color="auto"/>
          <w:color w:val="auto"/>
        </w:rPr>
        <w:t>Eddingpharm</w:t>
      </w:r>
      <w:r>
        <w:rPr>
          <w:rFonts w:ascii="Arial" w:cs="Arial" w:eastAsia="Arial" w:hAnsi="Arial"/>
          <w:sz w:val="16"/>
          <w:szCs w:val="16"/>
          <w:color w:val="auto"/>
        </w:rPr>
        <w:t>”), or its Affiliates with respect to those shares of Series B-1 Preferred Stock issued in connection with that certain Series B-1 Preferred Stock Purchase Agreement by and between this corporation and Eddingpharm, dated as of April 18, 2013. This Thirteenth Amended and Restated Certificate of Incorporation shall not be amended such that subsection (X) or (Y) above is modified without the written consent of GE Capital Equity Investments, Inc. in the case of subsection</w:t>
      </w:r>
    </w:p>
    <w:p>
      <w:pPr>
        <w:spacing w:after="0" w:line="12" w:lineRule="exact"/>
        <w:rPr>
          <w:rFonts w:ascii="Arial" w:cs="Arial" w:eastAsia="Arial" w:hAnsi="Arial"/>
          <w:sz w:val="16"/>
          <w:szCs w:val="16"/>
          <w:color w:val="auto"/>
        </w:rPr>
      </w:pPr>
    </w:p>
    <w:p>
      <w:pPr>
        <w:ind w:left="292" w:hanging="292"/>
        <w:spacing w:after="0"/>
        <w:tabs>
          <w:tab w:leader="none" w:pos="292"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and Eddingpharm in the case of subsection (Y).</w:t>
      </w:r>
    </w:p>
    <w:p>
      <w:pPr>
        <w:spacing w:after="0" w:line="210" w:lineRule="exact"/>
        <w:rPr>
          <w:rFonts w:ascii="Arial" w:cs="Arial" w:eastAsia="Arial" w:hAnsi="Arial"/>
          <w:sz w:val="18"/>
          <w:szCs w:val="18"/>
          <w:color w:val="auto"/>
        </w:rPr>
      </w:pPr>
    </w:p>
    <w:p>
      <w:pPr>
        <w:ind w:left="-8" w:right="300" w:firstLine="1948"/>
        <w:spacing w:after="0" w:line="279" w:lineRule="auto"/>
        <w:tabs>
          <w:tab w:leader="none" w:pos="2217" w:val="left"/>
        </w:tabs>
        <w:numPr>
          <w:ilvl w:val="4"/>
          <w:numId w:val="144"/>
        </w:numPr>
        <w:rPr>
          <w:rFonts w:ascii="Arial" w:cs="Arial" w:eastAsia="Arial" w:hAnsi="Arial"/>
          <w:sz w:val="17"/>
          <w:szCs w:val="17"/>
          <w:color w:val="auto"/>
        </w:rPr>
      </w:pPr>
      <w:r>
        <w:rPr>
          <w:rFonts w:ascii="Arial" w:cs="Arial" w:eastAsia="Arial" w:hAnsi="Arial"/>
          <w:sz w:val="17"/>
          <w:szCs w:val="17"/>
          <w:color w:val="auto"/>
        </w:rPr>
        <w:t xml:space="preserve">The conversions of Preferred Stock and Debt and the issuances of equity securities contemplated by this </w:t>
      </w:r>
      <w:r>
        <w:rPr>
          <w:rFonts w:ascii="Arial" w:cs="Arial" w:eastAsia="Arial" w:hAnsi="Arial"/>
          <w:sz w:val="17"/>
          <w:szCs w:val="17"/>
          <w:u w:val="single" w:color="auto"/>
          <w:color w:val="auto"/>
        </w:rPr>
        <w:t>Section 5(a)(i)</w:t>
      </w:r>
      <w:r>
        <w:rPr>
          <w:rFonts w:ascii="Arial" w:cs="Arial" w:eastAsia="Arial" w:hAnsi="Arial"/>
          <w:sz w:val="17"/>
          <w:szCs w:val="17"/>
          <w:color w:val="auto"/>
        </w:rPr>
        <w:t xml:space="preserve"> are referred to as “</w:t>
      </w:r>
      <w:r>
        <w:rPr>
          <w:rFonts w:ascii="Arial" w:cs="Arial" w:eastAsia="Arial" w:hAnsi="Arial"/>
          <w:sz w:val="17"/>
          <w:szCs w:val="17"/>
          <w:u w:val="single" w:color="auto"/>
          <w:color w:val="auto"/>
        </w:rPr>
        <w:t>Special Mandatory Conversions</w:t>
      </w:r>
      <w:r>
        <w:rPr>
          <w:rFonts w:ascii="Arial" w:cs="Arial" w:eastAsia="Arial" w:hAnsi="Arial"/>
          <w:sz w:val="17"/>
          <w:szCs w:val="17"/>
          <w:color w:val="auto"/>
        </w:rPr>
        <w:t>.” No fractional shares shall be issued upon a Special Mandatory Conversion. In the case of the Special Mandatory Conversion of Debt, this corporation shall pay to the holder an amount in cash equal to the product obtained by multiplying the applicable conversion price set forth in the applicable Debt by the fraction of a share not issued upon such conversion.</w:t>
      </w:r>
    </w:p>
    <w:p>
      <w:pPr>
        <w:spacing w:after="0" w:line="10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72"/>
          </w:cols>
          <w:pgMar w:left="248" w:top="274" w:right="279" w:bottom="1440" w:gutter="0" w:footer="0" w:header="0"/>
        </w:sectPr>
      </w:pPr>
    </w:p>
    <w:bookmarkStart w:id="261" w:name="page262"/>
    <w:bookmarkEnd w:id="261"/>
    <w:p>
      <w:pPr>
        <w:ind w:left="-60" w:right="40" w:firstLine="1492"/>
        <w:spacing w:after="0" w:line="297" w:lineRule="auto"/>
        <w:tabs>
          <w:tab w:leader="none" w:pos="1688"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Affiliate Aggregation</w:t>
      </w:r>
      <w:r>
        <w:rPr>
          <w:rFonts w:ascii="Arial" w:cs="Arial" w:eastAsia="Arial" w:hAnsi="Arial"/>
          <w:sz w:val="16"/>
          <w:szCs w:val="16"/>
          <w:color w:val="auto"/>
        </w:rPr>
        <w:t>. For purposes of determining (A) the number of shares of Preferred Stock and Preferred Stock into which Debt is convertible by a holder thereof, (B) such holder’s Pro Rata Share and (C) the number of Offered Securities such holder has purchased in a Qualified Financing, all shares of Preferred Stock and shares of Preferred Stock into which Debt is convertible held by Affiliates of such holder shall be aggregated with such holder’s shares and all Offered Securities purchased by Affiliates of such holder shall be aggregated with the Offered Securities purchased by such holder (provided that no shares or securities shall be attributed to more than one entity or person within any such group of affiliated entities or persons).</w:t>
      </w:r>
    </w:p>
    <w:p>
      <w:pPr>
        <w:spacing w:after="0" w:line="158" w:lineRule="exact"/>
        <w:rPr>
          <w:rFonts w:ascii="Arial" w:cs="Arial" w:eastAsia="Arial" w:hAnsi="Arial"/>
          <w:sz w:val="16"/>
          <w:szCs w:val="16"/>
          <w:color w:val="auto"/>
        </w:rPr>
      </w:pPr>
    </w:p>
    <w:p>
      <w:pPr>
        <w:ind w:left="1120" w:hanging="259"/>
        <w:spacing w:after="0"/>
        <w:tabs>
          <w:tab w:leader="none" w:pos="112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Procedural Requirements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0" w:firstLine="1492"/>
        <w:spacing w:after="0" w:line="287" w:lineRule="auto"/>
        <w:tabs>
          <w:tab w:leader="none" w:pos="1638" w:val="left"/>
        </w:tabs>
        <w:numPr>
          <w:ilvl w:val="1"/>
          <w:numId w:val="146"/>
        </w:numPr>
        <w:rPr>
          <w:rFonts w:ascii="Arial" w:cs="Arial" w:eastAsia="Arial" w:hAnsi="Arial"/>
          <w:sz w:val="16"/>
          <w:szCs w:val="16"/>
          <w:color w:val="auto"/>
        </w:rPr>
      </w:pPr>
      <w:r>
        <w:rPr>
          <w:rFonts w:ascii="Arial" w:cs="Arial" w:eastAsia="Arial" w:hAnsi="Arial"/>
          <w:sz w:val="16"/>
          <w:szCs w:val="16"/>
          <w:color w:val="auto"/>
        </w:rPr>
        <w:t xml:space="preserve">Upon a Special Mandatory Conversion, each holder of shares of Preferred Stock or Debt converted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shall be sent written notice of such Special Mandatory Conversion. Upon receipt of such notice, each holder of such securities shall surrender his, her or its certificate(s) for all such shares of applicable Preferred Stock and Debt (“</w:t>
      </w:r>
      <w:r>
        <w:rPr>
          <w:rFonts w:ascii="Arial" w:cs="Arial" w:eastAsia="Arial" w:hAnsi="Arial"/>
          <w:sz w:val="16"/>
          <w:szCs w:val="16"/>
          <w:u w:val="single" w:color="auto"/>
          <w:color w:val="auto"/>
        </w:rPr>
        <w:t>Securities Documentation</w:t>
      </w:r>
      <w:r>
        <w:rPr>
          <w:rFonts w:ascii="Arial" w:cs="Arial" w:eastAsia="Arial" w:hAnsi="Arial"/>
          <w:sz w:val="16"/>
          <w:szCs w:val="16"/>
          <w:color w:val="auto"/>
        </w:rPr>
        <w:t xml:space="preserve">”) (or, if such holder alleges that such Securities Documentation has been lost, stolen or destroyed, an affidavit certifying to its loss and agreement reasonably acceptable to this corporation to indemnify this corporation against any claim that may be made against this corporation on account of the alleged loss, theft or destruction of such Securities Documentation) to this corporation at the place designated in such notice. If so required by this corporation, Securities Documentation surrendered for conversion shall be endorsed or accompanied by written instrument or instruments of transfer, in form satisfactory to this corporation, duly executed by the registered holder or by his, her or its attorney duly authorized in writing. All rights with respect to the securities converted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including the rights, if any, to receive notices and vote, will terminate at the time of the Special Mandatory Conversion (notwithstanding the failure of the holder or holders thereof to surrender the Securities Documentation for such shares of Preferred Stock or Debt at or prior to such time), except only the rights of the holders thereof, upon surrender of their certificate or certificates therefor (or lost certificate affidavit and agreement), to receive the items provided for in </w:t>
      </w:r>
      <w:r>
        <w:rPr>
          <w:rFonts w:ascii="Arial" w:cs="Arial" w:eastAsia="Arial" w:hAnsi="Arial"/>
          <w:sz w:val="16"/>
          <w:szCs w:val="16"/>
          <w:u w:val="single" w:color="auto"/>
          <w:color w:val="auto"/>
        </w:rPr>
        <w:t>Section 5(b)(ii)</w:t>
      </w:r>
      <w:r>
        <w:rPr>
          <w:rFonts w:ascii="Arial" w:cs="Arial" w:eastAsia="Arial" w:hAnsi="Arial"/>
          <w:sz w:val="16"/>
          <w:szCs w:val="16"/>
          <w:color w:val="auto"/>
        </w:rPr>
        <w:t>.</w:t>
      </w:r>
    </w:p>
    <w:p>
      <w:pPr>
        <w:spacing w:after="0" w:line="173" w:lineRule="exact"/>
        <w:rPr>
          <w:sz w:val="20"/>
          <w:szCs w:val="20"/>
          <w:color w:val="auto"/>
        </w:rPr>
      </w:pPr>
    </w:p>
    <w:p>
      <w:pPr>
        <w:ind w:left="-60" w:right="80" w:firstLine="1492"/>
        <w:spacing w:after="0" w:line="297" w:lineRule="auto"/>
        <w:tabs>
          <w:tab w:leader="none" w:pos="1688"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As soon as practicable after the Special Mandatory Conversion and the surrender of the certificate(s) (or lost certificate affidavit and agreement) for applicable Preferred Stock and Debt so converted, this corporation shall issue and deliver to such holder, or to his, her or its nominees, a certificate or certificates for the number of full shares of Preferred Stock issuable on such conversion in accordance with the provisions hereof, together with cash as provided in </w:t>
      </w:r>
      <w:r>
        <w:rPr>
          <w:rFonts w:ascii="Arial" w:cs="Arial" w:eastAsia="Arial" w:hAnsi="Arial"/>
          <w:sz w:val="16"/>
          <w:szCs w:val="16"/>
          <w:u w:val="single" w:color="auto"/>
          <w:color w:val="auto"/>
        </w:rPr>
        <w:t>Section 5(a)(i)(C)</w:t>
      </w:r>
      <w:r>
        <w:rPr>
          <w:rFonts w:ascii="Arial" w:cs="Arial" w:eastAsia="Arial" w:hAnsi="Arial"/>
          <w:sz w:val="16"/>
          <w:szCs w:val="16"/>
          <w:color w:val="auto"/>
        </w:rPr>
        <w:t xml:space="preserve"> in lieu of any fraction of a share of Preferred Stock otherwise issuable upon such conversion and the payment of any declared but unpaid dividends on the shares of Preferred Stock converted. Such converted Preferred Stock shall be retired and cancelled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74" w:right="279" w:bottom="1440" w:gutter="0" w:footer="0" w:header="0"/>
        </w:sectPr>
      </w:pPr>
    </w:p>
    <w:bookmarkStart w:id="262" w:name="page263"/>
    <w:bookmarkEnd w:id="262"/>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may not be reissued as shares of such series, and this corporation may thereafter take such appropriate action (without the need for stockholder action) as may be necessary to reduce the authorized number of shares of Preferred Stock accordingly.</w:t>
      </w:r>
    </w:p>
    <w:p>
      <w:pPr>
        <w:spacing w:after="0" w:line="170" w:lineRule="exact"/>
        <w:rPr>
          <w:sz w:val="20"/>
          <w:szCs w:val="20"/>
          <w:color w:val="auto"/>
        </w:rPr>
      </w:pPr>
    </w:p>
    <w:p>
      <w:pPr>
        <w:ind w:left="1160" w:hanging="239"/>
        <w:spacing w:after="0"/>
        <w:tabs>
          <w:tab w:leader="none" w:pos="1160"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following definitions shall apply:</w:t>
      </w:r>
    </w:p>
    <w:p>
      <w:pPr>
        <w:spacing w:after="0" w:line="225" w:lineRule="exact"/>
        <w:rPr>
          <w:rFonts w:ascii="Arial" w:cs="Arial" w:eastAsia="Arial" w:hAnsi="Arial"/>
          <w:sz w:val="18"/>
          <w:szCs w:val="18"/>
          <w:color w:val="auto"/>
        </w:rPr>
      </w:pPr>
    </w:p>
    <w:p>
      <w:pPr>
        <w:ind w:firstLine="1492"/>
        <w:spacing w:after="0" w:line="276" w:lineRule="auto"/>
        <w:tabs>
          <w:tab w:leader="none" w:pos="1698" w:val="left"/>
        </w:tabs>
        <w:numPr>
          <w:ilvl w:val="2"/>
          <w:numId w:val="14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holder of shares of Preferred Stock or Debt, any person, entity or firm which, directly or indirectly, through one or more intermediaries, controls, is controlled by or is under common control with such holder, including, without limitation, any entity of which the holder is a partner, subsidiary, affiliate of parent, general partner, managing member, officer or director or employee of such Person or any venture capital or other investment fund now or hereafter existing that is controlled by or under common control with one or more general partners or managing members of, or shares the same management company or investment advisor (or sub-advisor) with, such holder.</w:t>
      </w:r>
    </w:p>
    <w:p>
      <w:pPr>
        <w:spacing w:after="0" w:line="172" w:lineRule="exact"/>
        <w:rPr>
          <w:rFonts w:ascii="Arial" w:cs="Arial" w:eastAsia="Arial" w:hAnsi="Arial"/>
          <w:sz w:val="17"/>
          <w:szCs w:val="17"/>
          <w:color w:val="auto"/>
        </w:rPr>
      </w:pPr>
    </w:p>
    <w:p>
      <w:pPr>
        <w:ind w:right="120" w:firstLine="1492"/>
        <w:spacing w:after="0" w:line="297" w:lineRule="auto"/>
        <w:tabs>
          <w:tab w:leader="none" w:pos="1748" w:val="left"/>
        </w:tabs>
        <w:numPr>
          <w:ilvl w:val="2"/>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w:t>
      </w:r>
      <w:r>
        <w:rPr>
          <w:rFonts w:ascii="Arial" w:cs="Arial" w:eastAsia="Arial" w:hAnsi="Arial"/>
          <w:sz w:val="16"/>
          <w:szCs w:val="16"/>
          <w:color w:val="auto"/>
        </w:rPr>
        <w:t>” means convertible promissory notes issued by this corporation other than those certain promissory notes issued by this corporation on March 1, 2013 (A) to DP VIII Associates, L.P. in the principal amount of $165.72; (B) to Domain Partners VIII, L.P. in the principal amount of $22,334.28; (C) to MPM BioVentures IV-QP, L.P. in the principal amount of $18,744.82; (D) to MPM BioVentures IV GmbH &amp; Co. Beteiligungs KG in the principal amount of $722.16; (E) to MPM Asset Management Investors BV4 LLC in the principal amount of $533.02; and (F) to MPM BioVentures IV Strategic Fund, L.P. in the principal amount of $2,500.00 (such excepted promissory notes are collectively referred to herein as the “</w:t>
      </w:r>
      <w:r>
        <w:rPr>
          <w:rFonts w:ascii="Arial" w:cs="Arial" w:eastAsia="Arial" w:hAnsi="Arial"/>
          <w:sz w:val="16"/>
          <w:szCs w:val="16"/>
          <w:u w:val="single" w:color="auto"/>
          <w:color w:val="auto"/>
        </w:rPr>
        <w:t>March 1, 2013 Notes</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340" w:firstLine="1492"/>
        <w:spacing w:after="0" w:line="277" w:lineRule="auto"/>
        <w:tabs>
          <w:tab w:leader="none" w:pos="1798" w:val="left"/>
        </w:tabs>
        <w:numPr>
          <w:ilvl w:val="2"/>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Securities</w:t>
      </w:r>
      <w:r>
        <w:rPr>
          <w:rFonts w:ascii="Arial" w:cs="Arial" w:eastAsia="Arial" w:hAnsi="Arial"/>
          <w:sz w:val="18"/>
          <w:szCs w:val="18"/>
          <w:color w:val="auto"/>
        </w:rPr>
        <w:t>” means the Series B-1 Preferred Stock set aside by the board of directors of this corporation for purchase by holders of outstanding shares of Preferred Stock in connection with a Qualified Financing, and offered to such holders.</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14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Financing</w:t>
      </w:r>
      <w:r>
        <w:rPr>
          <w:rFonts w:ascii="Arial" w:cs="Arial" w:eastAsia="Arial" w:hAnsi="Arial"/>
          <w:sz w:val="16"/>
          <w:szCs w:val="16"/>
          <w:color w:val="auto"/>
        </w:rPr>
        <w:t>” means each of the closings of the Series B-1 Preferred Stock contemplated by the 2013 Purchase Agreement.</w:t>
      </w:r>
    </w:p>
    <w:p>
      <w:pPr>
        <w:spacing w:after="0" w:line="248" w:lineRule="exact"/>
        <w:rPr>
          <w:rFonts w:ascii="Arial" w:cs="Arial" w:eastAsia="Arial" w:hAnsi="Arial"/>
          <w:sz w:val="16"/>
          <w:szCs w:val="16"/>
          <w:color w:val="auto"/>
        </w:rPr>
      </w:pPr>
    </w:p>
    <w:p>
      <w:pPr>
        <w:ind w:right="80" w:firstLine="464"/>
        <w:spacing w:after="0" w:line="286" w:lineRule="auto"/>
        <w:tabs>
          <w:tab w:leader="none" w:pos="636" w:val="left"/>
        </w:tabs>
        <w:numPr>
          <w:ilvl w:val="0"/>
          <w:numId w:val="149"/>
        </w:numPr>
        <w:rPr>
          <w:rFonts w:ascii="Arial" w:cs="Arial" w:eastAsia="Arial" w:hAnsi="Arial"/>
          <w:sz w:val="17"/>
          <w:szCs w:val="17"/>
          <w:color w:val="auto"/>
        </w:rPr>
      </w:pPr>
      <w:r>
        <w:rPr>
          <w:rFonts w:ascii="Arial" w:cs="Arial" w:eastAsia="Arial" w:hAnsi="Arial"/>
          <w:sz w:val="17"/>
          <w:szCs w:val="17"/>
          <w:u w:val="single" w:color="auto"/>
          <w:color w:val="auto"/>
        </w:rPr>
        <w:t>Prime Preferred Stock Protective Provisions</w:t>
      </w:r>
      <w:r>
        <w:rPr>
          <w:rFonts w:ascii="Arial" w:cs="Arial" w:eastAsia="Arial" w:hAnsi="Arial"/>
          <w:sz w:val="17"/>
          <w:szCs w:val="17"/>
          <w:color w:val="auto"/>
        </w:rPr>
        <w:t>. So long as at least Eight Thousand One Hundred Thirty (8,130) shares of Prime Preferred Stock are outstanding, this corporation shall not (by merger, reclassification or otherwise), without first obtaining the approval (by vote or written consent, as provided by law) of the holders of at least sixty percent (60%) of the then outstanding shares of Prime Preferred Stock voting as a single class:</w:t>
      </w:r>
    </w:p>
    <w:p>
      <w:pPr>
        <w:spacing w:after="0" w:line="165" w:lineRule="exact"/>
        <w:rPr>
          <w:rFonts w:ascii="Arial" w:cs="Arial" w:eastAsia="Arial" w:hAnsi="Arial"/>
          <w:sz w:val="17"/>
          <w:szCs w:val="17"/>
          <w:color w:val="auto"/>
        </w:rPr>
      </w:pPr>
    </w:p>
    <w:p>
      <w:pPr>
        <w:ind w:left="1160" w:hanging="239"/>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amend the Certificate of Incorporation or Bylaws to alter or change the rights, preferences or privileges of the Preferred Stock;</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increase or decrease the aggregate number of authorized shares of any class of capital stock of this corporation;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increase the number of shares reserved under any stock option plan of this corporation;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274" w:right="299" w:bottom="1440" w:gutter="0" w:footer="0" w:header="0"/>
        </w:sectPr>
      </w:pPr>
    </w:p>
    <w:bookmarkStart w:id="263" w:name="page264"/>
    <w:bookmarkEnd w:id="263"/>
    <w:p>
      <w:pPr>
        <w:ind w:left="1160" w:hanging="259"/>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create or effect a creation (by reclassification or otherwise) of any new class or series of shares of stock of this corporation;</w:t>
      </w:r>
    </w:p>
    <w:p>
      <w:pPr>
        <w:spacing w:after="0" w:line="225" w:lineRule="exact"/>
        <w:rPr>
          <w:rFonts w:ascii="Arial" w:cs="Arial" w:eastAsia="Arial" w:hAnsi="Arial"/>
          <w:sz w:val="18"/>
          <w:szCs w:val="18"/>
          <w:color w:val="auto"/>
        </w:rPr>
      </w:pPr>
    </w:p>
    <w:p>
      <w:pPr>
        <w:ind w:left="-20" w:right="280" w:firstLine="921"/>
        <w:spacing w:after="0" w:line="277" w:lineRule="auto"/>
        <w:tabs>
          <w:tab w:leader="none" w:pos="11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effect any (i) Liquidating Transaction or (ii) an agreement for the sale of capital stock such that the stockholders immediately prior to such sale will possess less than fifty percent (50%) of the voting power immediately after such sale;</w:t>
      </w:r>
    </w:p>
    <w:p>
      <w:pPr>
        <w:spacing w:after="0" w:line="170" w:lineRule="exact"/>
        <w:rPr>
          <w:rFonts w:ascii="Arial" w:cs="Arial" w:eastAsia="Arial" w:hAnsi="Arial"/>
          <w:sz w:val="18"/>
          <w:szCs w:val="18"/>
          <w:color w:val="auto"/>
        </w:rPr>
      </w:pPr>
    </w:p>
    <w:p>
      <w:pPr>
        <w:ind w:left="1120" w:hanging="219"/>
        <w:spacing w:after="0"/>
        <w:tabs>
          <w:tab w:leader="none" w:pos="112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declare or pay dividends on any capital stock (except as provided for in this Thirteenth Amended and Restated Certificate of Incorporation);</w:t>
      </w:r>
    </w:p>
    <w:p>
      <w:pPr>
        <w:spacing w:after="0" w:line="248" w:lineRule="exact"/>
        <w:rPr>
          <w:rFonts w:ascii="Arial" w:cs="Arial" w:eastAsia="Arial" w:hAnsi="Arial"/>
          <w:sz w:val="16"/>
          <w:szCs w:val="16"/>
          <w:color w:val="auto"/>
        </w:rPr>
      </w:pPr>
    </w:p>
    <w:p>
      <w:pPr>
        <w:ind w:left="1160" w:hanging="259"/>
        <w:spacing w:after="0"/>
        <w:tabs>
          <w:tab w:leader="none" w:pos="116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increase or decrease the number of directors of this corporation;</w:t>
      </w:r>
    </w:p>
    <w:p>
      <w:pPr>
        <w:spacing w:after="0" w:line="225" w:lineRule="exact"/>
        <w:rPr>
          <w:rFonts w:ascii="Arial" w:cs="Arial" w:eastAsia="Arial" w:hAnsi="Arial"/>
          <w:sz w:val="18"/>
          <w:szCs w:val="18"/>
          <w:color w:val="auto"/>
        </w:rPr>
      </w:pPr>
    </w:p>
    <w:p>
      <w:pPr>
        <w:jc w:val="both"/>
        <w:ind w:left="-20" w:right="260" w:firstLine="921"/>
        <w:spacing w:after="0" w:line="312" w:lineRule="auto"/>
        <w:tabs>
          <w:tab w:leader="none" w:pos="1148" w:val="left"/>
        </w:tabs>
        <w:numPr>
          <w:ilvl w:val="1"/>
          <w:numId w:val="150"/>
        </w:numPr>
        <w:rPr>
          <w:rFonts w:ascii="Arial" w:cs="Arial" w:eastAsia="Arial" w:hAnsi="Arial"/>
          <w:sz w:val="16"/>
          <w:szCs w:val="16"/>
          <w:color w:val="auto"/>
        </w:rPr>
      </w:pPr>
      <w:r>
        <w:rPr>
          <w:rFonts w:ascii="Arial" w:cs="Arial" w:eastAsia="Arial" w:hAnsi="Arial"/>
          <w:sz w:val="16"/>
          <w:szCs w:val="16"/>
          <w:color w:val="auto"/>
        </w:rPr>
        <w:t>repurchase or redeem any shares of capital stock except in connection with the repurchase of shares of Common Stock issued to or held by employees or consultants upon termination of their employment or services pursuant to agreements providing for the right of said repurchase between this corporation and such persons but only to the extent each repurchase equals the original purchase price of such shares being repurchased; or</w:t>
      </w:r>
    </w:p>
    <w:p>
      <w:pPr>
        <w:spacing w:after="0" w:line="146" w:lineRule="exact"/>
        <w:rPr>
          <w:rFonts w:ascii="Arial" w:cs="Arial" w:eastAsia="Arial" w:hAnsi="Arial"/>
          <w:sz w:val="16"/>
          <w:szCs w:val="16"/>
          <w:color w:val="auto"/>
        </w:rPr>
      </w:pPr>
    </w:p>
    <w:p>
      <w:pPr>
        <w:ind w:left="-20" w:right="260" w:firstLine="921"/>
        <w:spacing w:after="0" w:line="308" w:lineRule="auto"/>
        <w:tabs>
          <w:tab w:leader="none" w:pos="1108" w:val="left"/>
        </w:tabs>
        <w:numPr>
          <w:ilvl w:val="1"/>
          <w:numId w:val="150"/>
        </w:numPr>
        <w:rPr>
          <w:rFonts w:ascii="Arial" w:cs="Arial" w:eastAsia="Arial" w:hAnsi="Arial"/>
          <w:sz w:val="17"/>
          <w:szCs w:val="17"/>
          <w:color w:val="auto"/>
        </w:rPr>
      </w:pPr>
      <w:r>
        <w:rPr>
          <w:rFonts w:ascii="Arial" w:cs="Arial" w:eastAsia="Arial" w:hAnsi="Arial"/>
          <w:sz w:val="17"/>
          <w:szCs w:val="17"/>
          <w:color w:val="auto"/>
        </w:rPr>
        <w:t>do any act or thing which would result in taxation of the holders of shares of the Preferred Stock under Section 305 of the Internal Revenue Code of 1986, as amended (or any comparable provision of the Internal Revenue Code as hereafter from time to time amended).</w:t>
      </w:r>
    </w:p>
    <w:p>
      <w:pPr>
        <w:spacing w:after="0" w:line="146" w:lineRule="exact"/>
        <w:rPr>
          <w:rFonts w:ascii="Arial" w:cs="Arial" w:eastAsia="Arial" w:hAnsi="Arial"/>
          <w:sz w:val="17"/>
          <w:szCs w:val="17"/>
          <w:color w:val="auto"/>
        </w:rPr>
      </w:pPr>
    </w:p>
    <w:p>
      <w:pPr>
        <w:jc w:val="both"/>
        <w:ind w:left="-20" w:right="160" w:firstLine="464"/>
        <w:spacing w:after="0" w:line="259" w:lineRule="auto"/>
        <w:tabs>
          <w:tab w:leader="none" w:pos="616"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Series C-1 Preferred Stock Protective Provisions</w:t>
      </w:r>
      <w:r>
        <w:rPr>
          <w:rFonts w:ascii="Arial" w:cs="Arial" w:eastAsia="Arial" w:hAnsi="Arial"/>
          <w:sz w:val="18"/>
          <w:szCs w:val="18"/>
          <w:color w:val="auto"/>
        </w:rPr>
        <w:t>. So long as at least five hundred thirty-five thousand one hundred twenty-two (535,122) shares of Series C-1 Preferred Stock are outstanding, this corporation shall not (by merger, reclassification or otherwise), without first obtaining the approval (by vote or written consent, as provided by law) of the holders of at least a majority of the then outstanding shares of Series C-1 Preferred Stock voting as a single class:</w:t>
      </w:r>
    </w:p>
    <w:p>
      <w:pPr>
        <w:spacing w:after="0" w:line="186" w:lineRule="exact"/>
        <w:rPr>
          <w:rFonts w:ascii="Arial" w:cs="Arial" w:eastAsia="Arial" w:hAnsi="Arial"/>
          <w:sz w:val="18"/>
          <w:szCs w:val="18"/>
          <w:color w:val="auto"/>
        </w:rPr>
      </w:pPr>
    </w:p>
    <w:p>
      <w:pPr>
        <w:ind w:left="-20" w:right="80" w:firstLine="921"/>
        <w:spacing w:after="0" w:line="286" w:lineRule="auto"/>
        <w:tabs>
          <w:tab w:leader="none" w:pos="1138" w:val="left"/>
        </w:tabs>
        <w:numPr>
          <w:ilvl w:val="1"/>
          <w:numId w:val="151"/>
        </w:numPr>
        <w:rPr>
          <w:rFonts w:ascii="Arial" w:cs="Arial" w:eastAsia="Arial" w:hAnsi="Arial"/>
          <w:sz w:val="17"/>
          <w:szCs w:val="17"/>
          <w:color w:val="auto"/>
        </w:rPr>
      </w:pPr>
      <w:r>
        <w:rPr>
          <w:rFonts w:ascii="Arial" w:cs="Arial" w:eastAsia="Arial" w:hAnsi="Arial"/>
          <w:sz w:val="17"/>
          <w:szCs w:val="17"/>
          <w:color w:val="auto"/>
        </w:rPr>
        <w:t>create, or authorize the creation of, or issue or obligate itself to issue shares of, any additional class or series of capital stock that are senior to the Series C-1 Preferred Stock with respect to any right, preference or privilege, including but not limited to the distribution of assets on the liquidation, dissolution or winding up of this corporation, the payment of dividends and rights of redemption, voting or other rights and privileges,</w:t>
      </w:r>
    </w:p>
    <w:p>
      <w:pPr>
        <w:spacing w:after="0" w:line="165" w:lineRule="exact"/>
        <w:rPr>
          <w:rFonts w:ascii="Arial" w:cs="Arial" w:eastAsia="Arial" w:hAnsi="Arial"/>
          <w:sz w:val="17"/>
          <w:szCs w:val="17"/>
          <w:color w:val="auto"/>
        </w:rPr>
      </w:pPr>
    </w:p>
    <w:p>
      <w:pPr>
        <w:ind w:left="-20" w:right="180" w:firstLine="921"/>
        <w:spacing w:after="0" w:line="277" w:lineRule="auto"/>
        <w:tabs>
          <w:tab w:leader="none" w:pos="11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reclassify, alter or amend any existing security of this corporation,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C-1 Preferred Stock in respect of any right, preference or privilege;</w:t>
      </w:r>
    </w:p>
    <w:p>
      <w:pPr>
        <w:spacing w:after="0" w:line="170" w:lineRule="exact"/>
        <w:rPr>
          <w:rFonts w:ascii="Arial" w:cs="Arial" w:eastAsia="Arial" w:hAnsi="Arial"/>
          <w:sz w:val="18"/>
          <w:szCs w:val="18"/>
          <w:color w:val="auto"/>
        </w:rPr>
      </w:pPr>
    </w:p>
    <w:p>
      <w:pPr>
        <w:ind w:left="-20" w:right="780" w:firstLine="921"/>
        <w:spacing w:after="0" w:line="277" w:lineRule="auto"/>
        <w:tabs>
          <w:tab w:leader="none" w:pos="113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take any action with respect to this Certificate of Incorporation or this corporation’s Bylaws that would adversely affect the powers, preferences, rights or privileges of the Series C-1 Preferred Stock;</w:t>
      </w:r>
    </w:p>
    <w:p>
      <w:pPr>
        <w:spacing w:after="0" w:line="170" w:lineRule="exact"/>
        <w:rPr>
          <w:rFonts w:ascii="Arial" w:cs="Arial" w:eastAsia="Arial" w:hAnsi="Arial"/>
          <w:sz w:val="18"/>
          <w:szCs w:val="18"/>
          <w:color w:val="auto"/>
        </w:rPr>
      </w:pPr>
    </w:p>
    <w:p>
      <w:pPr>
        <w:ind w:left="-20" w:firstLine="921"/>
        <w:spacing w:after="0" w:line="277" w:lineRule="auto"/>
        <w:tabs>
          <w:tab w:leader="none" w:pos="114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take any action which results in the issuance, creation or execution of a debt instrument or instruments or the incurrence by this corporation of debt for borrowed money in excess of US$1,000,000; or</w:t>
      </w:r>
    </w:p>
    <w:p>
      <w:pPr>
        <w:spacing w:after="0" w:line="170" w:lineRule="exact"/>
        <w:rPr>
          <w:rFonts w:ascii="Arial" w:cs="Arial" w:eastAsia="Arial" w:hAnsi="Arial"/>
          <w:sz w:val="18"/>
          <w:szCs w:val="18"/>
          <w:color w:val="auto"/>
        </w:rPr>
      </w:pPr>
    </w:p>
    <w:p>
      <w:pPr>
        <w:ind w:left="-20" w:right="260" w:firstLine="921"/>
        <w:spacing w:after="0" w:line="277" w:lineRule="auto"/>
        <w:tabs>
          <w:tab w:leader="none" w:pos="113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take any action that would result in the conversion or reclassification of Series C-1 Preferred Stock into Common Stock or another class or series of securities, unless (i)</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60" w:top="274" w:right="239" w:bottom="1440" w:gutter="0" w:footer="0" w:header="0"/>
        </w:sectPr>
      </w:pPr>
    </w:p>
    <w:bookmarkStart w:id="264" w:name="page265"/>
    <w:bookmarkEnd w:id="26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conversion or reclassification is effective immediately prior to the closing of a firm commitment, underwritten initial public offering of the capital stock of this corporation registered under the Securities Act and (ii) all other shares of Preferred Stock are being similarly converted to Common Stock at the applicable Conversion Rate.</w:t>
      </w:r>
    </w:p>
    <w:p>
      <w:pPr>
        <w:spacing w:after="0" w:line="181" w:lineRule="exact"/>
        <w:rPr>
          <w:sz w:val="20"/>
          <w:szCs w:val="20"/>
          <w:color w:val="auto"/>
        </w:rPr>
      </w:pPr>
    </w:p>
    <w:p>
      <w:pPr>
        <w:ind w:right="80" w:firstLine="464"/>
        <w:spacing w:after="0" w:line="312" w:lineRule="auto"/>
        <w:tabs>
          <w:tab w:leader="none" w:pos="63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Series B-1 Preferred Stock Protective Provisions</w:t>
      </w:r>
      <w:r>
        <w:rPr>
          <w:rFonts w:ascii="Arial" w:cs="Arial" w:eastAsia="Arial" w:hAnsi="Arial"/>
          <w:sz w:val="16"/>
          <w:szCs w:val="16"/>
          <w:color w:val="auto"/>
        </w:rPr>
        <w:t>. So long as at least Eight Thousand One Hundred Thirty (8,130) shares of Series B-1 Preferred Stock are outstanding, this corporation shall not (by merger, reclassification or otherwise), without first obtaining the approval (by vote or written consent, as provided by law) of the holders of more than fifty percent (50%) of the then outstanding shares of Series B-1 Preferred Stock voting as a single class:</w:t>
      </w:r>
    </w:p>
    <w:p>
      <w:pPr>
        <w:spacing w:after="0" w:line="146" w:lineRule="exact"/>
        <w:rPr>
          <w:rFonts w:ascii="Arial" w:cs="Arial" w:eastAsia="Arial" w:hAnsi="Arial"/>
          <w:sz w:val="16"/>
          <w:szCs w:val="16"/>
          <w:color w:val="auto"/>
        </w:rPr>
      </w:pPr>
    </w:p>
    <w:p>
      <w:pPr>
        <w:ind w:firstLine="921"/>
        <w:spacing w:after="0" w:line="264" w:lineRule="auto"/>
        <w:tabs>
          <w:tab w:leader="none" w:pos="115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create, or authorize the creation of, or issue or obligate itself to issue shares of, any additional class or series of capital stock which is senior to the Series B-1 Preferred Stock with respect to the distribution of assets on the liquidation, dissolution or winding up of this corporation, the payment of dividends and rights of redemption, voting or other rights and privileges,</w:t>
      </w:r>
    </w:p>
    <w:p>
      <w:pPr>
        <w:spacing w:after="0" w:line="181" w:lineRule="exact"/>
        <w:rPr>
          <w:rFonts w:ascii="Arial" w:cs="Arial" w:eastAsia="Arial" w:hAnsi="Arial"/>
          <w:sz w:val="18"/>
          <w:szCs w:val="18"/>
          <w:color w:val="auto"/>
        </w:rPr>
      </w:pPr>
    </w:p>
    <w:p>
      <w:pPr>
        <w:ind w:right="160" w:firstLine="921"/>
        <w:spacing w:after="0" w:line="277" w:lineRule="auto"/>
        <w:tabs>
          <w:tab w:leader="none" w:pos="116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 xml:space="preserve">reclassify, alter or amend any existing security of this corporation, if such reclassification, alteration or amendment would render such other security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B-1 Preferred Stock in respect of any right, preference or privilege;</w:t>
      </w:r>
    </w:p>
    <w:p>
      <w:pPr>
        <w:spacing w:after="0" w:line="170" w:lineRule="exact"/>
        <w:rPr>
          <w:rFonts w:ascii="Arial" w:cs="Arial" w:eastAsia="Arial" w:hAnsi="Arial"/>
          <w:sz w:val="18"/>
          <w:szCs w:val="18"/>
          <w:color w:val="auto"/>
        </w:rPr>
      </w:pPr>
    </w:p>
    <w:p>
      <w:pPr>
        <w:ind w:right="140" w:firstLine="921"/>
        <w:spacing w:after="0" w:line="277" w:lineRule="auto"/>
        <w:tabs>
          <w:tab w:leader="none" w:pos="115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purchase or redeem any shares of capital stock of this corporation without first offering to purchase or redeem and, if applicable, purchasing and/or redeeming, the Series B-1 Preferred Stock, except as unanimously approved by the board of directors;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take any action that would adversely affect the powers, preferences, rights or privileges of the Series B-1 Preferred Stock; or</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effect any Liquidating Transaction in which the proceeds per share of Series B-1 Preferred Stock would be less than the Original Issue Price.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corporation is to have perpetual existence.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65" w:name="page266"/>
    <w:bookmarkEnd w:id="2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29" w:lineRule="exact"/>
        <w:rPr>
          <w:sz w:val="20"/>
          <w:szCs w:val="20"/>
          <w:color w:val="auto"/>
        </w:rPr>
      </w:pPr>
    </w:p>
    <w:p>
      <w:pPr>
        <w:ind w:right="220" w:firstLine="464"/>
        <w:spacing w:after="0" w:line="264" w:lineRule="auto"/>
        <w:tabs>
          <w:tab w:leader="none" w:pos="63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To the fullest extent permitted by the General Corporation Law of the State of Delaware as the same exists or as may hereafter be amended, a director of this corporation shall not be personally liable to this corporation or its stockholders for monetary damages for breach of fiduciary duty as a director.</w:t>
      </w:r>
    </w:p>
    <w:p>
      <w:pPr>
        <w:spacing w:after="0" w:line="181" w:lineRule="exact"/>
        <w:rPr>
          <w:rFonts w:ascii="Arial" w:cs="Arial" w:eastAsia="Arial" w:hAnsi="Arial"/>
          <w:sz w:val="18"/>
          <w:szCs w:val="18"/>
          <w:color w:val="auto"/>
        </w:rPr>
      </w:pPr>
    </w:p>
    <w:p>
      <w:pPr>
        <w:ind w:firstLine="464"/>
        <w:spacing w:after="0" w:line="259" w:lineRule="auto"/>
        <w:tabs>
          <w:tab w:leader="none" w:pos="63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This corporation may indemnify to the fullest extent permitted by law any person made or threatened to be made a party to an action or proceeding, whether criminal, civil, administrative or investigative, by reason of the fact that such person or his or her testator or intestate is or was a director, officer or employee of this corporation, or any predecessor of this corporation; or serves or served at any other enterprise as a director, officer or employee at the request of this corporation or any predecessor to this corporation.</w:t>
      </w:r>
    </w:p>
    <w:p>
      <w:pPr>
        <w:spacing w:after="0" w:line="186" w:lineRule="exact"/>
        <w:rPr>
          <w:rFonts w:ascii="Arial" w:cs="Arial" w:eastAsia="Arial" w:hAnsi="Arial"/>
          <w:sz w:val="18"/>
          <w:szCs w:val="18"/>
          <w:color w:val="auto"/>
        </w:rPr>
      </w:pPr>
    </w:p>
    <w:p>
      <w:pPr>
        <w:ind w:right="40" w:firstLine="464"/>
        <w:spacing w:after="0" w:line="259" w:lineRule="auto"/>
        <w:tabs>
          <w:tab w:leader="none" w:pos="636"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Neither any amendment nor repeal of this Article VII, nor the adoption of any provision of this corporation’s Thirteenth Amended and Restated Certificate of Incorporation inconsistent with this Article VII, shall eliminate or reduce the effect of this Article VII, in respect of any matter occurring, or any action or proceeding accruing or arising or that, but for this Article VII would accrue or arise, prior to such amendment repeal, or adoption of an inconsistent provision.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the event that shares of Preferred Stock shall be converted pursuant to the terms hereof, the shares so converted shall not revert to the status of authorized but unissued shares, but instead shall be canceled and shall not be re-issuable by this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Holders of stock of any class or series of this corporation shall not be entitled to cumulate their votes for the election of directors or any other matter submitted to a vote of the stockholders.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Elections of directors need not be by written ballot unless the Bylaws of this corporation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corporation hereby renounces, to the fullest extent permitted by law, any interest or expectancy of this corporation in, or in being offered, an opportunity to participate in, any Preferred Stock Business Opportunity. A “</w:t>
      </w:r>
      <w:r>
        <w:rPr>
          <w:rFonts w:ascii="Arial" w:cs="Arial" w:eastAsia="Arial" w:hAnsi="Arial"/>
          <w:sz w:val="17"/>
          <w:szCs w:val="17"/>
          <w:u w:val="single" w:color="auto"/>
          <w:color w:val="auto"/>
        </w:rPr>
        <w:t>Preferred Stock Business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0" w:right="259" w:bottom="1440" w:gutter="0" w:footer="0" w:header="0"/>
        </w:sectPr>
      </w:pPr>
    </w:p>
    <w:bookmarkStart w:id="266" w:name="page267"/>
    <w:bookmarkEnd w:id="266"/>
    <w:p>
      <w:pPr>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solely in such Covered Person’s capacity as a director of this corporation. To the fullest extent permitted by law, this corporation hereby waives any claim against a Covered Person, and agrees to indemnify all Covered Persons against any claim, that is based on fiduciary duties, the corporate opportunity doctrine or any other legal theory which could limit any Covered Person from pursuing or engaging in any Preferred Stock Business Opportunity.</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furtherance and not in limitation of the powers conferred by statute, the board of directors of this corporation is expressly authorized to make, alter, amend or repeal the Bylaws of this corporation.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XIII</w:t>
      </w:r>
    </w:p>
    <w:p>
      <w:pPr>
        <w:spacing w:after="0" w:line="229" w:lineRule="exact"/>
        <w:rPr>
          <w:sz w:val="20"/>
          <w:szCs w:val="20"/>
          <w:color w:val="auto"/>
        </w:rPr>
      </w:pPr>
    </w:p>
    <w:p>
      <w:pPr>
        <w:jc w:val="center"/>
        <w:ind w:left="340" w:right="360"/>
        <w:spacing w:after="0" w:line="449" w:lineRule="auto"/>
        <w:rPr>
          <w:sz w:val="20"/>
          <w:szCs w:val="20"/>
          <w:color w:val="auto"/>
        </w:rPr>
      </w:pPr>
      <w:r>
        <w:rPr>
          <w:rFonts w:ascii="Arial" w:cs="Arial" w:eastAsia="Arial" w:hAnsi="Arial"/>
          <w:sz w:val="18"/>
          <w:szCs w:val="18"/>
          <w:color w:val="auto"/>
        </w:rPr>
        <w:t>The foregoing amendment and restatement of the Certificate of Incorporation has been duly approved by the board of directors of this corporation. 21</w:t>
      </w:r>
    </w:p>
    <w:p>
      <w:pPr>
        <w:sectPr>
          <w:pgSz w:w="11900" w:h="16838" w:orient="portrait"/>
          <w:cols w:equalWidth="0" w:num="1">
            <w:col w:w="11380"/>
          </w:cols>
          <w:pgMar w:left="240" w:top="274" w:right="279" w:bottom="1440" w:gutter="0" w:footer="0" w:header="0"/>
        </w:sectPr>
      </w:pPr>
    </w:p>
    <w:bookmarkStart w:id="267" w:name="page268"/>
    <w:bookmarkEnd w:id="267"/>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foregoing Thirteenth Amended and Restated Certificate of Incorporation has been duly adopted by this corporation’s board of directors and stockholders in accordance with applicable provisions of Sections 228, 242 and 245 of the General Corporation Law of the State of Delaware. I further declare under penalty of perjury under the laws of the State of Delaware that the matters set forth in this certificate are true, correct and of my own knowledge.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Dated: August 20,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Briggs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Briggs Morrison, M.D.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880"/>
          </w:cols>
          <w:pgMar w:left="240" w:top="274" w:right="77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r>
        <w:rPr>
          <w:rFonts w:ascii="Arial" w:cs="Arial" w:eastAsia="Arial" w:hAnsi="Arial"/>
          <w:sz w:val="18"/>
          <w:szCs w:val="18"/>
          <w:color w:val="auto"/>
        </w:rPr>
        <w:t xml:space="preserve"> - </w:t>
      </w: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p>
    <w:p>
      <w:pPr>
        <w:spacing w:after="0" w:line="225" w:lineRule="exact"/>
        <w:rPr>
          <w:sz w:val="20"/>
          <w:szCs w:val="20"/>
          <w:color w:val="auto"/>
        </w:rPr>
      </w:pPr>
    </w:p>
    <w:p>
      <w:pPr>
        <w:jc w:val="both"/>
        <w:ind w:right="280" w:firstLine="913"/>
        <w:spacing w:after="0" w:line="312" w:lineRule="auto"/>
        <w:rPr>
          <w:sz w:val="20"/>
          <w:szCs w:val="20"/>
          <w:color w:val="auto"/>
        </w:rPr>
      </w:pPr>
      <w:r>
        <w:rPr>
          <w:rFonts w:ascii="Arial" w:cs="Arial" w:eastAsia="Arial" w:hAnsi="Arial"/>
          <w:sz w:val="16"/>
          <w:szCs w:val="16"/>
          <w:color w:val="auto"/>
        </w:rPr>
        <w:t>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thirteen (13) months of the last annual meeting of stockholders or, if no such meeting has been held, the date of incorporation.</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Special Meetings.</w:t>
      </w:r>
    </w:p>
    <w:p>
      <w:pPr>
        <w:spacing w:after="0" w:line="225" w:lineRule="exact"/>
        <w:rPr>
          <w:sz w:val="20"/>
          <w:szCs w:val="20"/>
          <w:color w:val="auto"/>
        </w:rPr>
      </w:pPr>
    </w:p>
    <w:p>
      <w:pPr>
        <w:ind w:right="680" w:firstLine="913"/>
        <w:spacing w:after="0" w:line="308" w:lineRule="auto"/>
        <w:rPr>
          <w:sz w:val="20"/>
          <w:szCs w:val="20"/>
          <w:color w:val="auto"/>
        </w:rPr>
      </w:pPr>
      <w:r>
        <w:rPr>
          <w:rFonts w:ascii="Arial" w:cs="Arial" w:eastAsia="Arial" w:hAnsi="Arial"/>
          <w:sz w:val="17"/>
          <w:szCs w:val="17"/>
          <w:color w:val="auto"/>
        </w:rPr>
        <w:t>Special meetings of the stockholders, for any purpose or purposes prescribed in the notice of the meeting, may be called by the Board of Directors or the chief executive officer and shall be held at such place, on such date, and at such time as they or he or she shall fix.</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Notice of Meetings.</w:t>
      </w:r>
    </w:p>
    <w:p>
      <w:pPr>
        <w:spacing w:after="0" w:line="225" w:lineRule="exact"/>
        <w:rPr>
          <w:sz w:val="20"/>
          <w:szCs w:val="20"/>
          <w:color w:val="auto"/>
        </w:rPr>
      </w:pPr>
    </w:p>
    <w:p>
      <w:pPr>
        <w:ind w:right="380" w:firstLine="913"/>
        <w:spacing w:after="0" w:line="291" w:lineRule="auto"/>
        <w:rPr>
          <w:sz w:val="20"/>
          <w:szCs w:val="20"/>
          <w:color w:val="auto"/>
        </w:rPr>
      </w:pPr>
      <w:r>
        <w:rPr>
          <w:rFonts w:ascii="Arial" w:cs="Arial" w:eastAsia="Arial" w:hAnsi="Arial"/>
          <w:sz w:val="16"/>
          <w:szCs w:val="16"/>
          <w:color w:val="auto"/>
        </w:rPr>
        <w:t>Notice of the place, if any, date, and time of all meetings of the stockholders and the means of remote communications, if any, by which stockholders and proxyholders may be deemed to be present in person and vote at such meeting, shall be given, not less than ten (10) nor more than sixty</w:t>
      </w:r>
    </w:p>
    <w:p>
      <w:pPr>
        <w:ind w:right="440" w:firstLine="8"/>
        <w:spacing w:after="0" w:line="261" w:lineRule="auto"/>
        <w:tabs>
          <w:tab w:leader="none" w:pos="34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days before the date on which the meeting is to be held, to each stockholder entitled to vote at such meeting, except as otherwise provided herein or required by law (meaning, here and hereinafter,</w:t>
      </w:r>
    </w:p>
    <w:p>
      <w:pPr>
        <w:sectPr>
          <w:pgSz w:w="11900" w:h="16838" w:orient="portrait"/>
          <w:cols w:equalWidth="0" w:num="1">
            <w:col w:w="11420"/>
          </w:cols>
          <w:pgMar w:left="240" w:top="121"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required from time to time by the Delaware General Corporation Law or the Certificate of Incorporation of the Corporation).</w:t>
      </w:r>
    </w:p>
    <w:p>
      <w:pPr>
        <w:spacing w:after="0" w:line="22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provided, however, that if the date of any adjourned meeting is more than thirty</w:t>
      </w:r>
    </w:p>
    <w:p>
      <w:pPr>
        <w:ind w:right="240" w:firstLine="8"/>
        <w:spacing w:after="0" w:line="254" w:lineRule="auto"/>
        <w:tabs>
          <w:tab w:leader="none" w:pos="34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days after the date for which the meeting was originally noticed, or if a new record date is fixed for the adjourned meeting, notice of the place, if any, date, and time of the adjourned meeting and the means of remote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spacing w:after="0" w:line="1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Quorum.</w:t>
      </w:r>
    </w:p>
    <w:p>
      <w:pPr>
        <w:spacing w:after="0" w:line="225"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shares of such class or classes or series present in person or represented by proxy shall constitute a quorum entitled to take action with respect to that vote on that matter.</w:t>
      </w:r>
    </w:p>
    <w:p>
      <w:pPr>
        <w:sectPr>
          <w:pgSz w:w="11900" w:h="16838" w:orient="portrait"/>
          <w:cols w:equalWidth="0" w:num="1">
            <w:col w:w="11340"/>
          </w:cols>
          <w:pgMar w:left="240" w:top="274" w:right="319" w:bottom="1440" w:gutter="0" w:footer="0" w:header="0"/>
        </w:sectPr>
      </w:pPr>
    </w:p>
    <w:bookmarkStart w:id="270" w:name="page271"/>
    <w:bookmarkEnd w:id="270"/>
    <w:p>
      <w:pPr>
        <w:ind w:right="20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quorum shall fail to attend any meeting, the chairman of the meeting or the holders of a majority of the shares of stock entitled to vote who are present, in person or by proxy, may adjourn the meeting to another place, if any, date, or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Organization.</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Such person as the Board of Directors may have designated or, in the absence of such a person,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Conduct of Business.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chairman of any meeting of stockholders shall determine the order of business and the procedure at the meeting, including such regulation of the manner of voting and the conduct of discussion as seem to him or her in order. The date and time of the opening and closing of the polls for each matter upon which the stockholders will vote at the meeting shall be announced at the meeting.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Proxies and Voting.</w:t>
      </w:r>
    </w:p>
    <w:p>
      <w:pPr>
        <w:spacing w:after="0" w:line="225"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w:t>
      </w:r>
    </w:p>
    <w:p>
      <w:pPr>
        <w:sectPr>
          <w:pgSz w:w="11900" w:h="16838" w:orient="portrait"/>
          <w:cols w:equalWidth="0" w:num="1">
            <w:col w:w="11420"/>
          </w:cols>
          <w:pgMar w:left="240" w:top="274" w:right="239" w:bottom="1440" w:gutter="0" w:footer="0" w:header="0"/>
        </w:sectPr>
      </w:pPr>
    </w:p>
    <w:bookmarkStart w:id="271" w:name="page272"/>
    <w:bookmarkEnd w:id="271"/>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The Corporation may, and to the extent required by law, shall, in advance of any meeting of stockholders, appoint one or more inspectors to act at the meeting and make a written report thereof. The Corporation may designate one or more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or her duties, shall take and sign an oath faithfully to execute the duties of inspector with strict impartiality and according to the best of his or her ability. Every vote taken by ballots shall be counted by an inspector or inspectors appointed by the chairman of the meeting.</w:t>
      </w:r>
    </w:p>
    <w:p>
      <w:pPr>
        <w:spacing w:after="0" w:line="193"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All elections shall be determined by a plurality of the votes cast, and except as otherwise required by law, all other matters shall be determined by a majority of the votes cast affirmatively or negatively.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Stock List.</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 period of at least ten (10) days prior to the meeting in the manner provided by law.</w:t>
      </w:r>
    </w:p>
    <w:p>
      <w:pPr>
        <w:sectPr>
          <w:pgSz w:w="11900" w:h="16838" w:orient="portrait"/>
          <w:cols w:equalWidth="0" w:num="1">
            <w:col w:w="11420"/>
          </w:cols>
          <w:pgMar w:left="240" w:top="274" w:right="239" w:bottom="1440" w:gutter="0" w:footer="0" w:header="0"/>
        </w:sectPr>
      </w:pPr>
    </w:p>
    <w:bookmarkStart w:id="272" w:name="page273"/>
    <w:bookmarkEnd w:id="272"/>
    <w:p>
      <w:pPr>
        <w:ind w:right="200"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Consent of Stockholders in Lieu of Meeting.</w:t>
      </w:r>
    </w:p>
    <w:p>
      <w:pPr>
        <w:spacing w:after="0" w:line="225" w:lineRule="exact"/>
        <w:rPr>
          <w:sz w:val="20"/>
          <w:szCs w:val="20"/>
          <w:color w:val="auto"/>
        </w:rPr>
      </w:pPr>
    </w:p>
    <w:p>
      <w:pPr>
        <w:ind w:right="220" w:firstLine="913"/>
        <w:spacing w:after="0" w:line="272" w:lineRule="auto"/>
        <w:rPr>
          <w:sz w:val="20"/>
          <w:szCs w:val="20"/>
          <w:color w:val="auto"/>
        </w:rPr>
      </w:pPr>
      <w:r>
        <w:rPr>
          <w:rFonts w:ascii="Arial" w:cs="Arial" w:eastAsia="Arial" w:hAnsi="Arial"/>
          <w:sz w:val="17"/>
          <w:szCs w:val="17"/>
          <w:color w:val="auto"/>
        </w:rPr>
        <w:t>Any action required to be taken at any annual or special meeting of stockholders of the Corporation, or any action which may be taken at any annual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an officer or agent of the Corporation having custody of the book in which proceedings of meetings of stockholders are recorded. Delivery made to the Corporation’s registered office shall be made by hand or by certified or registered mail, return receipt requested.</w:t>
      </w:r>
    </w:p>
    <w:p>
      <w:pPr>
        <w:spacing w:after="0" w:line="17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Every written consent shall bear the date of signature of each stockholder who signs the consent and no written consent shall be effective to take the corporate action referred to therein unless, within sixty (60) days of the date the earliest dated consent is delivered to the Corporation, a written consent or consents signed by a sufficient number of holders to take action are delivered to the Corporation in the manner prescribed in the first paragraph of this Section. A telegram, cablegram or other</w:t>
      </w:r>
    </w:p>
    <w:p>
      <w:pPr>
        <w:sectPr>
          <w:pgSz w:w="11900" w:h="16838" w:orient="portrait"/>
          <w:cols w:equalWidth="0" w:num="1">
            <w:col w:w="11360"/>
          </w:cols>
          <w:pgMar w:left="240" w:top="274" w:right="299" w:bottom="1440" w:gutter="0" w:footer="0" w:header="0"/>
        </w:sectPr>
      </w:pPr>
    </w:p>
    <w:bookmarkStart w:id="273" w:name="page274"/>
    <w:bookmarkEnd w:id="273"/>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electronic transmission consenting to an action to be taken and transmitted by a stockholder or proxyholder, or by a person or persons authorized to act for a stockholder or proxyholder, shall be deemed to be written, signed and dated for the purposes of this Section to the extent permitted by law. Any such consent shall be delivered in accordance with Section 228(d)(1) of the Delaware General Corporation Law.</w:t>
      </w:r>
    </w:p>
    <w:p>
      <w:pPr>
        <w:spacing w:after="0" w:line="18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and Term of Office.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number of directors who shall constitute the whole Board of Directors shall be such number as the Board of Directors shall from time to time have designated, except that in the absence of any such designation, such number shall be two (2). Each director shall be elected for a term of one year and until his or her successor is elected and qualified, except as otherwise provided herein or required by law.</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Whenever the authorized number of directors is increased between annual meetings of the stockholders, a majority of the directors then in office shall have the power to elect such new directors for the balance of a term and until their successors are elected and qualified. Any decrease in the authorized number of directors shall not become effective until the expiration of the term of the directors</w:t>
      </w:r>
    </w:p>
    <w:p>
      <w:pPr>
        <w:sectPr>
          <w:pgSz w:w="11900" w:h="16838" w:orient="portrait"/>
          <w:cols w:equalWidth="0" w:num="1">
            <w:col w:w="11420"/>
          </w:cols>
          <w:pgMar w:left="240" w:top="274" w:right="2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in office unless, at the time of such decrease, there shall be vacancies on the board which are being eliminated by the decrease.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Vacancies.</w:t>
      </w:r>
    </w:p>
    <w:p>
      <w:pPr>
        <w:spacing w:after="0" w:line="225"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If the office of any director becomes vacant by reason of death, resignation, disqualification, removal or other cause, a majority of the directors remaining in office, although less than a quorum, may elect a successor for the unexpired term and until his or her successor is elected and qualified.</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Regular Meetings.</w:t>
      </w:r>
    </w:p>
    <w:p>
      <w:pPr>
        <w:spacing w:after="0" w:line="225"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Regular meetings of the Board of Directors shall be held at such place or places, on such date or dates, and at such time or times as shall have been established by the Board of Directors and publicized among all directors. A notice of each regular meeting shall not be required.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Special Meetings.</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Special meetings of the Board of Directors may be called by one-third (1/3) of the directors then in office (rounded up to the nearest whole number) or by the President and shall be held at such place, on such date, and at such time as they or he or she shall fix. Notice of the place, date, and time of each such special meeting shall be given to each director by whom it is not waived by mailing written notice not less than five (5) days before the meeting or by telegraphing or telexing or by facsimile or electronic transmission of the same not less than twenty-four (24) hours before the meeting. Unless otherwise indicated in the notice thereof, any and all business may be transacted at a special meeting.</w:t>
      </w:r>
    </w:p>
    <w:p>
      <w:pPr>
        <w:sectPr>
          <w:pgSz w:w="11900" w:h="16838" w:orient="portrait"/>
          <w:cols w:equalWidth="0" w:num="1">
            <w:col w:w="11320"/>
          </w:cols>
          <w:pgMar w:left="240" w:top="274" w:right="339" w:bottom="1440" w:gutter="0" w:footer="0" w:header="0"/>
        </w:sectPr>
      </w:pPr>
    </w:p>
    <w:bookmarkStart w:id="275" w:name="page276"/>
    <w:bookmarkEnd w:id="27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 </w:t>
      </w:r>
      <w:r>
        <w:rPr>
          <w:rFonts w:ascii="Arial" w:cs="Arial" w:eastAsia="Arial" w:hAnsi="Arial"/>
          <w:sz w:val="18"/>
          <w:szCs w:val="18"/>
          <w:u w:val="single" w:color="auto"/>
          <w:color w:val="auto"/>
        </w:rPr>
        <w:t>Quorum.</w:t>
      </w:r>
    </w:p>
    <w:p>
      <w:pPr>
        <w:spacing w:after="0" w:line="225"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At any meeting of the Board of Directors, a majority of the total number of the whole Board of Directors shall constitute a quorum for all purposes. If a quorum shall fail to attend any meeting, a majority of those present may adjourn the meeting to another place, date, or time, without further notice or waiver thereof.</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Participation in Meetings By Conference Telephone.</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Members of the Board of Directors, or of any committee thereof, may participate in a meeting of such Board of Directors or committee by means of conference telephone or other communications equipment by means of which all persons participating in the meeting can hear each other and such participation shall constitute presence in person at such meeting.</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Conduct of Business.</w:t>
      </w:r>
    </w:p>
    <w:p>
      <w:pPr>
        <w:spacing w:after="0" w:line="225"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At any meeting of the Board of Directors, business shall be transacted in such order and manner as the Board of Directors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in paper form if the minutes are maintained in paper form and shall be in electronic form if the minutes are maintained in electronic form.</w:t>
      </w:r>
    </w:p>
    <w:p>
      <w:pPr>
        <w:sectPr>
          <w:pgSz w:w="11900" w:h="16838" w:orient="portrait"/>
          <w:cols w:equalWidth="0" w:num="1">
            <w:col w:w="11380"/>
          </w:cols>
          <w:pgMar w:left="240" w:top="274" w:right="279" w:bottom="1440" w:gutter="0" w:footer="0" w:header="0"/>
        </w:sectPr>
      </w:pPr>
    </w:p>
    <w:bookmarkStart w:id="276" w:name="page277"/>
    <w:bookmarkEnd w:id="27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Compensation of Directors.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Directors, as such, may receive, pursuant to resolution of the Board of Directors, fixed fees and other compensation for their services as directors, including, without limitation, their services as members of committees of the Board of Directors.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COMMITTEES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Committees of the Board of Directors.</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 Board of Directors may from time to time designate committees of the Board of Directors, with such lawfully delegable powers and duties as it thereby confers, to serve at the pleasure of the Board of Directors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Conduct of Business.</w:t>
      </w:r>
    </w:p>
    <w:p>
      <w:pPr>
        <w:spacing w:after="0" w:line="225"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unless the committee shall consist of one (1) or two (2) members, in which event one</w:t>
      </w:r>
    </w:p>
    <w:p>
      <w:pPr>
        <w:sectPr>
          <w:pgSz w:w="11900" w:h="16838" w:orient="portrait"/>
          <w:cols w:equalWidth="0" w:num="1">
            <w:col w:w="11420"/>
          </w:cols>
          <w:pgMar w:left="240" w:top="274" w:right="239" w:bottom="1440" w:gutter="0" w:footer="0" w:header="0"/>
        </w:sectPr>
      </w:pPr>
    </w:p>
    <w:bookmarkStart w:id="277" w:name="page278"/>
    <w:bookmarkEnd w:id="277"/>
    <w:p>
      <w:pPr>
        <w:ind w:firstLine="8"/>
        <w:spacing w:after="0" w:line="259"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shall constitute a quorum; and all matters shall be determined by a majority vote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in paper form if the minutes are maintained in paper form and shall be in electronic form if the minutes are maintained in electronic form.</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 </w:t>
      </w:r>
      <w:r>
        <w:rPr>
          <w:rFonts w:ascii="Arial" w:cs="Arial" w:eastAsia="Arial" w:hAnsi="Arial"/>
          <w:sz w:val="18"/>
          <w:szCs w:val="18"/>
          <w:u w:val="single" w:color="auto"/>
          <w:color w:val="auto"/>
        </w:rPr>
        <w:t>OFFICERS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Generally.</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officers of the Corporation shall consist of a President, one or more Vice Presidents, a Secretary, a Treasurer and such other officers as may from time to time be appointed by the Board of Directors. Officers shall be elected by the Board of Directors, which shall consider that subject at its first meeting after every annual meeting of stockholders. Each officer shall hold office until his or her successor is elected and qualified or until his or her earlier resignation or removal. Any number of offices may be held by the same person.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President.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President shall be the chief executive officer of the Corporation. Subject to the provisions of these By-laws and to the direction of the Board of Directors, he or she shall have the responsibility for the general management and control of the business and affairs of the Corporation and shall perform all duties and have all powers which are commonly incident to the office of chief executive or which are delegated to him or her by the Board of Directors. He or she shall have power to sign all stock</w:t>
      </w:r>
    </w:p>
    <w:p>
      <w:pPr>
        <w:sectPr>
          <w:pgSz w:w="11900" w:h="16838" w:orient="portrait"/>
          <w:cols w:equalWidth="0" w:num="1">
            <w:col w:w="11320"/>
          </w:cols>
          <w:pgMar w:left="240" w:top="274" w:right="339" w:bottom="1440" w:gutter="0" w:footer="0" w:header="0"/>
        </w:sectPr>
      </w:pPr>
    </w:p>
    <w:bookmarkStart w:id="278" w:name="page279"/>
    <w:bookmarkEnd w:id="278"/>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certificates, contracts and other instruments of the Corporation which are authorized and shall have general supervision and direction of all of the other officers, employees and agents of the Corporation.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Vice President.</w:t>
      </w:r>
    </w:p>
    <w:p>
      <w:pPr>
        <w:spacing w:after="0" w:line="225"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Each Vice President shall have such powers and duties as may be delegated to him or her by the Board of Directors. One (1) Vice President shall be designated by the Board of Directors to perform the duties and exercise the powers of the President in the event of the President’s absence or disability.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Treasurer.</w:t>
      </w:r>
    </w:p>
    <w:p>
      <w:pPr>
        <w:spacing w:after="0" w:line="225"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The Treasurer shall have the responsibility for maintaining the financial records of the Corporation. He or she shall make such disbursements of the funds of the Corporation as are authorized and shall render from time to time an account of all such transactions and of the financial condition of the Corporation. The Treasurer shall also perform such other duties as the Board of Directors may from time to time prescribe.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Secretary.</w:t>
      </w:r>
    </w:p>
    <w:p>
      <w:pPr>
        <w:spacing w:after="0" w:line="225"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w:t>
      </w:r>
    </w:p>
    <w:p>
      <w:pPr>
        <w:sectPr>
          <w:pgSz w:w="11900" w:h="16838" w:orient="portrait"/>
          <w:cols w:equalWidth="0" w:num="1">
            <w:col w:w="11340"/>
          </w:cols>
          <w:pgMar w:left="240" w:top="274" w:right="319" w:bottom="1440" w:gutter="0" w:footer="0" w:header="0"/>
        </w:sectPr>
      </w:pPr>
    </w:p>
    <w:bookmarkStart w:id="279" w:name="page280"/>
    <w:bookmarkEnd w:id="27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Delegation of Authority.</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Board of Directors may from time to time delegate the powers or duties of any officer to any other officers or agents, notwithstanding any provision 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Removal.</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Any officer of the Corporation may be removed at any time, with or without cause, by the Board of Directors.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Action with Respect to Securities of Other Corporations.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Unless otherwise directed by the Board of Directors, the President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 </w:t>
      </w:r>
      <w:r>
        <w:rPr>
          <w:rFonts w:ascii="Arial" w:cs="Arial" w:eastAsia="Arial" w:hAnsi="Arial"/>
          <w:sz w:val="18"/>
          <w:szCs w:val="18"/>
          <w:u w:val="single" w:color="auto"/>
          <w:color w:val="auto"/>
        </w:rPr>
        <w:t>STOCK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of Stock.</w:t>
      </w:r>
    </w:p>
    <w:p>
      <w:pPr>
        <w:spacing w:after="0" w:line="22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Each stockholder shall be entitled to a certificate signed by, or in the name of the Corporation by, the President or a Vice President, and by the Secretary or an Assistant Secretary, or the Treasurer or an Assistant Treasurer, certifying the number of shares owned by him or her. Any or all of the signatures on the certificate may be by facsimile.</w:t>
      </w:r>
    </w:p>
    <w:p>
      <w:pPr>
        <w:sectPr>
          <w:pgSz w:w="11900" w:h="16838" w:orient="portrait"/>
          <w:cols w:equalWidth="0" w:num="1">
            <w:col w:w="11360"/>
          </w:cols>
          <w:pgMar w:left="240" w:top="274" w:right="299" w:bottom="1440" w:gutter="0" w:footer="0" w:header="0"/>
        </w:sectPr>
      </w:pPr>
    </w:p>
    <w:bookmarkStart w:id="280" w:name="page281"/>
    <w:bookmarkEnd w:id="28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 </w:t>
      </w:r>
      <w:r>
        <w:rPr>
          <w:rFonts w:ascii="Arial" w:cs="Arial" w:eastAsia="Arial" w:hAnsi="Arial"/>
          <w:sz w:val="18"/>
          <w:szCs w:val="18"/>
          <w:u w:val="single" w:color="auto"/>
          <w:color w:val="auto"/>
        </w:rPr>
        <w:t>Transfers of Stock.</w:t>
      </w:r>
    </w:p>
    <w:p>
      <w:pPr>
        <w:spacing w:after="0" w:line="225"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Article V of these By-laws, an outstanding certificate for the number of shares involved shall be surrendered for cancellation before a new certificate is issued therefor.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Record Date.</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w:t>
      </w:r>
    </w:p>
    <w:p>
      <w:pPr>
        <w:sectPr>
          <w:pgSz w:w="11900" w:h="16838" w:orient="portrait"/>
          <w:cols w:equalWidth="0" w:num="1">
            <w:col w:w="11360"/>
          </w:cols>
          <w:pgMar w:left="240" w:top="274" w:right="299" w:bottom="1440" w:gutter="0" w:footer="0" w:header="0"/>
        </w:sectPr>
      </w:pPr>
    </w:p>
    <w:bookmarkStart w:id="281" w:name="page282"/>
    <w:bookmarkEnd w:id="281"/>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of stock or for any other purpose, the record date shall be at the close of business on the day on which the Board of Directors adopts a resolution relating hereto.</w:t>
      </w:r>
    </w:p>
    <w:p>
      <w:pPr>
        <w:spacing w:after="0" w:line="170" w:lineRule="exact"/>
        <w:rPr>
          <w:sz w:val="20"/>
          <w:szCs w:val="20"/>
          <w:color w:val="auto"/>
        </w:rPr>
      </w:pPr>
    </w:p>
    <w:p>
      <w:pPr>
        <w:ind w:right="480" w:firstLine="913"/>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order that the Corporation may determine the stockholders entitled to consent to corporate action without a meeting, (including by telegram, cablegram or other electronic transmission as permitted by law), the Board of Directors may fix a record date, which shall not precede the date upon which the resolution fixing the record date is adopted by the Board of Directors, and which record date shall be not more than ten (10) days after the date upon which the resolution fixing the record date is adopted. If no record date has been fixed by the Board of Directors and no prior action by the Board of Directors is required by the Delaware General Corporation Law, the record date shall be the first date on which a consent setting forth the action taken or proposed to be taken is delivered to the Corporation in the manner prescribed by Article I, Section 9 hereof. If no record date has been fixed by the Board of Directors and prior action by the Board of Directors is required by the Delaware General Corporation Law with respect to the proposed action by consent of the stockholders without a meeting, the record date for determining stockholders entitled to consent to corporate action without a meeting shall be at the close of business on the day on which the Board of Directors adopts the resolution taking such prior action.</w:t>
      </w:r>
    </w:p>
    <w:p>
      <w:pPr>
        <w:sectPr>
          <w:pgSz w:w="11900" w:h="16838" w:orient="portrait"/>
          <w:cols w:equalWidth="0" w:num="1">
            <w:col w:w="11420"/>
          </w:cols>
          <w:pgMar w:left="240" w:top="274" w:right="239" w:bottom="1440" w:gutter="0" w:footer="0" w:header="0"/>
        </w:sectPr>
      </w:pPr>
    </w:p>
    <w:bookmarkStart w:id="282" w:name="page283"/>
    <w:bookmarkEnd w:id="282"/>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Lost, Stolen or Destroyed Certificates.</w:t>
      </w:r>
    </w:p>
    <w:p>
      <w:pPr>
        <w:spacing w:after="0" w:line="225"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Regulations.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issue, transfer, conversion and registration of certificates of stock shall be governed by such other regulations as the Board of Directors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establish.</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 </w:t>
      </w:r>
      <w:r>
        <w:rPr>
          <w:rFonts w:ascii="Arial" w:cs="Arial" w:eastAsia="Arial" w:hAnsi="Arial"/>
          <w:sz w:val="18"/>
          <w:szCs w:val="18"/>
          <w:u w:val="single" w:color="auto"/>
          <w:color w:val="auto"/>
        </w:rPr>
        <w:t>NOTICES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Notices.</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mailed, notice to stockholders shall be deemed given when 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Waivers.</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w:t>
      </w:r>
    </w:p>
    <w:p>
      <w:pPr>
        <w:sectPr>
          <w:pgSz w:w="11900" w:h="16838" w:orient="portrait"/>
          <w:cols w:equalWidth="0" w:num="1">
            <w:col w:w="11380"/>
          </w:cols>
          <w:pgMar w:left="240" w:top="274" w:right="27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Facsimile Signatures.</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Corporate Seal.</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Reliance upon Books, Reports and Records.</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ectPr>
          <w:pgSz w:w="11900" w:h="16838" w:orient="portrait"/>
          <w:cols w:equalWidth="0" w:num="1">
            <w:col w:w="11400"/>
          </w:cols>
          <w:pgMar w:left="240" w:top="274" w:right="259" w:bottom="1440" w:gutter="0" w:footer="0" w:header="0"/>
        </w:sectPr>
      </w:pPr>
    </w:p>
    <w:bookmarkStart w:id="284" w:name="page285"/>
    <w:bookmarkEnd w:id="28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Fiscal Year.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fiscal year of the Corporation shall be as fixed by the Board of Directors.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Time Periods.</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97"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 </w:t>
      </w:r>
      <w:r>
        <w:rPr>
          <w:rFonts w:ascii="Arial" w:cs="Arial" w:eastAsia="Arial" w:hAnsi="Arial"/>
          <w:sz w:val="18"/>
          <w:szCs w:val="18"/>
          <w:u w:val="single" w:color="auto"/>
          <w:color w:val="auto"/>
        </w:rPr>
        <w:t>INDEMNIFICATION OF DIRECTORS AND OFFICERS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Right to Indemnification.</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or trustee of another corporation or of a partnership, joint venture, trust or other enterprise, including service with respect to an employee benefit plan (hereinafter an “indemnitee”), whether the basis of such proceeding is alleged action in an official capacity as a director, officer or trustee, or in any other capacity while serving as a director, officer or trustee, shall be indemnified and held harmless by the Corporation to the fullest extent authorized by the Delaware General Corporation Law, as the same exists or may hereafter be amended (but, in the case of any such amendment, only to the extent that such amendment permits the</w:t>
      </w:r>
    </w:p>
    <w:p>
      <w:pPr>
        <w:sectPr>
          <w:pgSz w:w="11900" w:h="16838" w:orient="portrait"/>
          <w:cols w:equalWidth="0" w:num="1">
            <w:col w:w="11400"/>
          </w:cols>
          <w:pgMar w:left="240" w:top="274" w:right="259" w:bottom="1440" w:gutter="0" w:footer="0" w:header="0"/>
        </w:sectPr>
      </w:pPr>
    </w:p>
    <w:bookmarkStart w:id="285" w:name="page286"/>
    <w:bookmarkEnd w:id="285"/>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this ARTICLE VIII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Right to Advancement of Expenses.</w:t>
      </w:r>
    </w:p>
    <w:p>
      <w:pPr>
        <w:spacing w:after="0" w:line="225"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In addition to the right to indemnification conferred in Section 1 of this ARTICLE VIII, an indemnitee shall also have the right to be paid by the Corporation the expenses (including attorney’s fees)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2 or otherwise.</w:t>
      </w:r>
    </w:p>
    <w:p>
      <w:pPr>
        <w:sectPr>
          <w:pgSz w:w="11900" w:h="16838" w:orient="portrait"/>
          <w:cols w:equalWidth="0" w:num="1">
            <w:col w:w="11400"/>
          </w:cols>
          <w:pgMar w:left="240" w:top="274" w:right="259" w:bottom="1440" w:gutter="0" w:footer="0" w:header="0"/>
        </w:sectPr>
      </w:pPr>
    </w:p>
    <w:bookmarkStart w:id="286" w:name="page287"/>
    <w:bookmarkEnd w:id="2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Right of Indemnitee to Bring Suit.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If a claim under Section 1 or 2 of this ARTICLE VIII is not paid in full by the Corporation within sixty (60) days after a written claim has been received by the Corporation, except in the case of a claim for an advancement of expenses, in which case the applicable period shall be twenty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w:t>
      </w:r>
    </w:p>
    <w:p>
      <w:pPr>
        <w:sectPr>
          <w:pgSz w:w="11900" w:h="16838" w:orient="portrait"/>
          <w:cols w:equalWidth="0" w:num="1">
            <w:col w:w="11360"/>
          </w:cols>
          <w:pgMar w:left="240" w:top="274" w:right="299" w:bottom="1440" w:gutter="0" w:footer="0" w:header="0"/>
        </w:sectPr>
      </w:pPr>
    </w:p>
    <w:bookmarkStart w:id="287" w:name="page288"/>
    <w:bookmarkEnd w:id="28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 that the indemnitee has not met such applicable standard of conduct, 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Non-Exclusivity of Rights.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rights to indemnification and to the advancement of expenses conferred in this ARTICLE VIII shall not be exclusive of any other right which any person may have or hereafter acquire under any statute, the Corporation’s Certificate of Incorporation, By-laws, agreement, vote of stockholders or disinterested directors or otherwise.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Insurance.</w:t>
      </w:r>
    </w:p>
    <w:p>
      <w:pPr>
        <w:spacing w:after="0" w:line="225"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 of Employees and Agents of the Corporation.</w:t>
      </w:r>
    </w:p>
    <w:p>
      <w:pPr>
        <w:spacing w:after="0" w:line="225" w:lineRule="exact"/>
        <w:rPr>
          <w:sz w:val="20"/>
          <w:szCs w:val="20"/>
          <w:color w:val="auto"/>
        </w:rPr>
      </w:pPr>
    </w:p>
    <w:p>
      <w:pPr>
        <w:ind w:right="900" w:firstLine="913"/>
        <w:spacing w:after="0" w:line="277" w:lineRule="auto"/>
        <w:rPr>
          <w:sz w:val="20"/>
          <w:szCs w:val="20"/>
          <w:color w:val="auto"/>
        </w:rPr>
      </w:pPr>
      <w:r>
        <w:rPr>
          <w:rFonts w:ascii="Arial" w:cs="Arial" w:eastAsia="Arial" w:hAnsi="Arial"/>
          <w:sz w:val="18"/>
          <w:szCs w:val="18"/>
          <w:color w:val="auto"/>
        </w:rPr>
        <w:t>The Corporation may, to the extent authorized from time to time by the Board of Directors, grant rights to indemnification and to the advancement of expenses</w:t>
      </w:r>
    </w:p>
    <w:p>
      <w:pPr>
        <w:sectPr>
          <w:pgSz w:w="11900" w:h="16838" w:orient="portrait"/>
          <w:cols w:equalWidth="0" w:num="1">
            <w:col w:w="11380"/>
          </w:cols>
          <w:pgMar w:left="240" w:top="274" w:right="279" w:bottom="1440" w:gutter="0" w:footer="0" w:header="0"/>
        </w:sectPr>
      </w:pPr>
    </w:p>
    <w:bookmarkStart w:id="288" w:name="page289"/>
    <w:bookmarkEnd w:id="288"/>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employee or agent of the Corporation to the fullest extent of the provisions of this Article with respect to the indemnification and advancement of expenses of directors and officers of the Corporation.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Nature of Rights.</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rights conferred upon indemnitees in this ARTICLE VIII shall be contract rights and such rights shall continue as to an indemnitee who has ceased to be a director, officer or trustee and shall inure to the benefit of the indemnitee’s heirs, executors and administrators. Any amendment, alteration or repeal of this ARTICLE VIII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 </w:t>
      </w:r>
      <w:r>
        <w:rPr>
          <w:rFonts w:ascii="Arial" w:cs="Arial" w:eastAsia="Arial" w:hAnsi="Arial"/>
          <w:sz w:val="18"/>
          <w:szCs w:val="18"/>
          <w:u w:val="single" w:color="auto"/>
          <w:color w:val="auto"/>
        </w:rPr>
        <w:t>AMENDMENTS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By-laws may be amended or repealed by the Board of Directors at any meeting or by the stockholders at any meeting.</w:t>
      </w:r>
    </w:p>
    <w:p>
      <w:pPr>
        <w:sectPr>
          <w:pgSz w:w="11900" w:h="16838" w:orient="portrait"/>
          <w:cols w:equalWidth="0" w:num="1">
            <w:col w:w="11300"/>
          </w:cols>
          <w:pgMar w:left="240" w:top="274" w:right="35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IS TO CERTIFY:</w:t>
      </w:r>
    </w:p>
    <w:p>
      <w:pPr>
        <w:spacing w:after="0" w:line="225"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That I am the duly elected, qualified and acting Secretary of Syndax Pharmaceuticals, Inc., a Delaware corporation, and that the foregoing By-Laws were adopted as the By-Laws of said Corporation on the 11th day of October, 2005, by the Board of Directors of said Corporation.</w:t>
      </w:r>
    </w:p>
    <w:p>
      <w:pPr>
        <w:spacing w:after="0" w:line="1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J.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J. More</w:t>
      </w:r>
    </w:p>
    <w:p>
      <w:pPr>
        <w:sectPr>
          <w:pgSz w:w="11900" w:h="16838" w:orient="portrait"/>
          <w:cols w:equalWidth="0" w:num="1">
            <w:col w:w="11120"/>
          </w:cols>
          <w:pgMar w:left="240" w:top="274" w:right="5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SYNDAX PHARMACEUTICALS, INC.</w:t>
      </w:r>
    </w:p>
    <w:p>
      <w:pPr>
        <w:spacing w:after="0" w:line="27"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220"/>
          </w:cols>
          <w:pgMar w:left="1440" w:top="121" w:right="239" w:bottom="1440" w:gutter="0" w:footer="0" w:header="0"/>
        </w:sectPr>
      </w:pPr>
    </w:p>
    <w:bookmarkStart w:id="291" w:name="page292"/>
    <w:bookmarkEnd w:id="29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26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8660" w:type="dxa"/>
            <w:vAlign w:val="bottom"/>
            <w:gridSpan w:val="2"/>
          </w:tcPr>
          <w:p>
            <w:pPr>
              <w:spacing w:after="0"/>
              <w:rPr>
                <w:sz w:val="20"/>
                <w:szCs w:val="20"/>
                <w:color w:val="auto"/>
              </w:rPr>
            </w:pPr>
            <w:r>
              <w:rPr>
                <w:rFonts w:ascii="Arial" w:cs="Arial" w:eastAsia="Arial" w:hAnsi="Arial"/>
                <w:sz w:val="18"/>
                <w:szCs w:val="18"/>
                <w:color w:val="auto"/>
              </w:rPr>
              <w:t>SECTION 1 [I</w:t>
            </w:r>
            <w:r>
              <w:rPr>
                <w:rFonts w:ascii="Arial" w:cs="Arial" w:eastAsia="Arial" w:hAnsi="Arial"/>
                <w:sz w:val="15"/>
                <w:szCs w:val="15"/>
                <w:color w:val="auto"/>
              </w:rPr>
              <w:t>NTENTIONALLY</w:t>
            </w:r>
            <w:r>
              <w:rPr>
                <w:rFonts w:ascii="Arial" w:cs="Arial" w:eastAsia="Arial" w:hAnsi="Arial"/>
                <w:sz w:val="18"/>
                <w:szCs w:val="18"/>
                <w:color w:val="auto"/>
              </w:rPr>
              <w:t xml:space="preserve"> O</w:t>
            </w:r>
            <w:r>
              <w:rPr>
                <w:rFonts w:ascii="Arial" w:cs="Arial" w:eastAsia="Arial" w:hAnsi="Arial"/>
                <w:sz w:val="15"/>
                <w:szCs w:val="15"/>
                <w:color w:val="auto"/>
              </w:rPr>
              <w:t>MITTED</w:t>
            </w: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SECTION 2 REGISTRATION RIGHTS; RESTRICTIONS ON TRANSFERABILITY</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w:t>
            </w:r>
          </w:p>
        </w:tc>
        <w:tc>
          <w:tcPr>
            <w:tcW w:w="7820" w:type="dxa"/>
            <w:vAlign w:val="bottom"/>
          </w:tcPr>
          <w:p>
            <w:pPr>
              <w:ind w:left="160"/>
              <w:spacing w:after="0"/>
              <w:rPr>
                <w:sz w:val="20"/>
                <w:szCs w:val="20"/>
                <w:color w:val="auto"/>
              </w:rPr>
            </w:pPr>
            <w:r>
              <w:rPr>
                <w:rFonts w:ascii="Arial" w:cs="Arial" w:eastAsia="Arial" w:hAnsi="Arial"/>
                <w:sz w:val="18"/>
                <w:szCs w:val="18"/>
                <w:color w:val="auto"/>
              </w:rPr>
              <w:t>Certain Definitions.</w:t>
            </w:r>
          </w:p>
        </w:tc>
        <w:tc>
          <w:tcPr>
            <w:tcW w:w="2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2.2</w:t>
            </w:r>
          </w:p>
        </w:tc>
        <w:tc>
          <w:tcPr>
            <w:tcW w:w="7820" w:type="dxa"/>
            <w:vAlign w:val="bottom"/>
          </w:tcPr>
          <w:p>
            <w:pPr>
              <w:ind w:left="160"/>
              <w:spacing w:after="0"/>
              <w:rPr>
                <w:sz w:val="20"/>
                <w:szCs w:val="20"/>
                <w:color w:val="auto"/>
              </w:rPr>
            </w:pPr>
            <w:r>
              <w:rPr>
                <w:rFonts w:ascii="Arial" w:cs="Arial" w:eastAsia="Arial" w:hAnsi="Arial"/>
                <w:sz w:val="18"/>
                <w:szCs w:val="18"/>
                <w:color w:val="auto"/>
              </w:rPr>
              <w:t>Restrictions.</w:t>
            </w:r>
          </w:p>
        </w:tc>
        <w:tc>
          <w:tcPr>
            <w:tcW w:w="2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2.3</w:t>
            </w:r>
          </w:p>
        </w:tc>
        <w:tc>
          <w:tcPr>
            <w:tcW w:w="7820" w:type="dxa"/>
            <w:vAlign w:val="bottom"/>
          </w:tcPr>
          <w:p>
            <w:pPr>
              <w:ind w:left="160"/>
              <w:spacing w:after="0"/>
              <w:rPr>
                <w:sz w:val="20"/>
                <w:szCs w:val="20"/>
                <w:color w:val="auto"/>
              </w:rPr>
            </w:pPr>
            <w:r>
              <w:rPr>
                <w:rFonts w:ascii="Arial" w:cs="Arial" w:eastAsia="Arial" w:hAnsi="Arial"/>
                <w:sz w:val="18"/>
                <w:szCs w:val="18"/>
                <w:color w:val="auto"/>
              </w:rPr>
              <w:t>Restrictive Legend.</w:t>
            </w:r>
          </w:p>
        </w:tc>
        <w:tc>
          <w:tcPr>
            <w:tcW w:w="2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2.4</w:t>
            </w:r>
          </w:p>
        </w:tc>
        <w:tc>
          <w:tcPr>
            <w:tcW w:w="7820" w:type="dxa"/>
            <w:vAlign w:val="bottom"/>
          </w:tcPr>
          <w:p>
            <w:pPr>
              <w:ind w:left="160"/>
              <w:spacing w:after="0"/>
              <w:rPr>
                <w:sz w:val="20"/>
                <w:szCs w:val="20"/>
                <w:color w:val="auto"/>
              </w:rPr>
            </w:pPr>
            <w:r>
              <w:rPr>
                <w:rFonts w:ascii="Arial" w:cs="Arial" w:eastAsia="Arial" w:hAnsi="Arial"/>
                <w:sz w:val="18"/>
                <w:szCs w:val="18"/>
                <w:color w:val="auto"/>
              </w:rPr>
              <w:t>Notice of Proposed Transfers.</w:t>
            </w:r>
          </w:p>
        </w:tc>
        <w:tc>
          <w:tcPr>
            <w:tcW w:w="26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2.5</w:t>
            </w:r>
          </w:p>
        </w:tc>
        <w:tc>
          <w:tcPr>
            <w:tcW w:w="7820" w:type="dxa"/>
            <w:vAlign w:val="bottom"/>
          </w:tcPr>
          <w:p>
            <w:pPr>
              <w:ind w:left="160"/>
              <w:spacing w:after="0"/>
              <w:rPr>
                <w:sz w:val="20"/>
                <w:szCs w:val="20"/>
                <w:color w:val="auto"/>
              </w:rPr>
            </w:pPr>
            <w:r>
              <w:rPr>
                <w:rFonts w:ascii="Arial" w:cs="Arial" w:eastAsia="Arial" w:hAnsi="Arial"/>
                <w:sz w:val="18"/>
                <w:szCs w:val="18"/>
                <w:color w:val="auto"/>
              </w:rPr>
              <w:t>Requested Registration.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2.6</w:t>
            </w:r>
          </w:p>
        </w:tc>
        <w:tc>
          <w:tcPr>
            <w:tcW w:w="7820" w:type="dxa"/>
            <w:vAlign w:val="bottom"/>
          </w:tcPr>
          <w:p>
            <w:pPr>
              <w:ind w:left="160"/>
              <w:spacing w:after="0"/>
              <w:rPr>
                <w:sz w:val="20"/>
                <w:szCs w:val="20"/>
                <w:color w:val="auto"/>
              </w:rPr>
            </w:pPr>
            <w:r>
              <w:rPr>
                <w:rFonts w:ascii="Arial" w:cs="Arial" w:eastAsia="Arial" w:hAnsi="Arial"/>
                <w:sz w:val="18"/>
                <w:szCs w:val="18"/>
                <w:color w:val="auto"/>
              </w:rPr>
              <w:t>Company Registration.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2.7</w:t>
            </w:r>
          </w:p>
        </w:tc>
        <w:tc>
          <w:tcPr>
            <w:tcW w:w="7820" w:type="dxa"/>
            <w:vAlign w:val="bottom"/>
          </w:tcPr>
          <w:p>
            <w:pPr>
              <w:ind w:left="160"/>
              <w:spacing w:after="0"/>
              <w:rPr>
                <w:sz w:val="20"/>
                <w:szCs w:val="20"/>
                <w:color w:val="auto"/>
              </w:rPr>
            </w:pPr>
            <w:r>
              <w:rPr>
                <w:rFonts w:ascii="Arial" w:cs="Arial" w:eastAsia="Arial" w:hAnsi="Arial"/>
                <w:sz w:val="18"/>
                <w:szCs w:val="18"/>
                <w:color w:val="auto"/>
              </w:rPr>
              <w:t>Registration on Form S-3.</w:t>
            </w:r>
          </w:p>
        </w:tc>
        <w:tc>
          <w:tcPr>
            <w:tcW w:w="26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2.8</w:t>
            </w:r>
          </w:p>
        </w:tc>
        <w:tc>
          <w:tcPr>
            <w:tcW w:w="7820" w:type="dxa"/>
            <w:vAlign w:val="bottom"/>
          </w:tcPr>
          <w:p>
            <w:pPr>
              <w:ind w:left="160"/>
              <w:spacing w:after="0"/>
              <w:rPr>
                <w:sz w:val="20"/>
                <w:szCs w:val="20"/>
                <w:color w:val="auto"/>
              </w:rPr>
            </w:pPr>
            <w:r>
              <w:rPr>
                <w:rFonts w:ascii="Arial" w:cs="Arial" w:eastAsia="Arial" w:hAnsi="Arial"/>
                <w:sz w:val="18"/>
                <w:szCs w:val="18"/>
                <w:color w:val="auto"/>
              </w:rPr>
              <w:t>Corporate Transaction.</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2.9</w:t>
            </w:r>
          </w:p>
        </w:tc>
        <w:tc>
          <w:tcPr>
            <w:tcW w:w="7820" w:type="dxa"/>
            <w:vAlign w:val="bottom"/>
          </w:tcPr>
          <w:p>
            <w:pPr>
              <w:ind w:left="160"/>
              <w:spacing w:after="0"/>
              <w:rPr>
                <w:sz w:val="20"/>
                <w:szCs w:val="20"/>
                <w:color w:val="auto"/>
              </w:rPr>
            </w:pPr>
            <w:r>
              <w:rPr>
                <w:rFonts w:ascii="Arial" w:cs="Arial" w:eastAsia="Arial" w:hAnsi="Arial"/>
                <w:sz w:val="18"/>
                <w:szCs w:val="18"/>
                <w:color w:val="auto"/>
              </w:rPr>
              <w:t>Expenses of Registration.</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2.10</w:t>
            </w:r>
          </w:p>
        </w:tc>
        <w:tc>
          <w:tcPr>
            <w:tcW w:w="7820" w:type="dxa"/>
            <w:vAlign w:val="bottom"/>
          </w:tcPr>
          <w:p>
            <w:pPr>
              <w:ind w:left="160"/>
              <w:spacing w:after="0"/>
              <w:rPr>
                <w:sz w:val="20"/>
                <w:szCs w:val="20"/>
                <w:color w:val="auto"/>
              </w:rPr>
            </w:pPr>
            <w:r>
              <w:rPr>
                <w:rFonts w:ascii="Arial" w:cs="Arial" w:eastAsia="Arial" w:hAnsi="Arial"/>
                <w:sz w:val="18"/>
                <w:szCs w:val="18"/>
                <w:color w:val="auto"/>
              </w:rPr>
              <w:t>Registration Procedures.</w:t>
            </w:r>
          </w:p>
        </w:tc>
        <w:tc>
          <w:tcPr>
            <w:tcW w:w="26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2.11</w:t>
            </w:r>
          </w:p>
        </w:tc>
        <w:tc>
          <w:tcPr>
            <w:tcW w:w="78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2.12</w:t>
            </w:r>
          </w:p>
        </w:tc>
        <w:tc>
          <w:tcPr>
            <w:tcW w:w="7820" w:type="dxa"/>
            <w:vAlign w:val="bottom"/>
          </w:tcPr>
          <w:p>
            <w:pPr>
              <w:ind w:left="160"/>
              <w:spacing w:after="0"/>
              <w:rPr>
                <w:sz w:val="20"/>
                <w:szCs w:val="20"/>
                <w:color w:val="auto"/>
              </w:rPr>
            </w:pPr>
            <w:r>
              <w:rPr>
                <w:rFonts w:ascii="Arial" w:cs="Arial" w:eastAsia="Arial" w:hAnsi="Arial"/>
                <w:sz w:val="18"/>
                <w:szCs w:val="18"/>
                <w:color w:val="auto"/>
              </w:rPr>
              <w:t>Information by Holder.</w:t>
            </w:r>
          </w:p>
        </w:tc>
        <w:tc>
          <w:tcPr>
            <w:tcW w:w="2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2.13</w:t>
            </w:r>
          </w:p>
        </w:tc>
        <w:tc>
          <w:tcPr>
            <w:tcW w:w="7820" w:type="dxa"/>
            <w:vAlign w:val="bottom"/>
          </w:tcPr>
          <w:p>
            <w:pPr>
              <w:ind w:left="160"/>
              <w:spacing w:after="0"/>
              <w:rPr>
                <w:sz w:val="20"/>
                <w:szCs w:val="20"/>
                <w:color w:val="auto"/>
              </w:rPr>
            </w:pPr>
            <w:r>
              <w:rPr>
                <w:rFonts w:ascii="Arial" w:cs="Arial" w:eastAsia="Arial" w:hAnsi="Arial"/>
                <w:sz w:val="18"/>
                <w:szCs w:val="18"/>
                <w:color w:val="auto"/>
              </w:rPr>
              <w:t>Rule 144 Reporting.</w:t>
            </w:r>
          </w:p>
        </w:tc>
        <w:tc>
          <w:tcPr>
            <w:tcW w:w="2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2.14</w:t>
            </w:r>
          </w:p>
        </w:tc>
        <w:tc>
          <w:tcPr>
            <w:tcW w:w="7820" w:type="dxa"/>
            <w:vAlign w:val="bottom"/>
          </w:tcPr>
          <w:p>
            <w:pPr>
              <w:ind w:left="160"/>
              <w:spacing w:after="0"/>
              <w:rPr>
                <w:sz w:val="20"/>
                <w:szCs w:val="20"/>
                <w:color w:val="auto"/>
              </w:rPr>
            </w:pPr>
            <w:r>
              <w:rPr>
                <w:rFonts w:ascii="Arial" w:cs="Arial" w:eastAsia="Arial" w:hAnsi="Arial"/>
                <w:sz w:val="18"/>
                <w:szCs w:val="18"/>
                <w:color w:val="auto"/>
              </w:rPr>
              <w:t>Transfer of Registration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2.15</w:t>
            </w:r>
          </w:p>
        </w:tc>
        <w:tc>
          <w:tcPr>
            <w:tcW w:w="7820" w:type="dxa"/>
            <w:vAlign w:val="bottom"/>
          </w:tcPr>
          <w:p>
            <w:pPr>
              <w:ind w:left="160"/>
              <w:spacing w:after="0"/>
              <w:rPr>
                <w:sz w:val="20"/>
                <w:szCs w:val="20"/>
                <w:color w:val="auto"/>
              </w:rPr>
            </w:pPr>
            <w:r>
              <w:rPr>
                <w:rFonts w:ascii="Arial" w:cs="Arial" w:eastAsia="Arial" w:hAnsi="Arial"/>
                <w:sz w:val="18"/>
                <w:szCs w:val="18"/>
                <w:color w:val="auto"/>
              </w:rPr>
              <w:t>Market Stand-off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2.16</w:t>
            </w:r>
          </w:p>
        </w:tc>
        <w:tc>
          <w:tcPr>
            <w:tcW w:w="7820" w:type="dxa"/>
            <w:vAlign w:val="bottom"/>
          </w:tcPr>
          <w:p>
            <w:pPr>
              <w:ind w:left="160"/>
              <w:spacing w:after="0"/>
              <w:rPr>
                <w:sz w:val="20"/>
                <w:szCs w:val="20"/>
                <w:color w:val="auto"/>
              </w:rPr>
            </w:pPr>
            <w:r>
              <w:rPr>
                <w:rFonts w:ascii="Arial" w:cs="Arial" w:eastAsia="Arial" w:hAnsi="Arial"/>
                <w:sz w:val="18"/>
                <w:szCs w:val="18"/>
                <w:color w:val="auto"/>
              </w:rPr>
              <w:t>Termination of Rights.</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SECTION 3 RIGHT OF FIRST OFFER</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3.1</w:t>
            </w:r>
          </w:p>
        </w:tc>
        <w:tc>
          <w:tcPr>
            <w:tcW w:w="7820" w:type="dxa"/>
            <w:vAlign w:val="bottom"/>
          </w:tcPr>
          <w:p>
            <w:pPr>
              <w:ind w:left="160"/>
              <w:spacing w:after="0"/>
              <w:rPr>
                <w:sz w:val="20"/>
                <w:szCs w:val="20"/>
                <w:color w:val="auto"/>
              </w:rPr>
            </w:pPr>
            <w:r>
              <w:rPr>
                <w:rFonts w:ascii="Arial" w:cs="Arial" w:eastAsia="Arial" w:hAnsi="Arial"/>
                <w:sz w:val="18"/>
                <w:szCs w:val="18"/>
                <w:color w:val="auto"/>
              </w:rPr>
              <w:t>Right of First Offer.</w:t>
            </w:r>
          </w:p>
        </w:tc>
        <w:tc>
          <w:tcPr>
            <w:tcW w:w="26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3.2</w:t>
            </w:r>
          </w:p>
        </w:tc>
        <w:tc>
          <w:tcPr>
            <w:tcW w:w="7820" w:type="dxa"/>
            <w:vAlign w:val="bottom"/>
          </w:tcPr>
          <w:p>
            <w:pPr>
              <w:ind w:left="160"/>
              <w:spacing w:after="0"/>
              <w:rPr>
                <w:sz w:val="20"/>
                <w:szCs w:val="20"/>
                <w:color w:val="auto"/>
              </w:rPr>
            </w:pPr>
            <w:r>
              <w:rPr>
                <w:rFonts w:ascii="Arial" w:cs="Arial" w:eastAsia="Arial" w:hAnsi="Arial"/>
                <w:sz w:val="18"/>
                <w:szCs w:val="18"/>
                <w:color w:val="auto"/>
              </w:rPr>
              <w:t>Definition of New Securities.</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3.3</w:t>
            </w:r>
          </w:p>
        </w:tc>
        <w:tc>
          <w:tcPr>
            <w:tcW w:w="7820" w:type="dxa"/>
            <w:vAlign w:val="bottom"/>
          </w:tcPr>
          <w:p>
            <w:pPr>
              <w:ind w:left="160"/>
              <w:spacing w:after="0"/>
              <w:rPr>
                <w:sz w:val="20"/>
                <w:szCs w:val="20"/>
                <w:color w:val="auto"/>
              </w:rPr>
            </w:pPr>
            <w:r>
              <w:rPr>
                <w:rFonts w:ascii="Arial" w:cs="Arial" w:eastAsia="Arial" w:hAnsi="Arial"/>
                <w:sz w:val="18"/>
                <w:szCs w:val="18"/>
                <w:color w:val="auto"/>
              </w:rPr>
              <w:t>Notice of Right.</w:t>
            </w:r>
          </w:p>
        </w:tc>
        <w:tc>
          <w:tcPr>
            <w:tcW w:w="26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3.4</w:t>
            </w:r>
          </w:p>
        </w:tc>
        <w:tc>
          <w:tcPr>
            <w:tcW w:w="7820" w:type="dxa"/>
            <w:vAlign w:val="bottom"/>
          </w:tcPr>
          <w:p>
            <w:pPr>
              <w:ind w:left="160"/>
              <w:spacing w:after="0"/>
              <w:rPr>
                <w:sz w:val="20"/>
                <w:szCs w:val="20"/>
                <w:color w:val="auto"/>
              </w:rPr>
            </w:pPr>
            <w:r>
              <w:rPr>
                <w:rFonts w:ascii="Arial" w:cs="Arial" w:eastAsia="Arial" w:hAnsi="Arial"/>
                <w:sz w:val="18"/>
                <w:szCs w:val="18"/>
                <w:color w:val="auto"/>
              </w:rPr>
              <w:t>Exercise of Right.</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3.5</w:t>
            </w:r>
          </w:p>
        </w:tc>
        <w:tc>
          <w:tcPr>
            <w:tcW w:w="7820" w:type="dxa"/>
            <w:vAlign w:val="bottom"/>
          </w:tcPr>
          <w:p>
            <w:pPr>
              <w:ind w:left="160"/>
              <w:spacing w:after="0"/>
              <w:rPr>
                <w:sz w:val="20"/>
                <w:szCs w:val="20"/>
                <w:color w:val="auto"/>
              </w:rPr>
            </w:pPr>
            <w:r>
              <w:rPr>
                <w:rFonts w:ascii="Arial" w:cs="Arial" w:eastAsia="Arial" w:hAnsi="Arial"/>
                <w:sz w:val="18"/>
                <w:szCs w:val="18"/>
                <w:color w:val="auto"/>
              </w:rPr>
              <w:t>Lapse and Reinstatement of Right.</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3.6</w:t>
            </w:r>
          </w:p>
        </w:tc>
        <w:tc>
          <w:tcPr>
            <w:tcW w:w="7820" w:type="dxa"/>
            <w:vAlign w:val="bottom"/>
          </w:tcPr>
          <w:p>
            <w:pPr>
              <w:ind w:left="160"/>
              <w:spacing w:after="0"/>
              <w:rPr>
                <w:sz w:val="20"/>
                <w:szCs w:val="20"/>
                <w:color w:val="auto"/>
              </w:rPr>
            </w:pPr>
            <w:r>
              <w:rPr>
                <w:rFonts w:ascii="Arial" w:cs="Arial" w:eastAsia="Arial" w:hAnsi="Arial"/>
                <w:sz w:val="18"/>
                <w:szCs w:val="18"/>
                <w:color w:val="auto"/>
              </w:rPr>
              <w:t>Transfer of Right of First Offer.</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3.7</w:t>
            </w:r>
          </w:p>
        </w:tc>
        <w:tc>
          <w:tcPr>
            <w:tcW w:w="7820" w:type="dxa"/>
            <w:vAlign w:val="bottom"/>
          </w:tcPr>
          <w:p>
            <w:pPr>
              <w:ind w:left="160"/>
              <w:spacing w:after="0"/>
              <w:rPr>
                <w:sz w:val="20"/>
                <w:szCs w:val="20"/>
                <w:color w:val="auto"/>
              </w:rPr>
            </w:pPr>
            <w:r>
              <w:rPr>
                <w:rFonts w:ascii="Arial" w:cs="Arial" w:eastAsia="Arial" w:hAnsi="Arial"/>
                <w:sz w:val="18"/>
                <w:szCs w:val="18"/>
                <w:color w:val="auto"/>
              </w:rPr>
              <w:t>Rights of Affiliated Investors.</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3.8</w:t>
            </w:r>
          </w:p>
        </w:tc>
        <w:tc>
          <w:tcPr>
            <w:tcW w:w="7820" w:type="dxa"/>
            <w:vAlign w:val="bottom"/>
          </w:tcPr>
          <w:p>
            <w:pPr>
              <w:ind w:left="160"/>
              <w:spacing w:after="0"/>
              <w:rPr>
                <w:sz w:val="20"/>
                <w:szCs w:val="20"/>
                <w:color w:val="auto"/>
              </w:rPr>
            </w:pPr>
            <w:r>
              <w:rPr>
                <w:rFonts w:ascii="Arial" w:cs="Arial" w:eastAsia="Arial" w:hAnsi="Arial"/>
                <w:sz w:val="18"/>
                <w:szCs w:val="18"/>
                <w:color w:val="auto"/>
              </w:rPr>
              <w:t>Termination of Right of First Offer.</w:t>
            </w:r>
          </w:p>
        </w:tc>
        <w:tc>
          <w:tcPr>
            <w:tcW w:w="26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660" w:type="dxa"/>
            <w:vAlign w:val="bottom"/>
            <w:gridSpan w:val="2"/>
          </w:tcPr>
          <w:p>
            <w:pPr>
              <w:spacing w:after="0"/>
              <w:rPr>
                <w:sz w:val="20"/>
                <w:szCs w:val="20"/>
                <w:color w:val="auto"/>
              </w:rPr>
            </w:pPr>
            <w:r>
              <w:rPr>
                <w:rFonts w:ascii="Arial" w:cs="Arial" w:eastAsia="Arial" w:hAnsi="Arial"/>
                <w:sz w:val="18"/>
                <w:szCs w:val="18"/>
                <w:color w:val="auto"/>
              </w:rPr>
              <w:t>SECTION 4 [I</w:t>
            </w:r>
            <w:r>
              <w:rPr>
                <w:rFonts w:ascii="Arial" w:cs="Arial" w:eastAsia="Arial" w:hAnsi="Arial"/>
                <w:sz w:val="15"/>
                <w:szCs w:val="15"/>
                <w:color w:val="auto"/>
              </w:rPr>
              <w:t>NTENTIONALLY OMITTED</w:t>
            </w:r>
            <w:r>
              <w:rPr>
                <w:rFonts w:ascii="Arial" w:cs="Arial" w:eastAsia="Arial" w:hAnsi="Arial"/>
                <w:sz w:val="18"/>
                <w:szCs w:val="18"/>
                <w:color w:val="auto"/>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660" w:type="dxa"/>
            <w:vAlign w:val="bottom"/>
            <w:gridSpan w:val="2"/>
          </w:tcPr>
          <w:p>
            <w:pPr>
              <w:spacing w:after="0"/>
              <w:rPr>
                <w:sz w:val="20"/>
                <w:szCs w:val="20"/>
                <w:color w:val="auto"/>
              </w:rPr>
            </w:pPr>
            <w:r>
              <w:rPr>
                <w:rFonts w:ascii="Arial" w:cs="Arial" w:eastAsia="Arial" w:hAnsi="Arial"/>
                <w:sz w:val="18"/>
                <w:szCs w:val="18"/>
                <w:color w:val="auto"/>
              </w:rPr>
              <w:t>SECTION 5 AFFIRMATIVE COVENANTS OF THE COMPANY</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w:t>
            </w:r>
          </w:p>
        </w:tc>
        <w:tc>
          <w:tcPr>
            <w:tcW w:w="7820" w:type="dxa"/>
            <w:vAlign w:val="bottom"/>
          </w:tcPr>
          <w:p>
            <w:pPr>
              <w:ind w:left="160"/>
              <w:spacing w:after="0"/>
              <w:rPr>
                <w:sz w:val="20"/>
                <w:szCs w:val="20"/>
                <w:color w:val="auto"/>
              </w:rPr>
            </w:pPr>
            <w:r>
              <w:rPr>
                <w:rFonts w:ascii="Arial" w:cs="Arial" w:eastAsia="Arial" w:hAnsi="Arial"/>
                <w:sz w:val="18"/>
                <w:szCs w:val="18"/>
                <w:color w:val="auto"/>
              </w:rPr>
              <w:t>Financial Information.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5.2</w:t>
            </w:r>
          </w:p>
        </w:tc>
        <w:tc>
          <w:tcPr>
            <w:tcW w:w="7820" w:type="dxa"/>
            <w:vAlign w:val="bottom"/>
          </w:tcPr>
          <w:p>
            <w:pPr>
              <w:ind w:left="160"/>
              <w:spacing w:after="0"/>
              <w:rPr>
                <w:sz w:val="20"/>
                <w:szCs w:val="20"/>
                <w:color w:val="auto"/>
              </w:rPr>
            </w:pPr>
            <w:r>
              <w:rPr>
                <w:rFonts w:ascii="Arial" w:cs="Arial" w:eastAsia="Arial" w:hAnsi="Arial"/>
                <w:sz w:val="18"/>
                <w:szCs w:val="18"/>
                <w:color w:val="auto"/>
              </w:rPr>
              <w:t>Inspection.</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5.3</w:t>
            </w:r>
          </w:p>
        </w:tc>
        <w:tc>
          <w:tcPr>
            <w:tcW w:w="78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26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5.4</w:t>
            </w:r>
          </w:p>
        </w:tc>
        <w:tc>
          <w:tcPr>
            <w:tcW w:w="7820" w:type="dxa"/>
            <w:vAlign w:val="bottom"/>
          </w:tcPr>
          <w:p>
            <w:pPr>
              <w:ind w:left="160"/>
              <w:spacing w:after="0"/>
              <w:rPr>
                <w:sz w:val="20"/>
                <w:szCs w:val="20"/>
                <w:color w:val="auto"/>
              </w:rPr>
            </w:pPr>
            <w:r>
              <w:rPr>
                <w:rFonts w:ascii="Arial" w:cs="Arial" w:eastAsia="Arial" w:hAnsi="Arial"/>
                <w:sz w:val="18"/>
                <w:szCs w:val="18"/>
                <w:color w:val="auto"/>
              </w:rPr>
              <w:t>No Promotion.</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5.5</w:t>
            </w:r>
          </w:p>
        </w:tc>
        <w:tc>
          <w:tcPr>
            <w:tcW w:w="7820" w:type="dxa"/>
            <w:vAlign w:val="bottom"/>
          </w:tcPr>
          <w:p>
            <w:pPr>
              <w:ind w:left="160"/>
              <w:spacing w:after="0"/>
              <w:rPr>
                <w:sz w:val="20"/>
                <w:szCs w:val="20"/>
                <w:color w:val="auto"/>
              </w:rPr>
            </w:pPr>
            <w:r>
              <w:rPr>
                <w:rFonts w:ascii="Arial" w:cs="Arial" w:eastAsia="Arial" w:hAnsi="Arial"/>
                <w:sz w:val="18"/>
                <w:szCs w:val="18"/>
                <w:color w:val="auto"/>
              </w:rPr>
              <w:t>Patent, Copyright and Nondisclosure Agreements.</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5.6</w:t>
            </w:r>
          </w:p>
        </w:tc>
        <w:tc>
          <w:tcPr>
            <w:tcW w:w="7820" w:type="dxa"/>
            <w:vAlign w:val="bottom"/>
          </w:tcPr>
          <w:p>
            <w:pPr>
              <w:ind w:left="160"/>
              <w:spacing w:after="0"/>
              <w:rPr>
                <w:sz w:val="20"/>
                <w:szCs w:val="20"/>
                <w:color w:val="auto"/>
              </w:rPr>
            </w:pPr>
            <w:r>
              <w:rPr>
                <w:rFonts w:ascii="Arial" w:cs="Arial" w:eastAsia="Arial" w:hAnsi="Arial"/>
                <w:sz w:val="18"/>
                <w:szCs w:val="18"/>
                <w:color w:val="auto"/>
              </w:rPr>
              <w:t>Stock Vesting.</w:t>
            </w:r>
          </w:p>
        </w:tc>
        <w:tc>
          <w:tcPr>
            <w:tcW w:w="2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5.7</w:t>
            </w:r>
          </w:p>
        </w:tc>
        <w:tc>
          <w:tcPr>
            <w:tcW w:w="7820" w:type="dxa"/>
            <w:vAlign w:val="bottom"/>
          </w:tcPr>
          <w:p>
            <w:pPr>
              <w:ind w:left="160"/>
              <w:spacing w:after="0"/>
              <w:rPr>
                <w:sz w:val="20"/>
                <w:szCs w:val="20"/>
                <w:color w:val="auto"/>
              </w:rPr>
            </w:pPr>
            <w:r>
              <w:rPr>
                <w:rFonts w:ascii="Arial" w:cs="Arial" w:eastAsia="Arial" w:hAnsi="Arial"/>
                <w:sz w:val="18"/>
                <w:szCs w:val="18"/>
                <w:color w:val="auto"/>
              </w:rPr>
              <w:t>Insurance.</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5.8</w:t>
            </w:r>
          </w:p>
        </w:tc>
        <w:tc>
          <w:tcPr>
            <w:tcW w:w="7820" w:type="dxa"/>
            <w:vAlign w:val="bottom"/>
          </w:tcPr>
          <w:p>
            <w:pPr>
              <w:ind w:left="160"/>
              <w:spacing w:after="0"/>
              <w:rPr>
                <w:sz w:val="20"/>
                <w:szCs w:val="20"/>
                <w:color w:val="auto"/>
              </w:rPr>
            </w:pPr>
            <w:r>
              <w:rPr>
                <w:rFonts w:ascii="Arial" w:cs="Arial" w:eastAsia="Arial" w:hAnsi="Arial"/>
                <w:sz w:val="18"/>
                <w:szCs w:val="18"/>
                <w:color w:val="auto"/>
              </w:rPr>
              <w:t>Annual Budget.</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5.9</w:t>
            </w:r>
          </w:p>
        </w:tc>
        <w:tc>
          <w:tcPr>
            <w:tcW w:w="7820" w:type="dxa"/>
            <w:vAlign w:val="bottom"/>
          </w:tcPr>
          <w:p>
            <w:pPr>
              <w:ind w:left="160"/>
              <w:spacing w:after="0"/>
              <w:rPr>
                <w:sz w:val="20"/>
                <w:szCs w:val="20"/>
                <w:color w:val="auto"/>
              </w:rPr>
            </w:pPr>
            <w:r>
              <w:rPr>
                <w:rFonts w:ascii="Arial" w:cs="Arial" w:eastAsia="Arial" w:hAnsi="Arial"/>
                <w:sz w:val="18"/>
                <w:szCs w:val="18"/>
                <w:color w:val="auto"/>
              </w:rPr>
              <w:t>Board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5.10</w:t>
            </w:r>
          </w:p>
        </w:tc>
        <w:tc>
          <w:tcPr>
            <w:tcW w:w="7820" w:type="dxa"/>
            <w:vAlign w:val="bottom"/>
          </w:tcPr>
          <w:p>
            <w:pPr>
              <w:ind w:left="160"/>
              <w:spacing w:after="0"/>
              <w:rPr>
                <w:sz w:val="20"/>
                <w:szCs w:val="20"/>
                <w:color w:val="auto"/>
              </w:rPr>
            </w:pPr>
            <w:r>
              <w:rPr>
                <w:rFonts w:ascii="Arial" w:cs="Arial" w:eastAsia="Arial" w:hAnsi="Arial"/>
                <w:sz w:val="18"/>
                <w:szCs w:val="18"/>
                <w:color w:val="auto"/>
              </w:rPr>
              <w:t>Management Compensation.</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5.11</w:t>
            </w:r>
          </w:p>
        </w:tc>
        <w:tc>
          <w:tcPr>
            <w:tcW w:w="7820" w:type="dxa"/>
            <w:vAlign w:val="bottom"/>
          </w:tcPr>
          <w:p>
            <w:pPr>
              <w:ind w:left="160"/>
              <w:spacing w:after="0"/>
              <w:rPr>
                <w:sz w:val="20"/>
                <w:szCs w:val="20"/>
                <w:color w:val="auto"/>
              </w:rPr>
            </w:pPr>
            <w:r>
              <w:rPr>
                <w:rFonts w:ascii="Arial" w:cs="Arial" w:eastAsia="Arial" w:hAnsi="Arial"/>
                <w:sz w:val="18"/>
                <w:szCs w:val="18"/>
                <w:color w:val="auto"/>
              </w:rPr>
              <w:t>Compliance with Laws.</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5.12</w:t>
            </w:r>
          </w:p>
        </w:tc>
        <w:tc>
          <w:tcPr>
            <w:tcW w:w="7820" w:type="dxa"/>
            <w:vAlign w:val="bottom"/>
          </w:tcPr>
          <w:p>
            <w:pPr>
              <w:ind w:left="160"/>
              <w:spacing w:after="0"/>
              <w:rPr>
                <w:sz w:val="20"/>
                <w:szCs w:val="20"/>
                <w:color w:val="auto"/>
              </w:rPr>
            </w:pPr>
            <w:r>
              <w:rPr>
                <w:rFonts w:ascii="Arial" w:cs="Arial" w:eastAsia="Arial" w:hAnsi="Arial"/>
                <w:sz w:val="18"/>
                <w:szCs w:val="18"/>
                <w:color w:val="auto"/>
              </w:rPr>
              <w:t>Payment of Taxes.</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5.13</w:t>
            </w:r>
          </w:p>
        </w:tc>
        <w:tc>
          <w:tcPr>
            <w:tcW w:w="7820" w:type="dxa"/>
            <w:vAlign w:val="bottom"/>
          </w:tcPr>
          <w:p>
            <w:pPr>
              <w:ind w:left="160"/>
              <w:spacing w:after="0"/>
              <w:rPr>
                <w:sz w:val="20"/>
                <w:szCs w:val="20"/>
                <w:color w:val="auto"/>
              </w:rPr>
            </w:pPr>
            <w:r>
              <w:rPr>
                <w:rFonts w:ascii="Arial" w:cs="Arial" w:eastAsia="Arial" w:hAnsi="Arial"/>
                <w:sz w:val="18"/>
                <w:szCs w:val="18"/>
                <w:color w:val="auto"/>
              </w:rPr>
              <w:t>Financings.</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5.14</w:t>
            </w:r>
          </w:p>
        </w:tc>
        <w:tc>
          <w:tcPr>
            <w:tcW w:w="7820" w:type="dxa"/>
            <w:vAlign w:val="bottom"/>
          </w:tcPr>
          <w:p>
            <w:pPr>
              <w:ind w:left="160"/>
              <w:spacing w:after="0"/>
              <w:rPr>
                <w:sz w:val="20"/>
                <w:szCs w:val="20"/>
                <w:color w:val="auto"/>
              </w:rPr>
            </w:pPr>
            <w:r>
              <w:rPr>
                <w:rFonts w:ascii="Arial" w:cs="Arial" w:eastAsia="Arial" w:hAnsi="Arial"/>
                <w:sz w:val="18"/>
                <w:szCs w:val="18"/>
                <w:color w:val="auto"/>
              </w:rPr>
              <w:t>Fourth Amended and Restated Voting Agreement.</w:t>
            </w:r>
          </w:p>
        </w:tc>
        <w:tc>
          <w:tcPr>
            <w:tcW w:w="2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5.15</w:t>
            </w:r>
          </w:p>
        </w:tc>
        <w:tc>
          <w:tcPr>
            <w:tcW w:w="7820" w:type="dxa"/>
            <w:vAlign w:val="bottom"/>
          </w:tcPr>
          <w:p>
            <w:pPr>
              <w:ind w:left="160"/>
              <w:spacing w:after="0"/>
              <w:rPr>
                <w:sz w:val="20"/>
                <w:szCs w:val="20"/>
                <w:color w:val="auto"/>
              </w:rPr>
            </w:pPr>
            <w:r>
              <w:rPr>
                <w:rFonts w:ascii="Arial" w:cs="Arial" w:eastAsia="Arial" w:hAnsi="Arial"/>
                <w:sz w:val="18"/>
                <w:szCs w:val="18"/>
                <w:color w:val="auto"/>
              </w:rPr>
              <w:t>Indemnification Matters.</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5.16</w:t>
            </w:r>
          </w:p>
        </w:tc>
        <w:tc>
          <w:tcPr>
            <w:tcW w:w="7820" w:type="dxa"/>
            <w:vAlign w:val="bottom"/>
          </w:tcPr>
          <w:p>
            <w:pPr>
              <w:ind w:left="160"/>
              <w:spacing w:after="0"/>
              <w:rPr>
                <w:sz w:val="20"/>
                <w:szCs w:val="20"/>
                <w:color w:val="auto"/>
              </w:rPr>
            </w:pPr>
            <w:r>
              <w:rPr>
                <w:rFonts w:ascii="Arial" w:cs="Arial" w:eastAsia="Arial" w:hAnsi="Arial"/>
                <w:sz w:val="18"/>
                <w:szCs w:val="18"/>
                <w:color w:val="auto"/>
              </w:rPr>
              <w:t>Right to Conduct Activities.</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5.17</w:t>
            </w:r>
          </w:p>
        </w:tc>
        <w:tc>
          <w:tcPr>
            <w:tcW w:w="7820" w:type="dxa"/>
            <w:vAlign w:val="bottom"/>
          </w:tcPr>
          <w:p>
            <w:pPr>
              <w:ind w:left="160"/>
              <w:spacing w:after="0"/>
              <w:rPr>
                <w:sz w:val="20"/>
                <w:szCs w:val="20"/>
                <w:color w:val="auto"/>
              </w:rPr>
            </w:pPr>
            <w:r>
              <w:rPr>
                <w:rFonts w:ascii="Arial" w:cs="Arial" w:eastAsia="Arial" w:hAnsi="Arial"/>
                <w:sz w:val="18"/>
                <w:szCs w:val="18"/>
                <w:color w:val="auto"/>
              </w:rPr>
              <w:t>Successor Indemnification.</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5.18</w:t>
            </w:r>
          </w:p>
        </w:tc>
        <w:tc>
          <w:tcPr>
            <w:tcW w:w="7820" w:type="dxa"/>
            <w:vAlign w:val="bottom"/>
          </w:tcPr>
          <w:p>
            <w:pPr>
              <w:ind w:left="160"/>
              <w:spacing w:after="0"/>
              <w:rPr>
                <w:sz w:val="20"/>
                <w:szCs w:val="20"/>
                <w:color w:val="auto"/>
              </w:rPr>
            </w:pPr>
            <w:r>
              <w:rPr>
                <w:rFonts w:ascii="Arial" w:cs="Arial" w:eastAsia="Arial" w:hAnsi="Arial"/>
                <w:sz w:val="18"/>
                <w:szCs w:val="18"/>
                <w:color w:val="auto"/>
              </w:rPr>
              <w:t>Prime Preferred Stock Protective Provisions.</w:t>
            </w:r>
          </w:p>
        </w:tc>
        <w:tc>
          <w:tcPr>
            <w:tcW w:w="26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40" w:type="dxa"/>
            <w:vAlign w:val="bottom"/>
          </w:tcPr>
          <w:p>
            <w:pPr>
              <w:ind w:left="360"/>
              <w:spacing w:after="0"/>
              <w:rPr>
                <w:sz w:val="20"/>
                <w:szCs w:val="20"/>
                <w:color w:val="auto"/>
              </w:rPr>
            </w:pPr>
            <w:r>
              <w:rPr>
                <w:rFonts w:ascii="Arial" w:cs="Arial" w:eastAsia="Arial" w:hAnsi="Arial"/>
                <w:sz w:val="18"/>
                <w:szCs w:val="18"/>
                <w:color w:val="auto"/>
              </w:rPr>
              <w:t>5.19</w:t>
            </w:r>
          </w:p>
        </w:tc>
        <w:tc>
          <w:tcPr>
            <w:tcW w:w="7820" w:type="dxa"/>
            <w:vAlign w:val="bottom"/>
          </w:tcPr>
          <w:p>
            <w:pPr>
              <w:ind w:left="160"/>
              <w:spacing w:after="0"/>
              <w:rPr>
                <w:sz w:val="20"/>
                <w:szCs w:val="20"/>
                <w:color w:val="auto"/>
              </w:rPr>
            </w:pPr>
            <w:r>
              <w:rPr>
                <w:rFonts w:ascii="Arial" w:cs="Arial" w:eastAsia="Arial" w:hAnsi="Arial"/>
                <w:sz w:val="18"/>
                <w:szCs w:val="18"/>
                <w:color w:val="auto"/>
              </w:rPr>
              <w:t>Employee Stock Option Grants.</w:t>
            </w:r>
          </w:p>
        </w:tc>
        <w:tc>
          <w:tcPr>
            <w:tcW w:w="26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40" w:type="dxa"/>
            <w:vAlign w:val="bottom"/>
          </w:tcPr>
          <w:p>
            <w:pPr>
              <w:ind w:left="360"/>
              <w:spacing w:after="0"/>
              <w:rPr>
                <w:sz w:val="20"/>
                <w:szCs w:val="20"/>
                <w:color w:val="auto"/>
              </w:rPr>
            </w:pPr>
            <w:r>
              <w:rPr>
                <w:rFonts w:ascii="Arial" w:cs="Arial" w:eastAsia="Arial" w:hAnsi="Arial"/>
                <w:sz w:val="18"/>
                <w:szCs w:val="18"/>
                <w:color w:val="auto"/>
              </w:rPr>
              <w:t>5.20</w:t>
            </w:r>
          </w:p>
        </w:tc>
        <w:tc>
          <w:tcPr>
            <w:tcW w:w="7820" w:type="dxa"/>
            <w:vAlign w:val="bottom"/>
          </w:tcPr>
          <w:p>
            <w:pPr>
              <w:ind w:left="160"/>
              <w:spacing w:after="0"/>
              <w:rPr>
                <w:sz w:val="20"/>
                <w:szCs w:val="20"/>
                <w:color w:val="auto"/>
              </w:rPr>
            </w:pPr>
            <w:r>
              <w:rPr>
                <w:rFonts w:ascii="Arial" w:cs="Arial" w:eastAsia="Arial" w:hAnsi="Arial"/>
                <w:sz w:val="18"/>
                <w:szCs w:val="18"/>
                <w:color w:val="auto"/>
              </w:rPr>
              <w:t>Termination of Covenants.</w:t>
            </w:r>
          </w:p>
        </w:tc>
        <w:tc>
          <w:tcPr>
            <w:tcW w:w="266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70" w:right="339" w:bottom="1440" w:gutter="0" w:footer="0" w:header="0"/>
        </w:sectPr>
      </w:pPr>
    </w:p>
    <w:bookmarkStart w:id="292" w:name="page293"/>
    <w:bookmarkEnd w:id="292"/>
    <w:tbl>
      <w:tblPr>
        <w:tblLayout w:type="fixed"/>
        <w:tblInd w:w="0" w:type="dxa"/>
        <w:tblCellMar>
          <w:top w:w="0" w:type="dxa"/>
          <w:left w:w="0" w:type="dxa"/>
          <w:bottom w:w="0" w:type="dxa"/>
          <w:right w:w="0" w:type="dxa"/>
        </w:tblCellMar>
      </w:tblP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SECTION 6 MISCELLANEOUS</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w:t>
            </w:r>
          </w:p>
        </w:tc>
        <w:tc>
          <w:tcPr>
            <w:tcW w:w="6120" w:type="dxa"/>
            <w:vAlign w:val="bottom"/>
          </w:tcPr>
          <w:p>
            <w:pPr>
              <w:ind w:left="100"/>
              <w:spacing w:after="0"/>
              <w:rPr>
                <w:sz w:val="20"/>
                <w:szCs w:val="20"/>
                <w:color w:val="auto"/>
              </w:rPr>
            </w:pPr>
            <w:r>
              <w:rPr>
                <w:rFonts w:ascii="Arial" w:cs="Arial" w:eastAsia="Arial" w:hAnsi="Arial"/>
                <w:sz w:val="18"/>
                <w:szCs w:val="18"/>
                <w:color w:val="auto"/>
              </w:rPr>
              <w:t>Successors and Assigns.</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6.2</w:t>
            </w:r>
          </w:p>
        </w:tc>
        <w:tc>
          <w:tcPr>
            <w:tcW w:w="6120" w:type="dxa"/>
            <w:vAlign w:val="bottom"/>
          </w:tcPr>
          <w:p>
            <w:pPr>
              <w:ind w:left="100"/>
              <w:spacing w:after="0"/>
              <w:rPr>
                <w:sz w:val="20"/>
                <w:szCs w:val="20"/>
                <w:color w:val="auto"/>
              </w:rPr>
            </w:pPr>
            <w:r>
              <w:rPr>
                <w:rFonts w:ascii="Arial" w:cs="Arial" w:eastAsia="Arial" w:hAnsi="Arial"/>
                <w:sz w:val="18"/>
                <w:szCs w:val="18"/>
                <w:color w:val="auto"/>
              </w:rPr>
              <w:t>Third Parties.</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6.3</w:t>
            </w:r>
          </w:p>
        </w:tc>
        <w:tc>
          <w:tcPr>
            <w:tcW w:w="612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6.4</w:t>
            </w:r>
          </w:p>
        </w:tc>
        <w:tc>
          <w:tcPr>
            <w:tcW w:w="612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6.5</w:t>
            </w:r>
          </w:p>
        </w:tc>
        <w:tc>
          <w:tcPr>
            <w:tcW w:w="6120" w:type="dxa"/>
            <w:vAlign w:val="bottom"/>
          </w:tcPr>
          <w:p>
            <w:pPr>
              <w:ind w:left="100"/>
              <w:spacing w:after="0"/>
              <w:rPr>
                <w:sz w:val="20"/>
                <w:szCs w:val="20"/>
                <w:color w:val="auto"/>
              </w:rPr>
            </w:pPr>
            <w:r>
              <w:rPr>
                <w:rFonts w:ascii="Arial" w:cs="Arial" w:eastAsia="Arial" w:hAnsi="Arial"/>
                <w:sz w:val="18"/>
                <w:szCs w:val="18"/>
                <w:color w:val="auto"/>
              </w:rPr>
              <w:t>Notices.</w:t>
            </w:r>
          </w:p>
        </w:tc>
        <w:tc>
          <w:tcPr>
            <w:tcW w:w="4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6.6</w:t>
            </w:r>
          </w:p>
        </w:tc>
        <w:tc>
          <w:tcPr>
            <w:tcW w:w="612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6.7</w:t>
            </w:r>
          </w:p>
        </w:tc>
        <w:tc>
          <w:tcPr>
            <w:tcW w:w="6120" w:type="dxa"/>
            <w:vAlign w:val="bottom"/>
          </w:tcPr>
          <w:p>
            <w:pPr>
              <w:ind w:left="100"/>
              <w:spacing w:after="0"/>
              <w:rPr>
                <w:sz w:val="20"/>
                <w:szCs w:val="20"/>
                <w:color w:val="auto"/>
              </w:rPr>
            </w:pPr>
            <w:r>
              <w:rPr>
                <w:rFonts w:ascii="Arial" w:cs="Arial" w:eastAsia="Arial" w:hAnsi="Arial"/>
                <w:sz w:val="18"/>
                <w:szCs w:val="18"/>
                <w:color w:val="auto"/>
              </w:rPr>
              <w:t>Amendment and Waiver.</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6.8</w:t>
            </w:r>
          </w:p>
        </w:tc>
        <w:tc>
          <w:tcPr>
            <w:tcW w:w="6120" w:type="dxa"/>
            <w:vAlign w:val="bottom"/>
          </w:tcPr>
          <w:p>
            <w:pPr>
              <w:ind w:left="100"/>
              <w:spacing w:after="0"/>
              <w:rPr>
                <w:sz w:val="20"/>
                <w:szCs w:val="20"/>
                <w:color w:val="auto"/>
              </w:rPr>
            </w:pPr>
            <w:r>
              <w:rPr>
                <w:rFonts w:ascii="Arial" w:cs="Arial" w:eastAsia="Arial" w:hAnsi="Arial"/>
                <w:sz w:val="18"/>
                <w:szCs w:val="18"/>
                <w:color w:val="auto"/>
              </w:rPr>
              <w:t>Rights of Holders.</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6.9</w:t>
            </w:r>
          </w:p>
        </w:tc>
        <w:tc>
          <w:tcPr>
            <w:tcW w:w="6120" w:type="dxa"/>
            <w:vAlign w:val="bottom"/>
          </w:tcPr>
          <w:p>
            <w:pPr>
              <w:ind w:left="100"/>
              <w:spacing w:after="0"/>
              <w:rPr>
                <w:sz w:val="20"/>
                <w:szCs w:val="20"/>
                <w:color w:val="auto"/>
              </w:rPr>
            </w:pPr>
            <w:r>
              <w:rPr>
                <w:rFonts w:ascii="Arial" w:cs="Arial" w:eastAsia="Arial" w:hAnsi="Arial"/>
                <w:sz w:val="18"/>
                <w:szCs w:val="18"/>
                <w:color w:val="auto"/>
              </w:rPr>
              <w:t>Delays or Omissions.</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6.10</w:t>
            </w:r>
          </w:p>
        </w:tc>
        <w:tc>
          <w:tcPr>
            <w:tcW w:w="6120" w:type="dxa"/>
            <w:vAlign w:val="bottom"/>
          </w:tcPr>
          <w:p>
            <w:pPr>
              <w:ind w:left="100"/>
              <w:spacing w:after="0"/>
              <w:rPr>
                <w:sz w:val="20"/>
                <w:szCs w:val="20"/>
                <w:color w:val="auto"/>
              </w:rPr>
            </w:pPr>
            <w:r>
              <w:rPr>
                <w:rFonts w:ascii="Arial" w:cs="Arial" w:eastAsia="Arial" w:hAnsi="Arial"/>
                <w:sz w:val="18"/>
                <w:szCs w:val="18"/>
                <w:color w:val="auto"/>
              </w:rPr>
              <w:t>Attorneys’ Fees.</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6.11</w:t>
            </w:r>
          </w:p>
        </w:tc>
        <w:tc>
          <w:tcPr>
            <w:tcW w:w="6120" w:type="dxa"/>
            <w:vAlign w:val="bottom"/>
          </w:tcPr>
          <w:p>
            <w:pPr>
              <w:ind w:left="100"/>
              <w:spacing w:after="0"/>
              <w:rPr>
                <w:sz w:val="20"/>
                <w:szCs w:val="20"/>
                <w:color w:val="auto"/>
              </w:rPr>
            </w:pPr>
            <w:r>
              <w:rPr>
                <w:rFonts w:ascii="Arial" w:cs="Arial" w:eastAsia="Arial" w:hAnsi="Arial"/>
                <w:sz w:val="18"/>
                <w:szCs w:val="18"/>
                <w:color w:val="auto"/>
              </w:rPr>
              <w:t>Headings.</w:t>
            </w:r>
          </w:p>
        </w:tc>
        <w:tc>
          <w:tcPr>
            <w:tcW w:w="4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6.12</w:t>
            </w:r>
          </w:p>
        </w:tc>
        <w:tc>
          <w:tcPr>
            <w:tcW w:w="612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4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00" w:type="dxa"/>
            <w:vAlign w:val="bottom"/>
          </w:tcPr>
          <w:p>
            <w:pPr>
              <w:ind w:left="360"/>
              <w:spacing w:after="0"/>
              <w:rPr>
                <w:sz w:val="20"/>
                <w:szCs w:val="20"/>
                <w:color w:val="auto"/>
              </w:rPr>
            </w:pPr>
            <w:r>
              <w:rPr>
                <w:rFonts w:ascii="Arial" w:cs="Arial" w:eastAsia="Arial" w:hAnsi="Arial"/>
                <w:sz w:val="18"/>
                <w:szCs w:val="18"/>
                <w:color w:val="auto"/>
              </w:rPr>
              <w:t>6.13</w:t>
            </w:r>
          </w:p>
        </w:tc>
        <w:tc>
          <w:tcPr>
            <w:tcW w:w="612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4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00" w:type="dxa"/>
            <w:vAlign w:val="bottom"/>
          </w:tcPr>
          <w:p>
            <w:pPr>
              <w:ind w:left="360"/>
              <w:spacing w:after="0"/>
              <w:rPr>
                <w:sz w:val="20"/>
                <w:szCs w:val="20"/>
                <w:color w:val="auto"/>
              </w:rPr>
            </w:pPr>
            <w:r>
              <w:rPr>
                <w:rFonts w:ascii="Arial" w:cs="Arial" w:eastAsia="Arial" w:hAnsi="Arial"/>
                <w:sz w:val="18"/>
                <w:szCs w:val="18"/>
                <w:color w:val="auto"/>
              </w:rPr>
              <w:t>6.14</w:t>
            </w:r>
          </w:p>
        </w:tc>
        <w:tc>
          <w:tcPr>
            <w:tcW w:w="6120" w:type="dxa"/>
            <w:vAlign w:val="bottom"/>
          </w:tcPr>
          <w:p>
            <w:pPr>
              <w:ind w:left="100"/>
              <w:spacing w:after="0"/>
              <w:rPr>
                <w:sz w:val="20"/>
                <w:szCs w:val="20"/>
                <w:color w:val="auto"/>
              </w:rPr>
            </w:pPr>
            <w:r>
              <w:rPr>
                <w:rFonts w:ascii="Arial" w:cs="Arial" w:eastAsia="Arial" w:hAnsi="Arial"/>
                <w:sz w:val="18"/>
                <w:szCs w:val="18"/>
                <w:color w:val="auto"/>
              </w:rPr>
              <w:t>Aggregation of Stock.</w:t>
            </w:r>
          </w:p>
        </w:tc>
        <w:tc>
          <w:tcPr>
            <w:tcW w:w="44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4" w:right="339" w:bottom="1440" w:gutter="0" w:footer="0" w:header="0"/>
        </w:sectPr>
      </w:pPr>
    </w:p>
    <w:bookmarkStart w:id="293" w:name="page294"/>
    <w:bookmarkEnd w:id="29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AMENDED AND RESTATED INVESTORS’ RIGHTS AGREEMENT</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THIS THIRD AMENDED AND RESTATED INVESTORS’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effective as of August 21, 2015 pursuant to the amendment provisions of Subsection 7.7 of that certain Second Amended and Restated Investors’ Rights Agreement dated June 1, 2015 (the “</w:t>
      </w:r>
      <w:r>
        <w:rPr>
          <w:rFonts w:ascii="Arial" w:cs="Arial" w:eastAsia="Arial" w:hAnsi="Arial"/>
          <w:sz w:val="17"/>
          <w:szCs w:val="17"/>
          <w:u w:val="single" w:color="auto"/>
          <w:color w:val="auto"/>
        </w:rPr>
        <w:t>Prior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by and among Syndax Pharmaceuticals,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the investors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(each individually,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the “Investors”), Eckard Weber Living Trust UTA, Ronald Evans, Ph.D., Peter Ordentlich, Ph.D., Michael Downes, Ph.D. and Richard Heyman, Ph.D. (each individually, a “</w:t>
      </w:r>
      <w:r>
        <w:rPr>
          <w:rFonts w:ascii="Arial" w:cs="Arial" w:eastAsia="Arial" w:hAnsi="Arial"/>
          <w:sz w:val="17"/>
          <w:szCs w:val="17"/>
          <w:u w:val="single" w:color="auto"/>
          <w:color w:val="auto"/>
        </w:rPr>
        <w:t>Stockholder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Stockholders</w:t>
      </w:r>
      <w:r>
        <w:rPr>
          <w:rFonts w:ascii="Arial" w:cs="Arial" w:eastAsia="Arial" w:hAnsi="Arial"/>
          <w:sz w:val="17"/>
          <w:szCs w:val="17"/>
          <w:color w:val="auto"/>
        </w:rPr>
        <w:t>”) and Bayer Pharma AG (formerly known as Bayer Schering Pharma AG), a corporation organized under the laws of the Federal Republic of Germany (“</w:t>
      </w:r>
      <w:r>
        <w:rPr>
          <w:rFonts w:ascii="Arial" w:cs="Arial" w:eastAsia="Arial" w:hAnsi="Arial"/>
          <w:sz w:val="17"/>
          <w:szCs w:val="17"/>
          <w:u w:val="single" w:color="auto"/>
          <w:color w:val="auto"/>
        </w:rPr>
        <w:t>Bayer</w:t>
      </w:r>
      <w:r>
        <w:rPr>
          <w:rFonts w:ascii="Arial" w:cs="Arial" w:eastAsia="Arial" w:hAnsi="Arial"/>
          <w:sz w:val="17"/>
          <w:szCs w:val="17"/>
          <w:color w:val="auto"/>
        </w:rPr>
        <w:t xml:space="preserve">”), and with regard to Bayer, only with respect </w:t>
      </w:r>
      <w:r>
        <w:rPr>
          <w:rFonts w:ascii="Arial" w:cs="Arial" w:eastAsia="Arial" w:hAnsi="Arial"/>
          <w:sz w:val="17"/>
          <w:szCs w:val="17"/>
          <w:u w:val="single" w:color="auto"/>
          <w:color w:val="auto"/>
        </w:rPr>
        <w:t>to</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2.7</w:t>
      </w:r>
      <w:r>
        <w:rPr>
          <w:rFonts w:ascii="Arial" w:cs="Arial" w:eastAsia="Arial" w:hAnsi="Arial"/>
          <w:sz w:val="17"/>
          <w:szCs w:val="17"/>
          <w:color w:val="auto"/>
        </w:rPr>
        <w:t xml:space="preserve"> and any other provisions of this Agreement applicable thereto.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WHEREAS, certain Investors are purchasing shares of Series C-1 Preferred Stock of the Company (the “</w:t>
      </w:r>
      <w:r>
        <w:rPr>
          <w:rFonts w:ascii="Arial" w:cs="Arial" w:eastAsia="Arial" w:hAnsi="Arial"/>
          <w:sz w:val="18"/>
          <w:szCs w:val="18"/>
          <w:u w:val="single" w:color="auto"/>
          <w:color w:val="auto"/>
        </w:rPr>
        <w:t>Series C-1 Preferred Stock</w:t>
      </w:r>
      <w:r>
        <w:rPr>
          <w:rFonts w:ascii="Arial" w:cs="Arial" w:eastAsia="Arial" w:hAnsi="Arial"/>
          <w:sz w:val="18"/>
          <w:szCs w:val="18"/>
          <w:color w:val="auto"/>
        </w:rPr>
        <w:t>”) pursuant to that certain Series C-1 Preferred Stock Purchase Agreement dated as of even date herewith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WHEREAS, the amendment and restatement of the Prior Agreement in the manner set forth in this Agreement is a condition to closing under the Purchase Agreement;</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the parties to the Prior Agreement (the “</w:t>
      </w:r>
      <w:r>
        <w:rPr>
          <w:rFonts w:ascii="Arial" w:cs="Arial" w:eastAsia="Arial" w:hAnsi="Arial"/>
          <w:sz w:val="18"/>
          <w:szCs w:val="18"/>
          <w:u w:val="single" w:color="auto"/>
          <w:color w:val="auto"/>
        </w:rPr>
        <w:t>Existing Investors</w:t>
      </w:r>
      <w:r>
        <w:rPr>
          <w:rFonts w:ascii="Arial" w:cs="Arial" w:eastAsia="Arial" w:hAnsi="Arial"/>
          <w:sz w:val="18"/>
          <w:szCs w:val="18"/>
          <w:color w:val="auto"/>
        </w:rPr>
        <w:t>”) desire to amend and restate the Prior Agreement and to accept the rights and covenants hereof in lieu of their rights and covenants under the Prior Agreement; and</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 xml:space="preserve">WHEREAS, the Existing Investors who are signatories to this Agreement hold the requisite power and authority pursuant to </w:t>
      </w:r>
      <w:r>
        <w:rPr>
          <w:rFonts w:ascii="Arial" w:cs="Arial" w:eastAsia="Arial" w:hAnsi="Arial"/>
          <w:sz w:val="17"/>
          <w:szCs w:val="17"/>
          <w:u w:val="single" w:color="auto"/>
          <w:color w:val="auto"/>
        </w:rPr>
        <w:t>Subsection 7.7</w:t>
      </w:r>
      <w:r>
        <w:rPr>
          <w:rFonts w:ascii="Arial" w:cs="Arial" w:eastAsia="Arial" w:hAnsi="Arial"/>
          <w:sz w:val="17"/>
          <w:szCs w:val="17"/>
          <w:color w:val="auto"/>
        </w:rPr>
        <w:t xml:space="preserve"> of the Prior Agreement to effectuate the amendment and restatement of the Prior Agreement and enter into this Agreement as set forth herein.</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NOW, THEREFORE, in consideration of these premises and for other good and valuable consideration, the receipt and sufficiency of which are hereby acknowledged, the Company and the Existing Investors hereby agree that the Prior Agreement is amended, restated and superseded in its entirety by this Agreement, and the parties to this Agreement further agree as follows: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[Intentionally Omitted.]</w:t>
      </w:r>
    </w:p>
    <w:p>
      <w:pPr>
        <w:sectPr>
          <w:pgSz w:w="11900" w:h="16838" w:orient="portrait"/>
          <w:cols w:equalWidth="0" w:num="1">
            <w:col w:w="11380"/>
          </w:cols>
          <w:pgMar w:left="240" w:top="270" w:right="279" w:bottom="1440" w:gutter="0" w:footer="0" w:header="0"/>
        </w:sectPr>
      </w:pPr>
    </w:p>
    <w:bookmarkStart w:id="294" w:name="page295"/>
    <w:bookmarkEnd w:id="2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TRANSFERABILITY</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following respective meanings:</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specified Person, any other Person who, directly or indirectly, through one or more intermediaries, controls, is controlled by or is under common control with such Person, including without limitation any parent, subsidiary, affiliate of parent, general partner, managing member, officer or director or employee of such Person or any venture capital or other investment fund now or hereafter existing that is controlled by one or more general partners or managing members of, or shares the same management company or investment advisor (or sub-advisor) with, such Person.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Commission</w:t>
      </w:r>
      <w:r>
        <w:rPr>
          <w:rFonts w:ascii="Arial" w:cs="Arial" w:eastAsia="Arial" w:hAnsi="Arial"/>
          <w:sz w:val="17"/>
          <w:szCs w:val="17"/>
          <w:color w:val="auto"/>
        </w:rPr>
        <w:t>” shall mean the U.S. Securities and Exchange Commission or any other federal agency at the time administering the Securities Act.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$0.0001 per share.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Shares</w:t>
      </w:r>
      <w:r>
        <w:rPr>
          <w:rFonts w:ascii="Arial" w:cs="Arial" w:eastAsia="Arial" w:hAnsi="Arial"/>
          <w:sz w:val="18"/>
          <w:szCs w:val="18"/>
          <w:color w:val="auto"/>
        </w:rPr>
        <w:t>” shall mean the Common Stock issued or issuable upon conversion of the Shares.</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xml:space="preserve">” shall mean any Investor owning or having the right to acquire Registrable Securities or any assignee thereof in accordance with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w:t>
      </w:r>
      <w:r>
        <w:rPr>
          <w:rFonts w:ascii="Arial" w:cs="Arial" w:eastAsia="Arial" w:hAnsi="Arial"/>
          <w:sz w:val="18"/>
          <w:szCs w:val="18"/>
          <w:u w:val="single" w:color="auto"/>
          <w:color w:val="auto"/>
        </w:rPr>
        <w:t>Subsection 2.6</w:t>
      </w:r>
      <w:r>
        <w:rPr>
          <w:rFonts w:ascii="Arial" w:cs="Arial" w:eastAsia="Arial" w:hAnsi="Arial"/>
          <w:sz w:val="18"/>
          <w:szCs w:val="18"/>
          <w:color w:val="auto"/>
        </w:rPr>
        <w:t xml:space="preserve"> hereof and other provisions of this Agreement applicable to a registration pursuant to such subsection, in addition to the foregoing definition, “Holder” shall also mean the Stockholders and Bayer; provided, further, that with respect to </w:t>
      </w:r>
      <w:r>
        <w:rPr>
          <w:rFonts w:ascii="Arial" w:cs="Arial" w:eastAsia="Arial" w:hAnsi="Arial"/>
          <w:sz w:val="18"/>
          <w:szCs w:val="18"/>
          <w:u w:val="single" w:color="auto"/>
          <w:color w:val="auto"/>
        </w:rPr>
        <w:t>Subsection 2.7</w:t>
      </w:r>
      <w:r>
        <w:rPr>
          <w:rFonts w:ascii="Arial" w:cs="Arial" w:eastAsia="Arial" w:hAnsi="Arial"/>
          <w:sz w:val="18"/>
          <w:szCs w:val="18"/>
          <w:color w:val="auto"/>
        </w:rPr>
        <w:t xml:space="preserve"> hereof and other provisions of this Agreement applicable to a registration pursuant to such subsection, in addition to the foregoing definition, “Holder” shall also mean Bayer.</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Initiating Holders</w:t>
      </w:r>
      <w:r>
        <w:rPr>
          <w:rFonts w:ascii="Arial" w:cs="Arial" w:eastAsia="Arial" w:hAnsi="Arial"/>
          <w:sz w:val="18"/>
          <w:szCs w:val="18"/>
          <w:color w:val="auto"/>
        </w:rPr>
        <w:t xml:space="preserve">” shall mean the Investor or transferees of the Investor under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hereof who in the aggregate are Holders of not less than thirty-five percent (35%) of the outstanding Registrable Securities.</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Major Holder</w:t>
      </w:r>
      <w:r>
        <w:rPr>
          <w:rFonts w:ascii="Arial" w:cs="Arial" w:eastAsia="Arial" w:hAnsi="Arial"/>
          <w:sz w:val="16"/>
          <w:szCs w:val="16"/>
          <w:color w:val="auto"/>
        </w:rPr>
        <w:t xml:space="preserve">” shall mean: (i) the Investor or transferees of the Investor under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hereof who in the aggregate are Holders of not less than five percent (5%) of the fully-diluted shares of the Company on an as-converted basis (as adjusted for any stock splits, consolidations and the like); and</w:t>
      </w:r>
    </w:p>
    <w:p>
      <w:pPr>
        <w:ind w:right="120" w:firstLine="8"/>
        <w:spacing w:after="0" w:line="261" w:lineRule="auto"/>
        <w:tabs>
          <w:tab w:leader="none" w:pos="26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Subsections 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only, BMV Direct II LP,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BMV Direct II LP shall no longer be deemed a “Major Holder” on the date on which it no longer holds Registrable Securities.</w:t>
      </w:r>
    </w:p>
    <w:p>
      <w:pPr>
        <w:spacing w:after="0" w:line="18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 Holder</w:t>
      </w:r>
      <w:r>
        <w:rPr>
          <w:rFonts w:ascii="Arial" w:cs="Arial" w:eastAsia="Arial" w:hAnsi="Arial"/>
          <w:sz w:val="18"/>
          <w:szCs w:val="18"/>
          <w:color w:val="auto"/>
        </w:rPr>
        <w:t xml:space="preserve">” shall mean an (i) Investor that is a registered investment company within the meaning of the Investment Company Act of 1940, as amended, that is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(which Exhibit may be updated from time to time by the Company) and (ii) Jennison Global Healthcare Master Fund, Ltd. and its Affiliates.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 individual, a corporation, a partnership, a trust or unincorporated organization or any other entity or organization.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shall mean the Series A Preferred Stock, Series A-1 Preferred Stock, Series B Preferred Stock, Series B-1 Preferred Stock and Series C-1 Preferred Stock of the Company.</w:t>
      </w:r>
    </w:p>
    <w:p>
      <w:pPr>
        <w:spacing w:after="0" w:line="170" w:lineRule="exact"/>
        <w:rPr>
          <w:sz w:val="20"/>
          <w:szCs w:val="20"/>
          <w:color w:val="auto"/>
        </w:rPr>
      </w:pPr>
    </w:p>
    <w:p>
      <w:pPr>
        <w:jc w:val="center"/>
        <w:ind w:left="380" w:right="3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Prime Preferred Stock</w:t>
      </w:r>
      <w:r>
        <w:rPr>
          <w:rFonts w:ascii="Arial" w:cs="Arial" w:eastAsia="Arial" w:hAnsi="Arial"/>
          <w:sz w:val="18"/>
          <w:szCs w:val="18"/>
          <w:color w:val="auto"/>
        </w:rPr>
        <w:t>” shall mean the Series A-1 Preferred Stock, Series B-1 Preferred Stock and the Series C-1 Preferred Stock of the Company. 2</w:t>
      </w:r>
    </w:p>
    <w:p>
      <w:pPr>
        <w:sectPr>
          <w:pgSz w:w="11900" w:h="16838" w:orient="portrait"/>
          <w:cols w:equalWidth="0" w:num="1">
            <w:col w:w="11400"/>
          </w:cols>
          <w:pgMar w:left="240" w:top="270" w:right="259" w:bottom="1440" w:gutter="0" w:footer="0" w:header="0"/>
        </w:sectPr>
      </w:pPr>
    </w:p>
    <w:bookmarkStart w:id="295" w:name="page296"/>
    <w:bookmarkEnd w:id="295"/>
    <w:p>
      <w:pPr>
        <w:ind w:right="1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terms “</w:t>
      </w:r>
      <w:r>
        <w:rPr>
          <w:rFonts w:ascii="Arial" w:cs="Arial" w:eastAsia="Arial" w:hAnsi="Arial"/>
          <w:sz w:val="18"/>
          <w:szCs w:val="18"/>
          <w:u w:val="single" w:color="auto"/>
          <w:color w:val="auto"/>
        </w:rPr>
        <w:t>register</w:t>
      </w:r>
      <w:r>
        <w:rPr>
          <w:rFonts w:ascii="Arial" w:cs="Arial" w:eastAsia="Arial" w:hAnsi="Arial"/>
          <w:sz w:val="18"/>
          <w:szCs w:val="18"/>
          <w:color w:val="auto"/>
        </w:rPr>
        <w:t>,” “</w:t>
      </w:r>
      <w:r>
        <w:rPr>
          <w:rFonts w:ascii="Arial" w:cs="Arial" w:eastAsia="Arial" w:hAnsi="Arial"/>
          <w:sz w:val="18"/>
          <w:szCs w:val="18"/>
          <w:u w:val="single" w:color="auto"/>
          <w:color w:val="auto"/>
        </w:rPr>
        <w:t>registered</w:t>
      </w:r>
      <w:r>
        <w:rPr>
          <w:rFonts w:ascii="Arial" w:cs="Arial" w:eastAsia="Arial" w:hAnsi="Arial"/>
          <w:sz w:val="18"/>
          <w:szCs w:val="18"/>
          <w:color w:val="auto"/>
        </w:rPr>
        <w:t>” and “</w:t>
      </w:r>
      <w:r>
        <w:rPr>
          <w:rFonts w:ascii="Arial" w:cs="Arial" w:eastAsia="Arial" w:hAnsi="Arial"/>
          <w:sz w:val="18"/>
          <w:szCs w:val="18"/>
          <w:u w:val="single" w:color="auto"/>
          <w:color w:val="auto"/>
        </w:rPr>
        <w:t>registration</w:t>
      </w:r>
      <w:r>
        <w:rPr>
          <w:rFonts w:ascii="Arial" w:cs="Arial" w:eastAsia="Arial" w:hAnsi="Arial"/>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xml:space="preserve">” means (a) the Conversion Shares, (b) all shares of Common Stock owned by the Investors, (c) any Common Stock issued (or issuable upon the conversion or exercise of any warrant, right or other security that is issued as) a dividend or other distribution with respect to, or in exchange for, or in replacement of, the Common Stock described in clauses (a) or (b)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hereof and other provisions’ of this Agreement applicable to a registration pursuant to such subsection, in addition to the foregoing definition, “</w:t>
      </w:r>
      <w:r>
        <w:rPr>
          <w:rFonts w:ascii="Arial" w:cs="Arial" w:eastAsia="Arial" w:hAnsi="Arial"/>
          <w:sz w:val="17"/>
          <w:szCs w:val="17"/>
          <w:u w:val="single" w:color="auto"/>
          <w:color w:val="auto"/>
        </w:rPr>
        <w:t>Registrable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 xml:space="preserve">” shall also mean all shares of Common Stock owned by the Stockholders and Bayer; provided further, that with respect to </w:t>
      </w:r>
      <w:r>
        <w:rPr>
          <w:rFonts w:ascii="Arial" w:cs="Arial" w:eastAsia="Arial" w:hAnsi="Arial"/>
          <w:sz w:val="17"/>
          <w:szCs w:val="17"/>
          <w:u w:val="single" w:color="auto"/>
          <w:color w:val="auto"/>
        </w:rPr>
        <w:t>Subsection 2.7</w:t>
      </w:r>
      <w:r>
        <w:rPr>
          <w:rFonts w:ascii="Arial" w:cs="Arial" w:eastAsia="Arial" w:hAnsi="Arial"/>
          <w:sz w:val="17"/>
          <w:szCs w:val="17"/>
          <w:color w:val="auto"/>
        </w:rPr>
        <w:t xml:space="preserve"> hereof and other provisions of this Agreement applicable to a registration pursuant to such subsection, in addition to the foregoing definition, “</w:t>
      </w:r>
      <w:r>
        <w:rPr>
          <w:rFonts w:ascii="Arial" w:cs="Arial" w:eastAsia="Arial" w:hAnsi="Arial"/>
          <w:sz w:val="17"/>
          <w:szCs w:val="17"/>
          <w:u w:val="single" w:color="auto"/>
          <w:color w:val="auto"/>
        </w:rPr>
        <w:t>Registrable</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Securities</w:t>
      </w:r>
      <w:r>
        <w:rPr>
          <w:rFonts w:ascii="Arial" w:cs="Arial" w:eastAsia="Arial" w:hAnsi="Arial"/>
          <w:sz w:val="17"/>
          <w:szCs w:val="17"/>
          <w:color w:val="auto"/>
        </w:rPr>
        <w:t>” shall also mean all shares of Common Stock owned by Bayer.</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shall mean all reasonable expenses incurred by the Company in complying with </w:t>
      </w:r>
      <w:r>
        <w:rPr>
          <w:rFonts w:ascii="Arial" w:cs="Arial" w:eastAsia="Arial" w:hAnsi="Arial"/>
          <w:sz w:val="18"/>
          <w:szCs w:val="18"/>
          <w:u w:val="single" w:color="auto"/>
          <w:color w:val="auto"/>
        </w:rPr>
        <w:t>Subsections 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hereof, including, without limitation, all registration, qualification and filing fees, printing expenses, escrow fees, fees and disbursements of counsel for the Company, blue sky fees and expenses, the expense of any special audits incident to or required by any such registration (but excluding the compensation of regular employees of the Company which shall be paid in any event by the Company) and all reasonable fees and disbursements of (a) one special counsel for all of the Holders who elect to include their Registrable Securities in any such registration and (b) one special counsel for Bayer if it elects to include its Registrable Securities in any such registration.</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Securities</w:t>
      </w:r>
      <w:r>
        <w:rPr>
          <w:rFonts w:ascii="Arial" w:cs="Arial" w:eastAsia="Arial" w:hAnsi="Arial"/>
          <w:sz w:val="18"/>
          <w:szCs w:val="18"/>
          <w:color w:val="auto"/>
        </w:rPr>
        <w:t xml:space="preserve">” shall mean the securities of the Company required to bear the legend set forth in </w:t>
      </w:r>
      <w:r>
        <w:rPr>
          <w:rFonts w:ascii="Arial" w:cs="Arial" w:eastAsia="Arial" w:hAnsi="Arial"/>
          <w:sz w:val="18"/>
          <w:szCs w:val="18"/>
          <w:u w:val="single" w:color="auto"/>
          <w:color w:val="auto"/>
        </w:rPr>
        <w:t>Subsection 2.3</w:t>
      </w:r>
      <w:r>
        <w:rPr>
          <w:rFonts w:ascii="Arial" w:cs="Arial" w:eastAsia="Arial" w:hAnsi="Arial"/>
          <w:sz w:val="18"/>
          <w:szCs w:val="18"/>
          <w:color w:val="auto"/>
        </w:rPr>
        <w:t xml:space="preserve"> hereof.</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 or any similar or successor federal statute and the rules and regulations of the Commission thereunder, all as the same shall be in effect at the time.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Expenses</w:t>
      </w:r>
      <w:r>
        <w:rPr>
          <w:rFonts w:ascii="Arial" w:cs="Arial" w:eastAsia="Arial" w:hAnsi="Arial"/>
          <w:sz w:val="18"/>
          <w:szCs w:val="18"/>
          <w:color w:val="auto"/>
        </w:rPr>
        <w:t>” shall mean all underwriting discounts, selling commissions and stock transfer taxes applicable to the securities registered by the Holders.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the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shall mean the Warrant Agreement between the Company and Bayer, dated March 26, 2007.</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Restrictions</w:t>
      </w:r>
      <w:r>
        <w:rPr>
          <w:rFonts w:ascii="Arial" w:cs="Arial" w:eastAsia="Arial" w:hAnsi="Arial"/>
          <w:sz w:val="18"/>
          <w:szCs w:val="18"/>
          <w:color w:val="auto"/>
        </w:rPr>
        <w:t>. The Shares and the Conversion Shares shall not be sold, assigned, transferred or pledged except upon the conditions specified in this Agreement, which conditions are intended to ensure compliance with the provisions of the Securities Act. The Investor will cause any proposed purchaser, assignee, transferee or pledgee of the Shares and the Conversion Shares to agree to take and hold such securities subject to the provisions and upon the conditions specified in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96" w:name="page297"/>
    <w:bookmarkEnd w:id="296"/>
    <w:p>
      <w:pPr>
        <w:ind w:right="4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Restrictive Legend</w:t>
      </w:r>
      <w:r>
        <w:rPr>
          <w:rFonts w:ascii="Arial" w:cs="Arial" w:eastAsia="Arial" w:hAnsi="Arial"/>
          <w:sz w:val="18"/>
          <w:szCs w:val="18"/>
          <w:color w:val="auto"/>
        </w:rPr>
        <w:t xml:space="preserve">. Each certificate representing (a) the Shares, (b) the Conversion Shares, and (c) any other securities issued in respect of the securities referenced in clauses (a) and (b)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Subsection 2.4</w:t>
      </w:r>
      <w:r>
        <w:rPr>
          <w:rFonts w:ascii="Arial" w:cs="Arial" w:eastAsia="Arial" w:hAnsi="Arial"/>
          <w:sz w:val="18"/>
          <w:szCs w:val="18"/>
          <w:color w:val="auto"/>
        </w:rPr>
        <w:t xml:space="preserve"> below) be stamped or otherwise imprinted with a legend in substantially the following form (in addition to any legend required under applicable state securities laws):</w:t>
      </w:r>
    </w:p>
    <w:p>
      <w:pPr>
        <w:spacing w:after="0" w:line="79"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“THE SHARES REPRESENTED BY THIS CERTIFICATE HAVE BEEN ACQUIRED FOR INVESTMENT AND HAVE NOT BEEN REGISTERED UNDER THE SECURITIES ACT OF 1933, AS AMENDED. THE SHARES MAY NOT BE SOLD, TRANSFERRED OR PLEDGED IN THE ABSENCE OF SUCH REGISTRATION OR AN EXEMPTION THEREFROM UNDER SAID ACT OR AN OPINION OF COUNSEL SATISFACTORY TO THE COMPANY THAT SUCH REGISTRATION IS NOT REQUIRED OR UNLESS SOLD PURSUANT TO RULE 144 OF SUCH ACT.”</w:t>
      </w:r>
    </w:p>
    <w:p>
      <w:pPr>
        <w:spacing w:after="0" w:line="80" w:lineRule="exact"/>
        <w:rPr>
          <w:sz w:val="20"/>
          <w:szCs w:val="20"/>
          <w:color w:val="auto"/>
        </w:rPr>
      </w:pPr>
    </w:p>
    <w:p>
      <w:pPr>
        <w:jc w:val="both"/>
        <w:ind w:left="920" w:right="200"/>
        <w:spacing w:after="0" w:line="264" w:lineRule="auto"/>
        <w:rPr>
          <w:sz w:val="20"/>
          <w:szCs w:val="20"/>
          <w:color w:val="auto"/>
        </w:rPr>
      </w:pPr>
      <w:r>
        <w:rPr>
          <w:rFonts w:ascii="Arial" w:cs="Arial" w:eastAsia="Arial" w:hAnsi="Arial"/>
          <w:sz w:val="18"/>
          <w:szCs w:val="18"/>
          <w:color w:val="auto"/>
        </w:rPr>
        <w:t>“THE SHARES REPRESENTED BY THIS CERTIFICATE MAY BE TRANSFERRED ONLY IN ACCORDANCE WITH THE TERMS OF AGREEMENTS BETWEEN THE COMPANY AND THE ORIGINAL STOCKHOLDER, COPIES OF WHICH ARE ON FILE WITH THE SECRETARY OF THE COMPANY.”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Each Holder consents to the Company making a notation on its records and giving instructions to any transfer agent of the Restricted Securities in order to implement the restrictions on transfer established in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70"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Notice of Proposed Transfers</w:t>
      </w:r>
      <w:r>
        <w:rPr>
          <w:rFonts w:ascii="Arial" w:cs="Arial" w:eastAsia="Arial" w:hAnsi="Arial"/>
          <w:sz w:val="16"/>
          <w:szCs w:val="16"/>
          <w:color w:val="auto"/>
        </w:rPr>
        <w:t xml:space="preserve">. 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Prior to any proposed sale, assignment, transfer or pledge of any Restricted Securities, unless there is in effect a registration statement under the Securities Act covering the proposed transfer, the holder thereof shall give written notice to the Company of such holder’s intention to effect such transfer, sale, assignment or pledge. Each such notice shall describe the manner and circumstances of the proposed transfer, sale, assignment or pledge in sufficient detail, and shall be accompanied at such holder’s expense by either (a) an unqualified written opinion of legal counsel who shall, and whose legal opinion shall be, reasonably satisfactory to the Company, addressed to the Company, to the effect that the proposed transfer of the Restricted Securities may be effected without registration under the Securities Act, or (b) a “no action” letter from the Commission to the effect that the transfer of such securities without registration will not result in a recommendation by the staff of the Commission that action be taken with respect thereto, or</w:t>
      </w:r>
    </w:p>
    <w:p>
      <w:pPr>
        <w:spacing w:after="0" w:line="1" w:lineRule="exact"/>
        <w:rPr>
          <w:sz w:val="20"/>
          <w:szCs w:val="20"/>
          <w:color w:val="auto"/>
        </w:rPr>
      </w:pPr>
    </w:p>
    <w:p>
      <w:pPr>
        <w:ind w:firstLine="8"/>
        <w:spacing w:after="0" w:line="251" w:lineRule="auto"/>
        <w:tabs>
          <w:tab w:leader="none" w:pos="24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any other evidence reasonably satisfactory to counsel to the Company, whereupon the holder of such Restricted Securities shall be entitled to transfer such Restricted Securities in accordance with the terms of the notice delivered by the holder to the Company. The Company will not require such a legal opinion or “no action” letter (x) in any transaction in compliance with Rule 144, (y) in any transaction in which an Investor which is a corporation distributes Restricted Securities solely to its Affiliates for no consideration, or (z) in any transaction in which an Investor which is a partnership distributes Restricted Securities solely to its partners, limited partners, retired partners, members or retired members for no consideration; provided that each transferee agrees in writing to be subject to the terms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Each certificate evidencing the Restricted Securities transferred as above provided shall bear, except if such transfer is made pursuant to Rule 144, the appropriate restrictive legends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except that such certificate shall not bear such restrictive legend if, in the opinion of counsel for such holder and the Company, such legend is not required in order to establish compliance with any provisions of the Securities Act or this Agreement.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7" w:name="page298"/>
    <w:bookmarkEnd w:id="29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2.5 </w:t>
      </w:r>
      <w:r>
        <w:rPr>
          <w:rFonts w:ascii="Arial" w:cs="Arial" w:eastAsia="Arial" w:hAnsi="Arial"/>
          <w:sz w:val="18"/>
          <w:szCs w:val="18"/>
          <w:u w:val="single" w:color="auto"/>
          <w:color w:val="auto"/>
        </w:rPr>
        <w:t>Requested Registration</w:t>
      </w:r>
      <w:r>
        <w:rPr>
          <w:rFonts w:ascii="Arial" w:cs="Arial" w:eastAsia="Arial" w:hAnsi="Arial"/>
          <w:sz w:val="18"/>
          <w:szCs w:val="18"/>
          <w:color w:val="auto"/>
        </w:rPr>
        <w:t>.</w:t>
      </w:r>
    </w:p>
    <w:p>
      <w:pPr>
        <w:spacing w:after="0" w:line="225" w:lineRule="exact"/>
        <w:rPr>
          <w:sz w:val="20"/>
          <w:szCs w:val="20"/>
          <w:color w:val="auto"/>
        </w:rPr>
      </w:pPr>
    </w:p>
    <w:p>
      <w:pPr>
        <w:ind w:right="700" w:firstLine="921"/>
        <w:spacing w:after="0" w:line="277" w:lineRule="auto"/>
        <w:tabs>
          <w:tab w:leader="none" w:pos="115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case the Company shall receive from Initiating Holders a written request that the Company effect any registration, qualification or compliance with respect to the Registrable Securities, the Company will:</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qualification or compliance to all other Holders; and</w:t>
      </w:r>
    </w:p>
    <w:p>
      <w:pPr>
        <w:spacing w:after="0" w:line="117" w:lineRule="exact"/>
        <w:rPr>
          <w:rFonts w:ascii="Arial" w:cs="Arial" w:eastAsia="Arial" w:hAnsi="Arial"/>
          <w:sz w:val="18"/>
          <w:szCs w:val="18"/>
          <w:color w:val="auto"/>
        </w:rPr>
      </w:pPr>
    </w:p>
    <w:p>
      <w:pPr>
        <w:ind w:left="920" w:right="200" w:firstLine="421"/>
        <w:spacing w:after="0" w:line="290" w:lineRule="auto"/>
        <w:tabs>
          <w:tab w:leader="none" w:pos="1605"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as soon as practicable and in any event within ninety (90) days after receipt of such written request, use its commercially reasonable best efforts to effect such registration, qualification or compliance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receipt of the written notice from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to take any action to effect any such registration, qualification or compliance pursuant to this </w:t>
      </w:r>
      <w:r>
        <w:rPr>
          <w:rFonts w:ascii="Arial" w:cs="Arial" w:eastAsia="Arial" w:hAnsi="Arial"/>
          <w:sz w:val="16"/>
          <w:szCs w:val="16"/>
          <w:u w:val="single" w:color="auto"/>
          <w:color w:val="auto"/>
        </w:rPr>
        <w:t>Subsection 2.5</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1500" w:firstLine="389"/>
        <w:spacing w:after="0" w:line="264" w:lineRule="auto"/>
        <w:tabs>
          <w:tab w:leader="none" w:pos="219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73" w:lineRule="exact"/>
        <w:rPr>
          <w:rFonts w:ascii="Arial" w:cs="Arial" w:eastAsia="Arial" w:hAnsi="Arial"/>
          <w:sz w:val="18"/>
          <w:szCs w:val="18"/>
          <w:color w:val="auto"/>
        </w:rPr>
      </w:pPr>
    </w:p>
    <w:p>
      <w:pPr>
        <w:ind w:left="2180" w:hanging="291"/>
        <w:spacing w:after="0"/>
        <w:tabs>
          <w:tab w:leader="none" w:pos="218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Prior to twelve (12) months after the effective date of the Company’s initial public offering;</w:t>
      </w:r>
    </w:p>
    <w:p>
      <w:pPr>
        <w:spacing w:after="0" w:line="117" w:lineRule="exact"/>
        <w:rPr>
          <w:rFonts w:ascii="Arial" w:cs="Arial" w:eastAsia="Arial" w:hAnsi="Arial"/>
          <w:sz w:val="18"/>
          <w:szCs w:val="18"/>
          <w:color w:val="auto"/>
        </w:rPr>
      </w:pPr>
    </w:p>
    <w:p>
      <w:pPr>
        <w:ind w:left="1500" w:right="120" w:firstLine="389"/>
        <w:spacing w:after="0" w:line="259" w:lineRule="auto"/>
        <w:tabs>
          <w:tab w:leader="none" w:pos="218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 xml:space="preserve">After the Company has effected two (2) such registrations pursuant to this </w:t>
      </w:r>
      <w:r>
        <w:rPr>
          <w:rFonts w:ascii="Arial" w:cs="Arial" w:eastAsia="Arial" w:hAnsi="Arial"/>
          <w:sz w:val="18"/>
          <w:szCs w:val="18"/>
          <w:u w:val="single" w:color="auto"/>
          <w:color w:val="auto"/>
        </w:rPr>
        <w:t>subparagraph 2.5(a)</w:t>
      </w:r>
      <w:r>
        <w:rPr>
          <w:rFonts w:ascii="Arial" w:cs="Arial" w:eastAsia="Arial" w:hAnsi="Arial"/>
          <w:sz w:val="18"/>
          <w:szCs w:val="18"/>
          <w:color w:val="auto"/>
        </w:rPr>
        <w:t>, such registration has been declared or ordered effective and the securities offered pursuant to each such registration have been sold; provided that all Registrable Securities requested for inclusion were in fact included in such registration. The Company shall not be obligated to effect more than two registration statements in any twelve (12) month period;</w:t>
      </w:r>
    </w:p>
    <w:p>
      <w:pPr>
        <w:spacing w:after="0" w:line="78" w:lineRule="exact"/>
        <w:rPr>
          <w:rFonts w:ascii="Arial" w:cs="Arial" w:eastAsia="Arial" w:hAnsi="Arial"/>
          <w:sz w:val="18"/>
          <w:szCs w:val="18"/>
          <w:color w:val="auto"/>
        </w:rPr>
      </w:pPr>
    </w:p>
    <w:p>
      <w:pPr>
        <w:ind w:left="1500" w:right="140" w:firstLine="389"/>
        <w:spacing w:after="0" w:line="257" w:lineRule="auto"/>
        <w:tabs>
          <w:tab w:leader="none" w:pos="2192" w:val="left"/>
        </w:tabs>
        <w:numPr>
          <w:ilvl w:val="2"/>
          <w:numId w:val="159"/>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sixty (60) days prior to the Company’s good faith estimate of the date of filing of, and ending on a date one hundred eighty (180) days after the effective date of, a registration initiated by the Company; provided that the Company is actively employed in good faith in all commercially reasonable best efforts to cause such registration statement to become effective and provided further that the rights of the Initiating Holders to include Registrable Securities for registration in the Company’s registration shall be governed by </w:t>
      </w:r>
      <w:r>
        <w:rPr>
          <w:rFonts w:ascii="Arial" w:cs="Arial" w:eastAsia="Arial" w:hAnsi="Arial"/>
          <w:sz w:val="18"/>
          <w:szCs w:val="18"/>
          <w:u w:val="single" w:color="auto"/>
          <w:color w:val="auto"/>
        </w:rPr>
        <w:t>Subsection 2.6</w:t>
      </w:r>
      <w:r>
        <w:rPr>
          <w:rFonts w:ascii="Arial" w:cs="Arial" w:eastAsia="Arial" w:hAnsi="Arial"/>
          <w:sz w:val="18"/>
          <w:szCs w:val="18"/>
          <w:color w:val="auto"/>
        </w:rPr>
        <w:t xml:space="preserve"> hereof; or</w:t>
      </w:r>
    </w:p>
    <w:p>
      <w:pPr>
        <w:spacing w:after="0" w:line="80" w:lineRule="exact"/>
        <w:rPr>
          <w:rFonts w:ascii="Arial" w:cs="Arial" w:eastAsia="Arial" w:hAnsi="Arial"/>
          <w:sz w:val="18"/>
          <w:szCs w:val="18"/>
          <w:color w:val="auto"/>
        </w:rPr>
      </w:pPr>
    </w:p>
    <w:p>
      <w:pPr>
        <w:ind w:left="2160" w:hanging="271"/>
        <w:spacing w:after="0"/>
        <w:tabs>
          <w:tab w:leader="none" w:pos="216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If such registration, qualification or compliance involves securities with an aggregate value less than Ten Million Dollars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($10,000,000).</w:t>
      </w:r>
    </w:p>
    <w:p>
      <w:pPr>
        <w:spacing w:after="0" w:line="21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Subject to the foregoing clauses (A) through (E), the Company shall file a registration statement covering the Registrable Securities so requested to be registered as soon as practicable after receipt of the request or requests of the Initiating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(i) in the good faith judgment of the board of directors of the Company (the “</w:t>
      </w:r>
      <w:r>
        <w:rPr>
          <w:rFonts w:ascii="Arial" w:cs="Arial" w:eastAsia="Arial" w:hAnsi="Arial"/>
          <w:sz w:val="17"/>
          <w:szCs w:val="17"/>
          <w:u w:val="single" w:color="auto"/>
          <w:color w:val="auto"/>
        </w:rPr>
        <w:t>Board</w:t>
      </w:r>
      <w:r>
        <w:rPr>
          <w:rFonts w:ascii="Arial" w:cs="Arial" w:eastAsia="Arial" w:hAnsi="Arial"/>
          <w:sz w:val="17"/>
          <w:szCs w:val="17"/>
          <w:color w:val="auto"/>
        </w:rPr>
        <w:t>”), such registration would be seriously detrimental to the Company and the Board concludes, as a result, that it is essential to defer the filing of such registration statement at such time, and (ii) the Company shall furnish to such Holders a certificate signed by the President of the Company stating that in the good faith judgment of the Board, it would be seriously detrimental to the Company for such registration statement to be filed in the near future and that it is, therefore, essential to defer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298" w:name="page299"/>
    <w:bookmarkEnd w:id="29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filing of such registration statement, then the Company shall have the right to defer such filing (except as provided in clause (D) above) for up to two</w:t>
      </w:r>
    </w:p>
    <w:p>
      <w:pPr>
        <w:spacing w:after="0" w:line="35" w:lineRule="exact"/>
        <w:rPr>
          <w:sz w:val="20"/>
          <w:szCs w:val="20"/>
          <w:color w:val="auto"/>
        </w:rPr>
      </w:pPr>
    </w:p>
    <w:p>
      <w:pPr>
        <w:ind w:right="180" w:firstLine="8"/>
        <w:spacing w:after="0" w:line="261" w:lineRule="auto"/>
        <w:tabs>
          <w:tab w:leader="none" w:pos="2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periods of not more than sixty (60) days each after receipt of the request of the Initiating Holders, and provided further, that the Company shall not defer its obligation in this manner more than once in any twelve-month period.</w:t>
      </w:r>
    </w:p>
    <w:p>
      <w:pPr>
        <w:spacing w:after="0" w:line="183" w:lineRule="exact"/>
        <w:rPr>
          <w:rFonts w:ascii="Arial" w:cs="Arial" w:eastAsia="Arial" w:hAnsi="Arial"/>
          <w:sz w:val="18"/>
          <w:szCs w:val="18"/>
          <w:color w:val="auto"/>
        </w:rPr>
      </w:pPr>
    </w:p>
    <w:p>
      <w:pPr>
        <w:ind w:right="260" w:firstLine="921"/>
        <w:spacing w:after="0" w:line="279" w:lineRule="auto"/>
        <w:tabs>
          <w:tab w:leader="none" w:pos="1168"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In the event that a registration pursuant to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is for a registered public offering involving an underwriting, the Company shall so advise the Holders as part of the notice given pursuant to </w:t>
      </w:r>
      <w:r>
        <w:rPr>
          <w:rFonts w:ascii="Arial" w:cs="Arial" w:eastAsia="Arial" w:hAnsi="Arial"/>
          <w:sz w:val="17"/>
          <w:szCs w:val="17"/>
          <w:u w:val="single" w:color="auto"/>
          <w:color w:val="auto"/>
        </w:rPr>
        <w:t>Subsection 2.5(a)(i)</w:t>
      </w:r>
      <w:r>
        <w:rPr>
          <w:rFonts w:ascii="Arial" w:cs="Arial" w:eastAsia="Arial" w:hAnsi="Arial"/>
          <w:sz w:val="17"/>
          <w:szCs w:val="17"/>
          <w:color w:val="auto"/>
        </w:rPr>
        <w:t xml:space="preserve">. The right of any Holder to registration pursuant to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shall be conditioned upon such Holder’s participation in the underwriting arrangements required by this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and the inclusion of such Holder’s Registrable Securities in the underwriting, to the extent requested and provided herein.</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The Company shall (together with all Holders proposing to distribute their securities through such underwriting) enter into an underwriting agreement in customary form with the managing underwriter selected for such underwriting by a majority in interest of the Initiating Holders (which managing underwriter shall be reasonably acceptable to the Company). Notwithstanding any other provision of this </w:t>
      </w:r>
      <w:r>
        <w:rPr>
          <w:rFonts w:ascii="Arial" w:cs="Arial" w:eastAsia="Arial" w:hAnsi="Arial"/>
          <w:sz w:val="17"/>
          <w:szCs w:val="17"/>
          <w:u w:val="single" w:color="auto"/>
          <w:color w:val="auto"/>
        </w:rPr>
        <w:t>Subsection 2.5</w:t>
      </w:r>
      <w:r>
        <w:rPr>
          <w:rFonts w:ascii="Arial" w:cs="Arial" w:eastAsia="Arial" w:hAnsi="Arial"/>
          <w:sz w:val="17"/>
          <w:szCs w:val="17"/>
          <w:color w:val="auto"/>
        </w:rPr>
        <w:t>, if the managing underwriter advises the Initiating Holders in writing that marketing factors require a limitation of the number of shares to be underwritten, then the Company shall so advise all Holders of Registrable Securities and the number of shares of Registrable Securities that may be included in the registration and underwriting shall be allocated among all Holders thereof in proportion, as nearly as practicable, to the respective amounts of Registrable Securities held by such Holders at the time of filing the registration statement. No Registrable Securities excluded from the underwriting by reason of the underwriter’s marketing limitation shall be included in such registration. To facilitate the allocation of shares in accordance with the above provisions, the Company or the underwriters may round the number of shares allocated to any Holder to the nearest one hundred (100) shares.</w:t>
      </w:r>
    </w:p>
    <w:p>
      <w:pPr>
        <w:spacing w:after="0" w:line="18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If any Holder of Registrable Securities disapproves of the terms of the underwriting, such person may elect to withdraw therefrom by written notice to the Company, the managing underwriter and the Initiating Holders. The Registrable Securities or other securities so withdrawn shall also be withdrawn from registration, and such Registrable Securities shall not be transferred in a public distribution prior to ninety (90) days (one hundred eighty (180) days in the case of the Company’s initial public offering) after the date of the final prospectus used in such public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59" w:lineRule="auto"/>
        <w:tabs>
          <w:tab w:leader="none" w:pos="115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Notice of Registration</w:t>
      </w:r>
      <w:r>
        <w:rPr>
          <w:rFonts w:ascii="Arial" w:cs="Arial" w:eastAsia="Arial" w:hAnsi="Arial"/>
          <w:sz w:val="18"/>
          <w:szCs w:val="18"/>
          <w:color w:val="auto"/>
        </w:rPr>
        <w:t>. If at any time or from time to time, the Company shall determine to register any of its securities, either for its own account or the account of a security holder or holders exercising their respective demand registration rights other than (i) a registration relating solely to employee benefit plans, or (ii) a registration relating solely to a merger, acquisition or exchange, or (iii) a registration relating to convertible debt transaction, the Company will:</w:t>
      </w:r>
    </w:p>
    <w:p>
      <w:pPr>
        <w:spacing w:after="0" w:line="78" w:lineRule="exact"/>
        <w:rPr>
          <w:rFonts w:ascii="Arial" w:cs="Arial" w:eastAsia="Arial" w:hAnsi="Arial"/>
          <w:sz w:val="18"/>
          <w:szCs w:val="18"/>
          <w:color w:val="auto"/>
        </w:rPr>
      </w:pPr>
    </w:p>
    <w:p>
      <w:pPr>
        <w:ind w:left="1560" w:hanging="219"/>
        <w:spacing w:after="0"/>
        <w:tabs>
          <w:tab w:leader="none" w:pos="15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promptly give to each Holder written notice thereof; and</w:t>
      </w:r>
    </w:p>
    <w:p>
      <w:pPr>
        <w:spacing w:after="0" w:line="117" w:lineRule="exact"/>
        <w:rPr>
          <w:rFonts w:ascii="Arial" w:cs="Arial" w:eastAsia="Arial" w:hAnsi="Arial"/>
          <w:sz w:val="18"/>
          <w:szCs w:val="18"/>
          <w:color w:val="auto"/>
        </w:rPr>
      </w:pPr>
    </w:p>
    <w:p>
      <w:pPr>
        <w:ind w:left="920" w:right="20" w:firstLine="421"/>
        <w:spacing w:after="0" w:line="257" w:lineRule="auto"/>
        <w:tabs>
          <w:tab w:leader="none" w:pos="160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include in such registration (and any related qualification under blue sky laws or other compliance), and in any underwriting involved therein, all the Registrable Securities specified in a written request or requests made within twenty (20) days after receipt of such written notice from the Company by any Holder, but only to the extent that such inclusion will not diminish the number of securities included by the Company or by Holders of the Company’s securities who have demanded such registration and further subject to the underwriter’s right to limit the number of securities included in the registration as set forth in </w:t>
      </w:r>
      <w:r>
        <w:rPr>
          <w:rFonts w:ascii="Arial" w:cs="Arial" w:eastAsia="Arial" w:hAnsi="Arial"/>
          <w:sz w:val="18"/>
          <w:szCs w:val="18"/>
          <w:u w:val="single" w:color="auto"/>
          <w:color w:val="auto"/>
        </w:rPr>
        <w:t>Subsection 2.6(b)</w:t>
      </w:r>
      <w:r>
        <w:rPr>
          <w:rFonts w:ascii="Arial" w:cs="Arial" w:eastAsia="Arial" w:hAnsi="Arial"/>
          <w:sz w:val="18"/>
          <w:szCs w:val="18"/>
          <w:color w:val="auto"/>
        </w:rPr>
        <w:t xml:space="preserve"> below.</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9" w:name="page300"/>
    <w:bookmarkEnd w:id="299"/>
    <w:p>
      <w:pPr>
        <w:ind w:left="-20" w:right="60" w:firstLine="921"/>
        <w:spacing w:after="0" w:line="267" w:lineRule="auto"/>
        <w:tabs>
          <w:tab w:leader="none" w:pos="114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Underwriting</w:t>
      </w:r>
      <w:r>
        <w:rPr>
          <w:rFonts w:ascii="Arial" w:cs="Arial" w:eastAsia="Arial" w:hAnsi="Arial"/>
          <w:sz w:val="17"/>
          <w:szCs w:val="17"/>
          <w:color w:val="auto"/>
        </w:rPr>
        <w:t xml:space="preserve">. If the registration of which the Company gives notice is for a registered public offering involving an underwriting, the Company shall so advise the Holders as a part of the written notice given pursuant to </w:t>
      </w:r>
      <w:r>
        <w:rPr>
          <w:rFonts w:ascii="Arial" w:cs="Arial" w:eastAsia="Arial" w:hAnsi="Arial"/>
          <w:sz w:val="17"/>
          <w:szCs w:val="17"/>
          <w:u w:val="single" w:color="auto"/>
          <w:color w:val="auto"/>
        </w:rPr>
        <w:t>Subsection 2.6(a)(i)</w:t>
      </w:r>
      <w:r>
        <w:rPr>
          <w:rFonts w:ascii="Arial" w:cs="Arial" w:eastAsia="Arial" w:hAnsi="Arial"/>
          <w:sz w:val="17"/>
          <w:szCs w:val="17"/>
          <w:color w:val="auto"/>
        </w:rPr>
        <w:t xml:space="preserve">. In such event, the right of any Holder to registration pursuant to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shall be conditioned upon such Holder’s participation in such underwriting and the inclusion of Registrable Securities in the underwriting to the extent provided herein. All Holders proposing to distribute their securities through such underwriting shall (together with the Company and the other Holders distributing their securities through such underwriting) enter into an underwriting agreement in customary form with the managing underwriter selected for such underwriting by the Company (or by the Holders who have demanded such registration, as the case may be). Notwithstanding any other provision of this </w:t>
      </w:r>
      <w:r>
        <w:rPr>
          <w:rFonts w:ascii="Arial" w:cs="Arial" w:eastAsia="Arial" w:hAnsi="Arial"/>
          <w:sz w:val="17"/>
          <w:szCs w:val="17"/>
          <w:u w:val="single" w:color="auto"/>
          <w:color w:val="auto"/>
        </w:rPr>
        <w:t>Subsection 2.6</w:t>
      </w:r>
      <w:r>
        <w:rPr>
          <w:rFonts w:ascii="Arial" w:cs="Arial" w:eastAsia="Arial" w:hAnsi="Arial"/>
          <w:sz w:val="17"/>
          <w:szCs w:val="17"/>
          <w:color w:val="auto"/>
        </w:rPr>
        <w:t>, if the managing underwriter determines in its sole discretion that marketing factors require a limitation of the number of shares to be underwritten, the managing underwriter may limit the number of Registrable Securities to be included in the registration and underwriting, on a pro rata basis based on the total number of securities (including, without limitation, Registrable Securities owned by each participating Holder) entitled to be included in such registration; but in no event shall the amount of securities of the participating Holders included in the offering be reduced below thirty percent (30%) of the total amount of securities included in such offering, unless such offering is the initial public offering of the Company’s securities, in which case the participating Holders may be entirely excluded if the managing underwriter makes the determination described above and no other stockholder’s securities are included. To facilitate the allocation of shares in accordance with the above provisions, the Company or the underwriters may round the number of shares allocated to any Holder or other holder to the nearest one hundred (100) shares. If any Holder or other holder disapproves of the terms of any such underwriting, he or she may elect to withdraw therefrom by written notice to the Company and the managing underwriter. Any securities excluded or withdrawn from such underwriting shall be withdrawn from such registration, and shall not be transferred in a public distribution prior to ninety (90) days (one hundred eighty (180) days in the case of the Company’s initial public offering) after the date of the final prospectus included in the registration statement relating thereto.</w:t>
      </w:r>
    </w:p>
    <w:p>
      <w:pPr>
        <w:spacing w:after="0" w:line="191" w:lineRule="exact"/>
        <w:rPr>
          <w:rFonts w:ascii="Arial" w:cs="Arial" w:eastAsia="Arial" w:hAnsi="Arial"/>
          <w:sz w:val="17"/>
          <w:szCs w:val="17"/>
          <w:color w:val="auto"/>
        </w:rPr>
      </w:pPr>
    </w:p>
    <w:p>
      <w:pPr>
        <w:ind w:left="-20" w:right="660" w:firstLine="921"/>
        <w:spacing w:after="0" w:line="342" w:lineRule="auto"/>
        <w:tabs>
          <w:tab w:leader="none" w:pos="1137"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Right to Terminate Registration</w:t>
      </w:r>
      <w:r>
        <w:rPr>
          <w:rFonts w:ascii="Arial" w:cs="Arial" w:eastAsia="Arial" w:hAnsi="Arial"/>
          <w:sz w:val="16"/>
          <w:szCs w:val="16"/>
          <w:color w:val="auto"/>
        </w:rPr>
        <w:t xml:space="preserve">. The Company shall have the right to terminate or withdraw any registration initiated by it under this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prior to the effectiveness of such registration, whether or not any Holder has elected to include securities in such registration.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Registration on Form S-3</w:t>
      </w:r>
      <w:r>
        <w:rPr>
          <w:rFonts w:ascii="Arial" w:cs="Arial" w:eastAsia="Arial" w:hAnsi="Arial"/>
          <w:sz w:val="18"/>
          <w:szCs w:val="18"/>
          <w:color w:val="auto"/>
        </w:rPr>
        <w:t>.</w:t>
      </w:r>
    </w:p>
    <w:p>
      <w:pPr>
        <w:spacing w:after="0" w:line="225" w:lineRule="exact"/>
        <w:rPr>
          <w:sz w:val="20"/>
          <w:szCs w:val="20"/>
          <w:color w:val="auto"/>
        </w:rPr>
      </w:pPr>
    </w:p>
    <w:p>
      <w:pPr>
        <w:ind w:left="-20" w:firstLine="921"/>
        <w:spacing w:after="0" w:line="268" w:lineRule="auto"/>
        <w:tabs>
          <w:tab w:leader="none" w:pos="113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If any Holder or Holders of at least twenty percent (20%) of the then outstanding Registrable Securities or Bayer or any assignee thereof in accordance with the Warrant Agreement requests that the Company file a registration statement on Form S-3 (or any successor form to Form S-3) for a public offering of shares of the Registrable Securities, the reasonably anticipated aggregate price to the public of which, net of underwriting discounts and commissions, would exceed One Million Dollars ($1,000,000), and the Company is a registrant entitled to use Form S-3 to register the Registrable Securities for such an offering, the Company shall use its commercially reasonable best efforts to cause such Registrable Securities to be registered for the offering on such form. The Company will (i) promptly give written notice of the proposed registration to all other Holders, and (ii) as soon as practicable, but in no event later than sixty (60) days following the request, use its commercially reasonable best efforts to effect such registration (including, without limitation, the execution of an undertaking to file post-effective amendments, appropriate qualification under applicable blue sky or other state securities laws and appropriate compliance with applicable regulations issued under the Securities Act and any other governmental requirements or regulations) as may be so requested and as would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receipt of written notice from the Company. The substantive provisions of </w:t>
      </w:r>
      <w:r>
        <w:rPr>
          <w:rFonts w:ascii="Arial" w:cs="Arial" w:eastAsia="Arial" w:hAnsi="Arial"/>
          <w:sz w:val="17"/>
          <w:szCs w:val="17"/>
          <w:u w:val="single" w:color="auto"/>
          <w:color w:val="auto"/>
        </w:rPr>
        <w:t>Subsection 2.5(b)</w:t>
      </w:r>
      <w:r>
        <w:rPr>
          <w:rFonts w:ascii="Arial" w:cs="Arial" w:eastAsia="Arial" w:hAnsi="Arial"/>
          <w:sz w:val="17"/>
          <w:szCs w:val="17"/>
          <w:color w:val="auto"/>
        </w:rPr>
        <w:t xml:space="preserve"> shall be applicable to each registration initiated under this </w:t>
      </w:r>
      <w:r>
        <w:rPr>
          <w:rFonts w:ascii="Arial" w:cs="Arial" w:eastAsia="Arial" w:hAnsi="Arial"/>
          <w:sz w:val="17"/>
          <w:szCs w:val="17"/>
          <w:u w:val="single" w:color="auto"/>
          <w:color w:val="auto"/>
        </w:rPr>
        <w:t>Subsection 2.7</w:t>
      </w:r>
      <w:r>
        <w:rPr>
          <w:rFonts w:ascii="Arial" w:cs="Arial" w:eastAsia="Arial" w:hAnsi="Arial"/>
          <w:sz w:val="17"/>
          <w:szCs w:val="17"/>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60" w:top="274" w:right="259" w:bottom="1440" w:gutter="0" w:footer="0" w:header="0"/>
        </w:sectPr>
      </w:pPr>
    </w:p>
    <w:bookmarkStart w:id="300" w:name="page301"/>
    <w:bookmarkEnd w:id="300"/>
    <w:p>
      <w:pPr>
        <w:ind w:firstLine="921"/>
        <w:spacing w:after="0" w:line="253" w:lineRule="auto"/>
        <w:tabs>
          <w:tab w:leader="none" w:pos="1168"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the Company shall not be obligated to take any action pursuant to this </w:t>
      </w:r>
      <w:r>
        <w:rPr>
          <w:rFonts w:ascii="Arial" w:cs="Arial" w:eastAsia="Arial" w:hAnsi="Arial"/>
          <w:sz w:val="18"/>
          <w:szCs w:val="18"/>
          <w:u w:val="single" w:color="auto"/>
          <w:color w:val="auto"/>
        </w:rPr>
        <w:t>Subsection 2.7</w:t>
      </w:r>
      <w:r>
        <w:rPr>
          <w:rFonts w:ascii="Arial" w:cs="Arial" w:eastAsia="Arial" w:hAnsi="Arial"/>
          <w:sz w:val="18"/>
          <w:szCs w:val="18"/>
          <w:color w:val="auto"/>
        </w:rPr>
        <w:t xml:space="preserve">: (i) 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 (ii) in a given twelve month period, after the Company has effected two (2) such registrations pursuant to </w:t>
      </w:r>
      <w:r>
        <w:rPr>
          <w:rFonts w:ascii="Arial" w:cs="Arial" w:eastAsia="Arial" w:hAnsi="Arial"/>
          <w:sz w:val="18"/>
          <w:szCs w:val="18"/>
          <w:u w:val="single" w:color="auto"/>
          <w:color w:val="auto"/>
        </w:rPr>
        <w:t>subparagraph 2.7(a)</w:t>
      </w:r>
      <w:r>
        <w:rPr>
          <w:rFonts w:ascii="Arial" w:cs="Arial" w:eastAsia="Arial" w:hAnsi="Arial"/>
          <w:sz w:val="18"/>
          <w:szCs w:val="18"/>
          <w:color w:val="auto"/>
        </w:rPr>
        <w:t>; or (iii) if the Company shall furnish to such Holders a certificate signed by the President of the Company stating that, in the good faith judgment of the Board, it would be seriously detrimental to the Company or its stockholders for registration statements to be filed in the near future, then the Company’s obligation to use its commercially reasonable best efforts to file a registration statement shall be deferred for up to two periods of sixty (60) days each, such sixty (60) day periods not to exceed one hundred twenty (120) days from the receipt of the request to file such registration by such Holder or Holders. The Company shall not defer its obligation in this manner more than once in any twelve-month period.</w:t>
      </w:r>
    </w:p>
    <w:p>
      <w:pPr>
        <w:spacing w:after="0" w:line="197"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xml:space="preserve">. In the event of a Corporate Transaction, the Company shall use reasonable efforts to cause the registration rights described under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to be assumed or equivalent registration rights to be substituted by a successor corporation or a parent or subsidiary of such successor corporation in writing: “</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xml:space="preserve">” means a sale of all or substantially all of the Company’s assets or a merger, consolidation or other capital reorganization or business combination transaction of the Company with or into another corporation, entity or person or a sale of capital stock such that the stockholders immediately prior to such sale possess less than fifty percent (50%) of the voting power immediately after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2" w:lineRule="exact"/>
        <w:rPr>
          <w:sz w:val="20"/>
          <w:szCs w:val="20"/>
          <w:color w:val="auto"/>
        </w:rPr>
      </w:pPr>
    </w:p>
    <w:p>
      <w:pPr>
        <w:ind w:right="40" w:firstLine="8"/>
        <w:spacing w:after="0" w:line="254" w:lineRule="auto"/>
        <w:tabs>
          <w:tab w:leader="none" w:pos="24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may be waived by the holders of at least sixty percent (60%) of the then outstanding Registrable Securities and Bayer and (b) the provisions of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not apply in the event of any Corporate Transaction if all Holders are entitled to receive in exchange for their Registrable Securities consideration consisting solely of (i) cash or (ii) securities of the acquiring corporation which may be immediately sold to the public without registration under the Securities Act.</w:t>
      </w:r>
    </w:p>
    <w:p>
      <w:pPr>
        <w:spacing w:after="0" w:line="19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2.9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Registration Expenses, including the reasonable fees and expenses of not more than one special counsel to the Holders, incurred in connection with registrations pursuant to </w:t>
      </w:r>
      <w:r>
        <w:rPr>
          <w:rFonts w:ascii="Arial" w:cs="Arial" w:eastAsia="Arial" w:hAnsi="Arial"/>
          <w:sz w:val="17"/>
          <w:szCs w:val="17"/>
          <w:u w:val="single" w:color="auto"/>
          <w:color w:val="auto"/>
        </w:rPr>
        <w:t>Subsections 2.5, 2.6 and 2.7</w:t>
      </w:r>
      <w:r>
        <w:rPr>
          <w:rFonts w:ascii="Arial" w:cs="Arial" w:eastAsia="Arial" w:hAnsi="Arial"/>
          <w:sz w:val="17"/>
          <w:szCs w:val="17"/>
          <w:color w:val="auto"/>
        </w:rPr>
        <w:t xml:space="preserve"> shall be borne by the Company, provided that the Company shall not be required to pay the Registration Expenses of any registration proceeding begun pursuant to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the request of which has been subsequently withdrawn by the Initiating Holders. In such case, (i) the Holders of Registrable Securities to have been registered shall bear all such Registration Expenses pro rata on the basis of the number of shares to have been registered and (ii) the Company shall be deemed not to have effected a registration pursuant to </w:t>
      </w:r>
      <w:r>
        <w:rPr>
          <w:rFonts w:ascii="Arial" w:cs="Arial" w:eastAsia="Arial" w:hAnsi="Arial"/>
          <w:sz w:val="17"/>
          <w:szCs w:val="17"/>
          <w:u w:val="single" w:color="auto"/>
          <w:color w:val="auto"/>
        </w:rPr>
        <w:t>subparagraph 2.5(a)</w:t>
      </w:r>
      <w:r>
        <w:rPr>
          <w:rFonts w:ascii="Arial" w:cs="Arial" w:eastAsia="Arial" w:hAnsi="Arial"/>
          <w:sz w:val="17"/>
          <w:szCs w:val="17"/>
          <w:color w:val="auto"/>
        </w:rPr>
        <w:t xml:space="preserve"> of this Agreement. Notwithstanding the foregoing, however, if at the time of the withdrawal, the Holders have learned of a material adverse change in the condition, business or prospects of the Company from that known to the Holders at the time of their request, of which the Company had knowledge at the time of the request, then the Holders shall not be required to pay any of such Registration Expenses, all of which shall be borne by the Company. In such case, the Company shall be deemed not to have effected a registration pursuant to </w:t>
      </w:r>
      <w:r>
        <w:rPr>
          <w:rFonts w:ascii="Arial" w:cs="Arial" w:eastAsia="Arial" w:hAnsi="Arial"/>
          <w:sz w:val="17"/>
          <w:szCs w:val="17"/>
          <w:u w:val="single" w:color="auto"/>
          <w:color w:val="auto"/>
        </w:rPr>
        <w:t>subparagraph 2.5(a)</w:t>
      </w:r>
      <w:r>
        <w:rPr>
          <w:rFonts w:ascii="Arial" w:cs="Arial" w:eastAsia="Arial" w:hAnsi="Arial"/>
          <w:sz w:val="17"/>
          <w:szCs w:val="17"/>
          <w:color w:val="auto"/>
        </w:rPr>
        <w:t xml:space="preserve"> of this Agreement. Unless otherwise stated, all Selling Expenses relating to securities registered on behalf of the Holders shall be borne by the Holders of the registered securities included in such registration pro rata on the basis of the number of shares so registered.</w:t>
      </w:r>
    </w:p>
    <w:p>
      <w:pPr>
        <w:spacing w:after="0" w:line="183"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In the case of each registration, qualification or compliance effected by the Company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the Company will keep each Holder advised in writing as to the initiation of each registration, qualification and compliance and as to the completion thereof. The Company will:</w:t>
      </w:r>
    </w:p>
    <w:p>
      <w:pPr>
        <w:spacing w:after="0" w:line="181" w:lineRule="exact"/>
        <w:rPr>
          <w:sz w:val="20"/>
          <w:szCs w:val="20"/>
          <w:color w:val="auto"/>
        </w:rPr>
      </w:pPr>
    </w:p>
    <w:p>
      <w:pPr>
        <w:ind w:right="40" w:firstLine="921"/>
        <w:spacing w:after="0" w:line="283" w:lineRule="auto"/>
        <w:tabs>
          <w:tab w:leader="none" w:pos="1158" w:val="left"/>
        </w:tabs>
        <w:numPr>
          <w:ilvl w:val="1"/>
          <w:numId w:val="166"/>
        </w:numPr>
        <w:rPr>
          <w:rFonts w:ascii="Arial" w:cs="Arial" w:eastAsia="Arial" w:hAnsi="Arial"/>
          <w:sz w:val="16"/>
          <w:szCs w:val="16"/>
          <w:color w:val="auto"/>
        </w:rPr>
      </w:pPr>
      <w:r>
        <w:rPr>
          <w:rFonts w:ascii="Arial" w:cs="Arial" w:eastAsia="Arial" w:hAnsi="Arial"/>
          <w:sz w:val="16"/>
          <w:szCs w:val="16"/>
          <w:color w:val="auto"/>
        </w:rPr>
        <w:t xml:space="preserve">Prepare and file with the Commission a registration statement with respect to the Registrable Securities and use its commercially reasonable efforts to cause such registration statement to become and remain effective for at least one hundred twenty (120) days or until the distribution described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that the Holder refrains from selling any securities included in such registration at the request of the Company or an underwriter of the Common Stock (or any other securities) of the Company and (ii) in the case of any registration on Form S-3 which is intended to be offered on a continuous or delayed basis, such one hundred twenty (120) day period shall be extended, if necessary, to keep the registration statement effective until all such Registrable Securities are sold, provided that Rule 415, or any successor rule under the Securities Act, permits an offering on a continuous or delayed basis, and provided further that applicable rules under the Securities Act governing the obligation to file a post-effective amendment permit, in lieu of filing a post-effective amendment which includes (A) any prospectus required by Section 10(a)(3) of the Securities Act or (B) reflects facts or events representing a material or fundamental change in the information set forth in the registration statement, the incorporation by reference of information required to be included in (a) and</w:t>
      </w:r>
    </w:p>
    <w:p>
      <w:pPr>
        <w:spacing w:after="0" w:line="5" w:lineRule="exact"/>
        <w:rPr>
          <w:rFonts w:ascii="Arial" w:cs="Arial" w:eastAsia="Arial" w:hAnsi="Arial"/>
          <w:sz w:val="16"/>
          <w:szCs w:val="16"/>
          <w:color w:val="auto"/>
        </w:rPr>
      </w:pPr>
    </w:p>
    <w:p>
      <w:pPr>
        <w:ind w:right="140" w:firstLine="8"/>
        <w:spacing w:after="0" w:line="261" w:lineRule="auto"/>
        <w:tabs>
          <w:tab w:leader="none" w:pos="255"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above to be contained in periodic reports filed pursuant to Section 13 or 15(d)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in the registration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301" w:name="page302"/>
    <w:bookmarkEnd w:id="301"/>
    <w:p>
      <w:pPr>
        <w:ind w:left="-60" w:right="120" w:firstLine="921"/>
        <w:spacing w:after="0" w:line="286" w:lineRule="auto"/>
        <w:tabs>
          <w:tab w:leader="none" w:pos="1108" w:val="left"/>
        </w:tabs>
        <w:numPr>
          <w:ilvl w:val="0"/>
          <w:numId w:val="1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Furnish to the Holders participating in such registration and to the underwriters of the securities being registered such reasonable number of copies of the registration statement and amendments and supplements thereto, preliminary prospectus, final prospectus and such other documents as such underwriters may reasonably request in order to facilitate the public offering of such securities;</w:t>
      </w:r>
    </w:p>
    <w:p>
      <w:pPr>
        <w:spacing w:after="0" w:line="165" w:lineRule="exact"/>
        <w:rPr>
          <w:rFonts w:ascii="Arial" w:cs="Arial" w:eastAsia="Arial" w:hAnsi="Arial"/>
          <w:sz w:val="17"/>
          <w:szCs w:val="17"/>
          <w:color w:val="auto"/>
        </w:rPr>
      </w:pPr>
    </w:p>
    <w:p>
      <w:pPr>
        <w:ind w:left="-60" w:right="160" w:firstLine="921"/>
        <w:spacing w:after="0" w:line="277" w:lineRule="auto"/>
        <w:tabs>
          <w:tab w:leader="none" w:pos="10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Cause all such Registrable Securities registered hereunder to be listed on each securities exchange on which similar securities issued by the Company are then listed;</w:t>
      </w:r>
    </w:p>
    <w:p>
      <w:pPr>
        <w:spacing w:after="0" w:line="170" w:lineRule="exact"/>
        <w:rPr>
          <w:rFonts w:ascii="Arial" w:cs="Arial" w:eastAsia="Arial" w:hAnsi="Arial"/>
          <w:sz w:val="18"/>
          <w:szCs w:val="18"/>
          <w:color w:val="auto"/>
        </w:rPr>
      </w:pPr>
    </w:p>
    <w:p>
      <w:pPr>
        <w:ind w:left="-60" w:firstLine="921"/>
        <w:spacing w:after="0" w:line="259" w:lineRule="auto"/>
        <w:tabs>
          <w:tab w:leader="none" w:pos="110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material fact or omits to state a material fact required to be stated therein or necessary to make the statements therein not misleading in light of the circumstances then existing;</w:t>
      </w:r>
    </w:p>
    <w:p>
      <w:pPr>
        <w:spacing w:after="0" w:line="186" w:lineRule="exact"/>
        <w:rPr>
          <w:rFonts w:ascii="Arial" w:cs="Arial" w:eastAsia="Arial" w:hAnsi="Arial"/>
          <w:sz w:val="18"/>
          <w:szCs w:val="18"/>
          <w:color w:val="auto"/>
        </w:rPr>
      </w:pPr>
    </w:p>
    <w:p>
      <w:pPr>
        <w:ind w:left="-60" w:right="140" w:firstLine="921"/>
        <w:spacing w:after="0" w:line="277" w:lineRule="auto"/>
        <w:tabs>
          <w:tab w:leader="none" w:pos="109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Provide transfer agent and registrar for all Registrable Securities registered pursuant to such registration statement and a CUSIP number for all such Registrable Securities, in each case not later than effective date of such registration;</w:t>
      </w:r>
    </w:p>
    <w:p>
      <w:pPr>
        <w:spacing w:after="0" w:line="170" w:lineRule="exact"/>
        <w:rPr>
          <w:rFonts w:ascii="Arial" w:cs="Arial" w:eastAsia="Arial" w:hAnsi="Arial"/>
          <w:sz w:val="18"/>
          <w:szCs w:val="18"/>
          <w:color w:val="auto"/>
        </w:rPr>
      </w:pPr>
    </w:p>
    <w:p>
      <w:pPr>
        <w:ind w:left="-60" w:right="160" w:firstLine="921"/>
        <w:spacing w:after="0" w:line="277" w:lineRule="auto"/>
        <w:tabs>
          <w:tab w:leader="none" w:pos="107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Prepare and file amendments of or supplements to the registration statement or prospectus necessary to comply with the Securities Act with respect to disposition of the Registrable Securities covered by such registration statement;</w:t>
      </w:r>
    </w:p>
    <w:p>
      <w:pPr>
        <w:spacing w:after="0" w:line="170" w:lineRule="exact"/>
        <w:rPr>
          <w:rFonts w:ascii="Arial" w:cs="Arial" w:eastAsia="Arial" w:hAnsi="Arial"/>
          <w:sz w:val="18"/>
          <w:szCs w:val="18"/>
          <w:color w:val="auto"/>
        </w:rPr>
      </w:pPr>
    </w:p>
    <w:p>
      <w:pPr>
        <w:jc w:val="both"/>
        <w:ind w:left="-60" w:right="320" w:firstLine="921"/>
        <w:spacing w:after="0" w:line="279" w:lineRule="auto"/>
        <w:tabs>
          <w:tab w:leader="none" w:pos="110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Use all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qualified to do business or subject to service of process in that jurisdiction;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300" w:top="274" w:right="299" w:bottom="1440" w:gutter="0" w:footer="0" w:header="0"/>
        </w:sectPr>
      </w:pPr>
    </w:p>
    <w:bookmarkStart w:id="302" w:name="page303"/>
    <w:bookmarkEnd w:id="302"/>
    <w:p>
      <w:pPr>
        <w:ind w:left="-40" w:right="40" w:firstLine="921"/>
        <w:spacing w:after="0" w:line="273" w:lineRule="auto"/>
        <w:tabs>
          <w:tab w:leader="none" w:pos="1128" w:val="left"/>
        </w:tabs>
        <w:numPr>
          <w:ilvl w:val="0"/>
          <w:numId w:val="16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Use its best efforts to furnish, at the request of any Holder requesting registration of Registrable Securities pursuant to this </w:t>
      </w:r>
      <w:r>
        <w:rPr>
          <w:rFonts w:ascii="Arial" w:cs="Arial" w:eastAsia="Arial" w:hAnsi="Arial"/>
          <w:sz w:val="17"/>
          <w:szCs w:val="17"/>
          <w:u w:val="single" w:color="auto"/>
          <w:color w:val="auto"/>
        </w:rPr>
        <w:t>Subsection 2.10</w:t>
      </w:r>
      <w:r>
        <w:rPr>
          <w:rFonts w:ascii="Arial" w:cs="Arial" w:eastAsia="Arial" w:hAnsi="Arial"/>
          <w:sz w:val="17"/>
          <w:szCs w:val="17"/>
          <w:color w:val="auto"/>
        </w:rPr>
        <w:t xml:space="preserve">, on the date that such Registrable Securities are delivered to the underwriters for sale in connection with a registration pursuant to this </w:t>
      </w:r>
      <w:r>
        <w:rPr>
          <w:rFonts w:ascii="Arial" w:cs="Arial" w:eastAsia="Arial" w:hAnsi="Arial"/>
          <w:sz w:val="17"/>
          <w:szCs w:val="17"/>
          <w:u w:val="single" w:color="auto"/>
          <w:color w:val="auto"/>
        </w:rPr>
        <w:t>Subsection 2.10</w:t>
      </w:r>
      <w:r>
        <w:rPr>
          <w:rFonts w:ascii="Arial" w:cs="Arial" w:eastAsia="Arial" w:hAnsi="Arial"/>
          <w:sz w:val="17"/>
          <w:szCs w:val="17"/>
          <w:color w:val="auto"/>
        </w:rPr>
        <w:t>, if such securities are being sold through underwriters, (i) an opinion, dated such date, of the counsel representing the Company for the purposes of such registration, in form and substance as is customarily given to underwriters in an underwritten public offering, addressed to the underwriters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8" w:lineRule="exact"/>
        <w:rPr>
          <w:rFonts w:ascii="Arial" w:cs="Arial" w:eastAsia="Arial" w:hAnsi="Arial"/>
          <w:sz w:val="17"/>
          <w:szCs w:val="17"/>
          <w:color w:val="auto"/>
        </w:rPr>
      </w:pPr>
    </w:p>
    <w:p>
      <w:pPr>
        <w:jc w:val="both"/>
        <w:ind w:left="-40" w:firstLine="921"/>
        <w:spacing w:after="0" w:line="286" w:lineRule="auto"/>
        <w:tabs>
          <w:tab w:leader="none" w:pos="108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Make generally available to its security holders, and to deliver to each Holder participating in the registration statement, an earnings statement of the Company that will satisfy the provisions of Section 11(a) of the Securities Act covering a period of 12 months beginning after the effective date of such registration statement as soon as reasonably practicable after the termination of such 12-month period; and</w:t>
      </w:r>
    </w:p>
    <w:p>
      <w:pPr>
        <w:spacing w:after="0" w:line="165" w:lineRule="exact"/>
        <w:rPr>
          <w:rFonts w:ascii="Arial" w:cs="Arial" w:eastAsia="Arial" w:hAnsi="Arial"/>
          <w:sz w:val="17"/>
          <w:szCs w:val="17"/>
          <w:color w:val="auto"/>
        </w:rPr>
      </w:pPr>
    </w:p>
    <w:p>
      <w:pPr>
        <w:ind w:left="-40" w:right="300" w:firstLine="921"/>
        <w:spacing w:after="0" w:line="264" w:lineRule="auto"/>
        <w:tabs>
          <w:tab w:leader="none" w:pos="1088"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 Each Holder and other security holder participating in such underwriting shall also enter into and perform its obligations under such an agreement.</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40" w:right="40" w:firstLine="921"/>
        <w:spacing w:after="0" w:line="286" w:lineRule="auto"/>
        <w:tabs>
          <w:tab w:leader="none" w:pos="111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The Company will indemnify each Holder, each of its officers and directors and partners, and each person controlling such Holder within the meaning of Section 15 of the Securities Act, with respect to which registration, qualification or compliance has been effected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and each underwriter, if any and each person who controls any underwriter within the meaning of Section 15 of the Securities Act, against all expenses, claims, losses, damages or liabilities (or actions in respect thereof), including any of the foregoing incurred in settlement of any litigation, commenced or threatened, arising out of or based on any untrue statement (or alleged untrue statement) of a material fact contained in any registration statement, prospectus, offering circular or other document, or any amendment or supplement thereto, incident to any such registration, qualification or compliance, or based on any omission (or alleged omission) to state therein a material fact required to be stated therein or necessary to make the statements therein, in light of the circumstances in which they were made, not misleading, or any violation by the Company of any rule or regulation promulgated under the Securities Act, the Exchange Act or any state securities laws applicable to the Company in connection with any such registration, qualification or compliance, and the Company will reimburse each such Holder, each of its officers and directors, and each person controlling such Holder, each such underwriter and each person who controls any such underwriter, for any legal and any other expenses reasonably incurred in connection with investigating, preparing or defending any such claim, loss, damage, liability or action, as such expenses are incurred,’ provided that the Company will not be liable in any such case to the extent that any such claim, loss, damage, liability or expense arises out of or is based on any untrue statement or omission or alleged untrue statement or omission, made in reliance upon and in conformity with written information furnished to the Company by an instrument duly executed by such Holder, controlling person or underwriter and stated to be specifically for use therein.</w:t>
      </w:r>
    </w:p>
    <w:p>
      <w:pPr>
        <w:spacing w:after="0" w:line="168" w:lineRule="exact"/>
        <w:rPr>
          <w:rFonts w:ascii="Arial" w:cs="Arial" w:eastAsia="Arial" w:hAnsi="Arial"/>
          <w:sz w:val="16"/>
          <w:szCs w:val="16"/>
          <w:color w:val="auto"/>
        </w:rPr>
      </w:pPr>
    </w:p>
    <w:p>
      <w:pPr>
        <w:ind w:left="-40" w:right="120" w:firstLine="921"/>
        <w:spacing w:after="0" w:line="286" w:lineRule="auto"/>
        <w:tabs>
          <w:tab w:leader="none" w:pos="112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Each Holder will, if Registrable Securities held by such Holder are included in the securities as to which such registration, qualification or compliance is being effected, severally, but not jointly, indemnify the Company, each of its directors and officers, each underwriter, if any, of the Company’s securities covered by such a registration statement, each person who controls the Company or such underwriter</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80" w:top="274" w:right="259" w:bottom="1440" w:gutter="0" w:footer="0" w:header="0"/>
        </w:sectPr>
      </w:pPr>
    </w:p>
    <w:bookmarkStart w:id="303" w:name="page304"/>
    <w:bookmarkEnd w:id="303"/>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within the meaning of Section 15 of the Securities Act, and each other such Holder, each of its officers and directors and each person controlling such Holder within the meaning of Section 15 of the Securities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in light of the circumstances in which they were made, not misleading, and will reimburse the Company, such Holders, such directors, officers, persons, underwriters or control persons for any legal or any other expenses reasonably incurred in connection with investigating or defending any such claim, loss, damage, liability or action, as such expenses are incurred,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an instrument duly executed by such Holder and stated to be specifically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no event shall any indemnity under this </w:t>
      </w:r>
      <w:r>
        <w:rPr>
          <w:rFonts w:ascii="Arial" w:cs="Arial" w:eastAsia="Arial" w:hAnsi="Arial"/>
          <w:sz w:val="16"/>
          <w:szCs w:val="16"/>
          <w:u w:val="single" w:color="auto"/>
          <w:color w:val="auto"/>
        </w:rPr>
        <w:t>Subsection 2.11(b)</w:t>
      </w:r>
      <w:r>
        <w:rPr>
          <w:rFonts w:ascii="Arial" w:cs="Arial" w:eastAsia="Arial" w:hAnsi="Arial"/>
          <w:sz w:val="16"/>
          <w:szCs w:val="16"/>
          <w:color w:val="auto"/>
        </w:rPr>
        <w:t xml:space="preserve"> exceed the net proceeds from the offering received by such Holder unless such liability arises out of or is based upon the willful misconduct by such Holder.</w:t>
      </w:r>
    </w:p>
    <w:p>
      <w:pPr>
        <w:spacing w:after="0" w:line="173" w:lineRule="exact"/>
        <w:rPr>
          <w:sz w:val="20"/>
          <w:szCs w:val="20"/>
          <w:color w:val="auto"/>
        </w:rPr>
      </w:pPr>
    </w:p>
    <w:p>
      <w:pPr>
        <w:ind w:right="80" w:firstLine="921"/>
        <w:spacing w:after="0" w:line="289" w:lineRule="auto"/>
        <w:tabs>
          <w:tab w:leader="none" w:pos="115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is held by a court of competent jurisdiction to be unavailable to a party entitled to indemnification under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with respect to any loss, liability, claim, damage or expense referred to herein, then the party required to provide indemnification (the “Indemnifying Party”), in lieu of indemnifying such Indemnified Party hereunder, instead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66" w:lineRule="exact"/>
        <w:rPr>
          <w:rFonts w:ascii="Arial" w:cs="Arial" w:eastAsia="Arial" w:hAnsi="Arial"/>
          <w:sz w:val="16"/>
          <w:szCs w:val="16"/>
          <w:color w:val="auto"/>
        </w:rPr>
      </w:pPr>
    </w:p>
    <w:p>
      <w:pPr>
        <w:ind w:firstLine="921"/>
        <w:spacing w:after="0" w:line="287" w:lineRule="auto"/>
        <w:tabs>
          <w:tab w:leader="none" w:pos="116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Each Indemnified Party shall give notice to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 may participate in such defense at such party’s expense;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Indemnified Party (together with all other Indemnified Parties which may be represented without conflict by one counsel) shall have the right to retain its own separate counsel with the reasonable fees and expenses to be paid by the Indemnifying Party if the Indemnified Party reasonably determines that representation of such Indemnified Party would be appropriate due to actual or potential differing interests between such Indemnified Party and any other party represented by such counsel in such proceeding. The failure of any Indemnified Party to give notice as provided herein shall not relieve the Indemnifying Party of its obligations under this Section 2 unless the failure to give such notice is materially prejudicial to an Indemnifying Party’s ability to defend such action.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274" w:right="299" w:bottom="1440" w:gutter="0" w:footer="0" w:header="0"/>
        </w:sectPr>
      </w:pPr>
    </w:p>
    <w:bookmarkStart w:id="304" w:name="page305"/>
    <w:bookmarkEnd w:id="304"/>
    <w:p>
      <w:pPr>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6"/>
          <w:szCs w:val="16"/>
          <w:u w:val="single" w:color="auto"/>
          <w:color w:val="auto"/>
        </w:rPr>
        <w:t>Information by Holder</w:t>
      </w:r>
      <w:r>
        <w:rPr>
          <w:rFonts w:ascii="Arial" w:cs="Arial" w:eastAsia="Arial" w:hAnsi="Arial"/>
          <w:sz w:val="16"/>
          <w:szCs w:val="16"/>
          <w:color w:val="auto"/>
        </w:rPr>
        <w:t xml:space="preserve">. The Holder or Holders of Registrable Securities included in any registration shall furnish to the Company such information regarding such Holder or Holders, the Registrable Securities held by them and the distribution proposed by such Holder or Holders as the Company may reasonably request in writing and as shall be required in connection with any registration, qualification or compliance referred to in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the benefits of certain rules and regulations of the Commission which may at any time permit the sale of the Restricted Securities to the public without registration, after such time as a public market exists for the Common Stock of the Company, the Company agrees to use its commercially reasonable best efforts to:</w:t>
      </w:r>
    </w:p>
    <w:p>
      <w:pPr>
        <w:spacing w:after="0" w:line="181" w:lineRule="exact"/>
        <w:rPr>
          <w:sz w:val="20"/>
          <w:szCs w:val="20"/>
          <w:color w:val="auto"/>
        </w:rPr>
      </w:pPr>
    </w:p>
    <w:p>
      <w:pPr>
        <w:ind w:right="40" w:firstLine="921"/>
        <w:spacing w:after="0" w:line="277" w:lineRule="auto"/>
        <w:tabs>
          <w:tab w:leader="none" w:pos="115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under the Securities Act, at all times after the effective date that the Company becomes subject to the reporting requirements of the Exchange Act;</w:t>
      </w:r>
    </w:p>
    <w:p>
      <w:pPr>
        <w:spacing w:after="0" w:line="170" w:lineRule="exact"/>
        <w:rPr>
          <w:rFonts w:ascii="Arial" w:cs="Arial" w:eastAsia="Arial" w:hAnsi="Arial"/>
          <w:sz w:val="18"/>
          <w:szCs w:val="18"/>
          <w:color w:val="auto"/>
        </w:rPr>
      </w:pPr>
    </w:p>
    <w:p>
      <w:pPr>
        <w:ind w:right="460" w:firstLine="921"/>
        <w:spacing w:after="0" w:line="277" w:lineRule="auto"/>
        <w:tabs>
          <w:tab w:leader="none" w:pos="116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ind w:right="120" w:firstLine="921"/>
        <w:spacing w:after="0" w:line="293" w:lineRule="auto"/>
        <w:tabs>
          <w:tab w:leader="none" w:pos="115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So long as an Investor owns any Restricted Securities, to furnish to the Investor forthwith upon request a written statement by the Company as to its compliance with the reporting requirements of said Rule 144 (at any time after ninety (90) days after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of the Company and other information in the possession of or reasonably obtainable by the Company as an Investor may reasonably request in availing itself of any rule or regulation of the Commission allowing an Investor to sell any such securities without registration.</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Transfer of Registration Rights</w:t>
      </w:r>
      <w:r>
        <w:rPr>
          <w:rFonts w:ascii="Arial" w:cs="Arial" w:eastAsia="Arial" w:hAnsi="Arial"/>
          <w:sz w:val="16"/>
          <w:szCs w:val="16"/>
          <w:color w:val="auto"/>
        </w:rPr>
        <w:t xml:space="preserve">. The rights to cause the Company to register securities granted Investors under </w:t>
      </w:r>
      <w:r>
        <w:rPr>
          <w:rFonts w:ascii="Arial" w:cs="Arial" w:eastAsia="Arial" w:hAnsi="Arial"/>
          <w:sz w:val="16"/>
          <w:szCs w:val="16"/>
          <w:u w:val="single" w:color="auto"/>
          <w:color w:val="auto"/>
        </w:rPr>
        <w:t>Subsections 2.5, 2.6 and 2.7</w:t>
      </w:r>
      <w:r>
        <w:rPr>
          <w:rFonts w:ascii="Arial" w:cs="Arial" w:eastAsia="Arial" w:hAnsi="Arial"/>
          <w:sz w:val="16"/>
          <w:szCs w:val="16"/>
          <w:color w:val="auto"/>
        </w:rPr>
        <w:t xml:space="preserve"> may only be assigned to (i) a transferee or assignee who acquires at least sixty-six percent (66%) of an original Holder’s Registrable Securities as of the date hereof (subject to adjustment for stock splits, reverse stock splits, stock dividends and other similar transactions), (ii) any other Investor who has such registration rights, (iii) any assignee of Bayer in accordance with the Warrant Agreement, (iv) any affiliated fund of any Holder that is a partnership or limited liability company, (v) any partner or retired partner of any Holder which is a partnership or member or retired member of any Holder which is a limited liability company, (vi) any family member or trust for the benefit of any individual Holder or (vii) as provided by restrictions required by law; provided in each case that prompt written notice of such assignment is given to the Company and such assignee agrees to be bound by the provisions of this Agreement.</w:t>
      </w:r>
    </w:p>
    <w:p>
      <w:pPr>
        <w:spacing w:after="0" w:line="16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Each Holder agrees in connection with the initial public offering of the Company’s securities (other than a registration of securities in a Rule 145 transaction or with respect to an employee benefit plan) that, upon request of the Company or the underwriters managing any underwritten offering of the Company’s securities, not to sell, make any short sale of, loan, grant any option for the purchase of, pledge, hypothecate, limit such Holder’s market risk regarding or otherwise directly or indirectly dispose of any Registrable Securities (other than those included in the registration) or other capital stock of the Company or securities exchangeable or convertible into capital stock of the Company without the prior written consent of the Company or such underwriters, as the case may be, for such period of time (not to exceed one hundred eighty (180) days from the date of the final prospectus used in such registration) as may be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05" w:name="page306"/>
    <w:bookmarkEnd w:id="305"/>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requested by the Company or such managing underwriters, and to enter into a lock-up agreement in customary form with such underwriters providing for restrictions approved by the Board, provided that all officers and directors of the Company and holders of at least one percent (1%) of the Company’s voting securities are bound by and have entered into similar agreements, except as otherwise set forth herein. Notwithstanding the foregoing, Fidelity Research and Management Company and its Affiliates will only be subject to the foregoing provisions of this </w:t>
      </w:r>
      <w:r>
        <w:rPr>
          <w:rFonts w:ascii="Arial" w:cs="Arial" w:eastAsia="Arial" w:hAnsi="Arial"/>
          <w:sz w:val="16"/>
          <w:szCs w:val="16"/>
          <w:u w:val="single" w:color="auto"/>
          <w:color w:val="auto"/>
        </w:rPr>
        <w:t>Subsection 2.15</w:t>
      </w:r>
      <w:r>
        <w:rPr>
          <w:rFonts w:ascii="Arial" w:cs="Arial" w:eastAsia="Arial" w:hAnsi="Arial"/>
          <w:sz w:val="16"/>
          <w:szCs w:val="16"/>
          <w:color w:val="auto"/>
        </w:rPr>
        <w:t xml:space="preserve"> with regards to any Registrable Securities held immediately before the effective date of the registration statement of the initial public offering. In the event of any early release of portions of the securities subject to such lock-up agreements, all Holders will be released on a pro rata basis from such agreements. Any discretionary waiver or termination of the restrictions of any or all of such agreements by the Company or the underwriters shall apply pro rata to all Holders subject to such agreements, based on the number of shares subject to such agreements. The certificates for the (a) Shares, (b) Conversion Shares, (c) any New Securities and (d) any other securities issued in respect of the securities referenced in clauses (a), (b) and (c) upon any stock split, stock dividend, recapitalization, merger, consolidation or similar event shall contain, for so long as such market stand-off provision remains in place, a legend in substantially the following form:</w:t>
      </w:r>
    </w:p>
    <w:p>
      <w:pPr>
        <w:spacing w:after="0" w:line="61" w:lineRule="exact"/>
        <w:rPr>
          <w:sz w:val="20"/>
          <w:szCs w:val="20"/>
          <w:color w:val="auto"/>
        </w:rPr>
      </w:pPr>
    </w:p>
    <w:p>
      <w:pPr>
        <w:ind w:left="920" w:right="20"/>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INCLUDING A MARKET STAND-OFF AGREEMENT BETWEEN THE COMPANY AND THE ORIGINAL STOCKHOLDER THAT PROHIBITS SALE OR TRANSFER OF SUCH SHARES FOR A PERIOD OF UP TO 180 DAYS FOLLOWING THE DATE OF THE FINAL PROSPECTUS FOR THE INITIAL PUBLIC OFFERING OF THE ISSUER’S COMMON STOCK. THIS AGREEMENT IS BINDING UPON TRANSFEREES. A COPY OF THE AGREEMENT IS ON FILE WITH THE SECRETARY OF THE ISSUER.”</w:t>
      </w:r>
    </w:p>
    <w:p>
      <w:pPr>
        <w:spacing w:after="0" w:line="188"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Termination of Rights</w:t>
      </w:r>
      <w:r>
        <w:rPr>
          <w:rFonts w:ascii="Arial" w:cs="Arial" w:eastAsia="Arial" w:hAnsi="Arial"/>
          <w:sz w:val="18"/>
          <w:szCs w:val="18"/>
          <w:color w:val="auto"/>
        </w:rPr>
        <w:t xml:space="preserve">. The rights of any particular Holder or permitted transferee thereof to cause the Company to register securities under </w:t>
      </w:r>
      <w:r>
        <w:rPr>
          <w:rFonts w:ascii="Arial" w:cs="Arial" w:eastAsia="Arial" w:hAnsi="Arial"/>
          <w:sz w:val="18"/>
          <w:szCs w:val="18"/>
          <w:u w:val="single" w:color="auto"/>
          <w:color w:val="auto"/>
        </w:rPr>
        <w:t>Subsections 2.5, 2.6 and 2.7</w:t>
      </w:r>
      <w:r>
        <w:rPr>
          <w:rFonts w:ascii="Arial" w:cs="Arial" w:eastAsia="Arial" w:hAnsi="Arial"/>
          <w:sz w:val="18"/>
          <w:szCs w:val="18"/>
          <w:color w:val="auto"/>
        </w:rPr>
        <w:t xml:space="preserve"> shall terminate with respect to such Holder on the earlier of: (a) the date when such Holder can sell all of its Registrable Securities in a single transaction pursuant to Rule 144 of the Securities Act, (b) the three (3) year anniversary of the effective date of the Company’s initial public offering, or (c) a Liquidating Transaction (as defined in the Company’s Thirteenth Amended and Restated Certificate of Incorporation, as amended from time to time (the “</w:t>
      </w:r>
      <w:r>
        <w:rPr>
          <w:rFonts w:ascii="Arial" w:cs="Arial" w:eastAsia="Arial" w:hAnsi="Arial"/>
          <w:sz w:val="18"/>
          <w:szCs w:val="18"/>
          <w:u w:val="single" w:color="auto"/>
          <w:color w:val="auto"/>
        </w:rPr>
        <w:t>Charter</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OF FIRST OFFER</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Subject to the terms and conditions contained in this </w:t>
      </w:r>
      <w:r>
        <w:rPr>
          <w:rFonts w:ascii="Arial" w:cs="Arial" w:eastAsia="Arial" w:hAnsi="Arial"/>
          <w:sz w:val="16"/>
          <w:szCs w:val="16"/>
          <w:u w:val="single" w:color="auto"/>
          <w:color w:val="auto"/>
        </w:rPr>
        <w:t>Section 3</w:t>
      </w:r>
      <w:r>
        <w:rPr>
          <w:rFonts w:ascii="Arial" w:cs="Arial" w:eastAsia="Arial" w:hAnsi="Arial"/>
          <w:sz w:val="16"/>
          <w:szCs w:val="16"/>
          <w:color w:val="auto"/>
        </w:rPr>
        <w:t>, the Company hereby grants to each Investor holding Prime Preferred Stock (each an “</w:t>
      </w:r>
      <w:r>
        <w:rPr>
          <w:rFonts w:ascii="Arial" w:cs="Arial" w:eastAsia="Arial" w:hAnsi="Arial"/>
          <w:sz w:val="16"/>
          <w:szCs w:val="16"/>
          <w:u w:val="single" w:color="auto"/>
          <w:color w:val="auto"/>
        </w:rPr>
        <w:t>RFO Holder</w:t>
      </w:r>
      <w:r>
        <w:rPr>
          <w:rFonts w:ascii="Arial" w:cs="Arial" w:eastAsia="Arial" w:hAnsi="Arial"/>
          <w:sz w:val="16"/>
          <w:szCs w:val="16"/>
          <w:color w:val="auto"/>
        </w:rPr>
        <w:t>”) the right of first offer (the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xml:space="preserve">”) to purchase its Pro Rata Portion (as defined below) of any New Securities (as defined in </w:t>
      </w:r>
      <w:r>
        <w:rPr>
          <w:rFonts w:ascii="Arial" w:cs="Arial" w:eastAsia="Arial" w:hAnsi="Arial"/>
          <w:sz w:val="16"/>
          <w:szCs w:val="16"/>
          <w:u w:val="single" w:color="auto"/>
          <w:color w:val="auto"/>
        </w:rPr>
        <w:t>Subsection 3.2</w:t>
      </w:r>
      <w:r>
        <w:rPr>
          <w:rFonts w:ascii="Arial" w:cs="Arial" w:eastAsia="Arial" w:hAnsi="Arial"/>
          <w:sz w:val="16"/>
          <w:szCs w:val="16"/>
          <w:color w:val="auto"/>
        </w:rPr>
        <w:t>) which the Company may, from time to time, propose to sell and issue. RFO Holder’s “</w:t>
      </w:r>
      <w:r>
        <w:rPr>
          <w:rFonts w:ascii="Arial" w:cs="Arial" w:eastAsia="Arial" w:hAnsi="Arial"/>
          <w:sz w:val="16"/>
          <w:szCs w:val="16"/>
          <w:u w:val="single" w:color="auto"/>
          <w:color w:val="auto"/>
        </w:rPr>
        <w:t>Pro Rata Portion</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is equal to (x) the sum of the number of shares of the Company’s Common Stock then held by such RFO Holder and the number of shares of the Company’s Common Stock issuable upon conversion of the Prime Preferred Stock then held by such RFO Holder divided by (y) the sum of the total number of shares of the Company’s Common Stock then outstanding and the number of shares of the Company’s Common Stock issuable upon conversion of the then outstanding Prime Preferred Stock, as adjusted (assuming full conversion and exercise of all convertible and exercisable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3" w:right="259" w:bottom="1440" w:gutter="0" w:footer="0" w:header="0"/>
        </w:sectPr>
      </w:pPr>
    </w:p>
    <w:bookmarkStart w:id="306" w:name="page307"/>
    <w:bookmarkEnd w:id="306"/>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Definition of New Securities</w:t>
      </w:r>
      <w:r>
        <w:rPr>
          <w:rFonts w:ascii="Arial" w:cs="Arial" w:eastAsia="Arial" w:hAnsi="Arial"/>
          <w:sz w:val="18"/>
          <w:szCs w:val="18"/>
          <w:color w:val="auto"/>
        </w:rPr>
        <w:t>. Except as set forth below, “</w:t>
      </w:r>
      <w:r>
        <w:rPr>
          <w:rFonts w:ascii="Arial" w:cs="Arial" w:eastAsia="Arial" w:hAnsi="Arial"/>
          <w:sz w:val="18"/>
          <w:szCs w:val="18"/>
          <w:u w:val="single" w:color="auto"/>
          <w:color w:val="auto"/>
        </w:rPr>
        <w:t>New Securities</w:t>
      </w:r>
      <w:r>
        <w:rPr>
          <w:rFonts w:ascii="Arial" w:cs="Arial" w:eastAsia="Arial" w:hAnsi="Arial"/>
          <w:sz w:val="18"/>
          <w:szCs w:val="18"/>
          <w:color w:val="auto"/>
        </w:rPr>
        <w:t>” shall mean any shares of capital stock of the Company, including Common Stock and Preferred Stock, whether authorized or not, and rights, options or warrants to purchase said shares of Common Stock or Preferred Stock, and securities of any type whatsoever that are, or may become, convertible into said shares of Common Stock or Preferred Stock. Notwithstanding the foregoing, “New Securities” does not include:</w:t>
      </w:r>
    </w:p>
    <w:p>
      <w:pPr>
        <w:spacing w:after="0" w:line="187" w:lineRule="exact"/>
        <w:rPr>
          <w:sz w:val="20"/>
          <w:szCs w:val="20"/>
          <w:color w:val="auto"/>
        </w:rPr>
      </w:pPr>
    </w:p>
    <w:p>
      <w:pPr>
        <w:ind w:left="1160" w:hanging="239"/>
        <w:spacing w:after="0"/>
        <w:tabs>
          <w:tab w:leader="none" w:pos="11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Conversion Shares;</w:t>
      </w:r>
    </w:p>
    <w:p>
      <w:pPr>
        <w:spacing w:after="0" w:line="225" w:lineRule="exact"/>
        <w:rPr>
          <w:rFonts w:ascii="Arial" w:cs="Arial" w:eastAsia="Arial" w:hAnsi="Arial"/>
          <w:sz w:val="18"/>
          <w:szCs w:val="18"/>
          <w:color w:val="auto"/>
        </w:rPr>
      </w:pPr>
    </w:p>
    <w:p>
      <w:pPr>
        <w:jc w:val="both"/>
        <w:ind w:right="60" w:firstLine="921"/>
        <w:spacing w:after="0" w:line="264"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shares of Common Stock issued or deemed issued to employees or directors of, or consultants or advisors to this corporation, pursuant to the Company’s 2007 Stock Plan, as amended from time to time, and approved by a majority of the Board, including a majority of the Preferred Directors (as defined in Charter);</w:t>
      </w:r>
    </w:p>
    <w:p>
      <w:pPr>
        <w:spacing w:after="0" w:line="181" w:lineRule="exact"/>
        <w:rPr>
          <w:rFonts w:ascii="Arial" w:cs="Arial" w:eastAsia="Arial" w:hAnsi="Arial"/>
          <w:sz w:val="18"/>
          <w:szCs w:val="18"/>
          <w:color w:val="auto"/>
        </w:rPr>
      </w:pPr>
    </w:p>
    <w:p>
      <w:pPr>
        <w:ind w:right="160" w:firstLine="921"/>
        <w:spacing w:after="0" w:line="264" w:lineRule="auto"/>
        <w:tabs>
          <w:tab w:leader="none" w:pos="115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shares of Common Stock issued or deemed issued in connection with research and development partnerships, licensing, corporate partnering, collaborative arrangements or similar transactions approved by the holders of more than sixty percent (60%) of the outstanding Prime Preferred Stock on an as converted basis;</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securities issued by reason of a dividend, stock split, split-up or other distribution on shares of Common Stock;</w:t>
      </w:r>
    </w:p>
    <w:p>
      <w:pPr>
        <w:spacing w:after="0" w:line="225" w:lineRule="exact"/>
        <w:rPr>
          <w:rFonts w:ascii="Arial" w:cs="Arial" w:eastAsia="Arial" w:hAnsi="Arial"/>
          <w:sz w:val="18"/>
          <w:szCs w:val="18"/>
          <w:color w:val="auto"/>
        </w:rPr>
      </w:pPr>
    </w:p>
    <w:p>
      <w:pPr>
        <w:ind w:right="380" w:firstLine="921"/>
        <w:spacing w:after="0" w:line="308" w:lineRule="auto"/>
        <w:tabs>
          <w:tab w:leader="none" w:pos="1158"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securities to financial institutions or lessors issued in connection with commercial credit arrangements, equipment financings, or similar transactions approved by a majority of the Board, including a majority of the Preferred Directors (as defined in the Charter);</w:t>
      </w:r>
    </w:p>
    <w:p>
      <w:pPr>
        <w:spacing w:after="0" w:line="146" w:lineRule="exact"/>
        <w:rPr>
          <w:rFonts w:ascii="Arial" w:cs="Arial" w:eastAsia="Arial" w:hAnsi="Arial"/>
          <w:sz w:val="17"/>
          <w:szCs w:val="17"/>
          <w:color w:val="auto"/>
        </w:rPr>
      </w:pPr>
    </w:p>
    <w:p>
      <w:pPr>
        <w:ind w:right="160" w:firstLine="921"/>
        <w:spacing w:after="0" w:line="277" w:lineRule="auto"/>
        <w:tabs>
          <w:tab w:leader="none" w:pos="113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capital stock issued in connection with bona fide acquisitions, mergers, consolidations or similar business combinations, provided that such issuance has been approved by the holders of more than sixty percent (60%) of the outstanding Prime Preferred Stock;</w:t>
      </w:r>
    </w:p>
    <w:p>
      <w:pPr>
        <w:spacing w:after="0" w:line="170" w:lineRule="exact"/>
        <w:rPr>
          <w:rFonts w:ascii="Arial" w:cs="Arial" w:eastAsia="Arial" w:hAnsi="Arial"/>
          <w:sz w:val="18"/>
          <w:szCs w:val="18"/>
          <w:color w:val="auto"/>
        </w:rPr>
      </w:pPr>
    </w:p>
    <w:p>
      <w:pPr>
        <w:ind w:firstLine="921"/>
        <w:spacing w:after="0" w:line="264" w:lineRule="auto"/>
        <w:tabs>
          <w:tab w:leader="none" w:pos="116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and</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securities issued pursuant to a firm commitment, underwritten initial public offering registered under the Securities Act.</w:t>
      </w:r>
    </w:p>
    <w:p>
      <w:pPr>
        <w:spacing w:after="0" w:line="22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Notice of Right</w:t>
      </w:r>
      <w:r>
        <w:rPr>
          <w:rFonts w:ascii="Arial" w:cs="Arial" w:eastAsia="Arial" w:hAnsi="Arial"/>
          <w:sz w:val="16"/>
          <w:szCs w:val="16"/>
          <w:color w:val="auto"/>
        </w:rPr>
        <w:t xml:space="preserve">. In the event the Company proposes to undertake an issuance of New Securities, it shall give each RFO Holder written notice of its intention, describing the type of New Securities and the price and terms upon which the Company proposes to issue the same. The RFO Holders shall have fifteen (15) days from the date of receipt of any such notice to agree to purchase shares of such New Securities (up to the amount referred to in </w:t>
      </w:r>
      <w:r>
        <w:rPr>
          <w:rFonts w:ascii="Arial" w:cs="Arial" w:eastAsia="Arial" w:hAnsi="Arial"/>
          <w:sz w:val="16"/>
          <w:szCs w:val="16"/>
          <w:u w:val="single" w:color="auto"/>
          <w:color w:val="auto"/>
        </w:rPr>
        <w:t>Subsection</w:t>
      </w:r>
    </w:p>
    <w:p>
      <w:pPr>
        <w:spacing w:after="0" w:line="269" w:lineRule="auto"/>
        <w:rPr>
          <w:sz w:val="20"/>
          <w:szCs w:val="20"/>
          <w:color w:val="auto"/>
        </w:rPr>
      </w:pPr>
      <w:r>
        <w:rPr>
          <w:rFonts w:ascii="Arial" w:cs="Arial" w:eastAsia="Arial" w:hAnsi="Arial"/>
          <w:sz w:val="17"/>
          <w:szCs w:val="17"/>
          <w:u w:val="single" w:color="auto"/>
          <w:color w:val="auto"/>
        </w:rPr>
        <w:t>3.1</w:t>
      </w:r>
      <w:r>
        <w:rPr>
          <w:rFonts w:ascii="Arial" w:cs="Arial" w:eastAsia="Arial" w:hAnsi="Arial"/>
          <w:sz w:val="17"/>
          <w:szCs w:val="17"/>
          <w:color w:val="auto"/>
        </w:rPr>
        <w:t>), for the price and upon the terms specified in the notice, by giving written notice to the Company and stating therein the quantity of New Securities to be purchased. If any RFO Holders do not indicate an interest in purchasing any such RFO Holder’s full Pro Rata Portion of such New Securities by the end of the 15-day period, the Company shall give notice of any remaining available New Securities (the “</w:t>
      </w:r>
      <w:r>
        <w:rPr>
          <w:rFonts w:ascii="Arial" w:cs="Arial" w:eastAsia="Arial" w:hAnsi="Arial"/>
          <w:sz w:val="17"/>
          <w:szCs w:val="17"/>
          <w:u w:val="single" w:color="auto"/>
          <w:color w:val="auto"/>
        </w:rPr>
        <w:t>Overallotment Notice</w:t>
      </w:r>
      <w:r>
        <w:rPr>
          <w:rFonts w:ascii="Arial" w:cs="Arial" w:eastAsia="Arial" w:hAnsi="Arial"/>
          <w:sz w:val="17"/>
          <w:szCs w:val="17"/>
          <w:color w:val="auto"/>
        </w:rPr>
        <w:t>”) to each of the other RFO Holders who has elected to purchase its full Pro Rata Portion (the “</w:t>
      </w:r>
      <w:r>
        <w:rPr>
          <w:rFonts w:ascii="Arial" w:cs="Arial" w:eastAsia="Arial" w:hAnsi="Arial"/>
          <w:sz w:val="17"/>
          <w:szCs w:val="17"/>
          <w:u w:val="single" w:color="auto"/>
          <w:color w:val="auto"/>
        </w:rPr>
        <w:t>Electing Holders</w:t>
      </w:r>
      <w:r>
        <w:rPr>
          <w:rFonts w:ascii="Arial" w:cs="Arial" w:eastAsia="Arial" w:hAnsi="Arial"/>
          <w:sz w:val="17"/>
          <w:szCs w:val="17"/>
          <w:color w:val="auto"/>
        </w:rPr>
        <w:t xml:space="preserve">”). Such Overallotment Notice may be made by telephone if confirmed in writing within two (2) days. The Electing Holders shall then have a right of overallotment such that they shall have ten (10) days from the date such Overallotment Notice was given to indicate an interest to increase the number of shares of New Securities they may purchase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in an aggregate amount of up to the number of remaining available shares of New Securities which, if necessary, shall be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74" w:right="319" w:bottom="1440" w:gutter="0" w:footer="0" w:header="0"/>
        </w:sectPr>
      </w:pPr>
    </w:p>
    <w:bookmarkStart w:id="307" w:name="page308"/>
    <w:bookmarkEnd w:id="307"/>
    <w:p>
      <w:pPr>
        <w:ind w:right="2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apportioned pro rata on the basis of the proportion that the number of shares of Prime Preferred Stock and Common Stock then held by each such Electing Holder who elects to increase the number of shares of New Securities it proposes to purchase bears to the number of shares of Prime Preferred Stock and Common Stock then held by all such Electing Holders who elect to increase the number of shares of New Securities they propose to purchase.</w:t>
      </w:r>
    </w:p>
    <w:p>
      <w:pPr>
        <w:spacing w:after="0" w:line="14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Exercise of Right.</w:t>
      </w:r>
      <w:r>
        <w:rPr>
          <w:rFonts w:ascii="Arial" w:cs="Arial" w:eastAsia="Arial" w:hAnsi="Arial"/>
          <w:sz w:val="18"/>
          <w:szCs w:val="18"/>
          <w:color w:val="auto"/>
        </w:rPr>
        <w:t xml:space="preserve"> If any RFO Holder exercises its Right of First Offer hereunder, the closing of the purchase of the New Securities with respect to which such right has been exercised shall take place as soon as practicable after the RFO Holder gives notice of such interest.</w:t>
      </w:r>
    </w:p>
    <w:p>
      <w:pPr>
        <w:spacing w:after="0" w:line="170"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Lapse and Reinstatement of Right.</w:t>
      </w:r>
      <w:r>
        <w:rPr>
          <w:rFonts w:ascii="Arial" w:cs="Arial" w:eastAsia="Arial" w:hAnsi="Arial"/>
          <w:sz w:val="17"/>
          <w:szCs w:val="17"/>
          <w:color w:val="auto"/>
        </w:rPr>
        <w:t xml:space="preserve"> In the event a RFO Holder fails to exercise the Right of First Offer provided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in the manner provided above, the Company shall have ninety (90) days thereafter to sell or enter into an agreement (pursuant to which the sale of New Securities covered thereby shall be closed, if at all, within sixty (60) days from the date of said agreement) to sell the New Securities not elected to be purchased by such RFO Holder at the price and upon the terms no more favorable to the purchasers of such securities than specified in the Company’s notice. In the event the Company has not sold the New Securities or entered into an agreement to sell the New Securities within said ninety (90) day period (or sold and issued New Securities in accordance with the foregoing within sixty (60) days from the date of said agreement), the Company shall not thereafter issue or sell any New Securities without first offering such securities to the RFO Holder in the manner provided above.</w:t>
      </w:r>
    </w:p>
    <w:p>
      <w:pPr>
        <w:spacing w:after="0" w:line="17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Transfer of Right of First Offer</w:t>
      </w:r>
      <w:r>
        <w:rPr>
          <w:rFonts w:ascii="Arial" w:cs="Arial" w:eastAsia="Arial" w:hAnsi="Arial"/>
          <w:sz w:val="18"/>
          <w:szCs w:val="18"/>
          <w:color w:val="auto"/>
        </w:rPr>
        <w:t xml:space="preserve">. The Right of First Offer granted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 may be assigned to a transferee or assignee reasonably acceptable to the Company in connection with any transfer of shares of the Company capital stock held by a RFO Holder; provided that (a) such transfer may otherwise be effected in accordance with applicable securities laws; (b) written notice of such assignment is given to the Company; and (c) the transferee executes a written agreement to be bound by the terms of this Agreement.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Rights of Affiliated Investors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3</w:t>
      </w:r>
      <w:r>
        <w:rPr>
          <w:rFonts w:ascii="Arial" w:cs="Arial" w:eastAsia="Arial" w:hAnsi="Arial"/>
          <w:sz w:val="18"/>
          <w:szCs w:val="18"/>
          <w:color w:val="auto"/>
        </w:rPr>
        <w:t>, Investors who are Affiliates of one or more other Investors shall, at the election of an Investor and one or more such Affiliates, be treated as a group (an “</w:t>
      </w:r>
      <w:r>
        <w:rPr>
          <w:rFonts w:ascii="Arial" w:cs="Arial" w:eastAsia="Arial" w:hAnsi="Arial"/>
          <w:sz w:val="18"/>
          <w:szCs w:val="18"/>
          <w:u w:val="single" w:color="auto"/>
          <w:color w:val="auto"/>
        </w:rPr>
        <w:t>Investor Group</w:t>
      </w:r>
      <w:r>
        <w:rPr>
          <w:rFonts w:ascii="Arial" w:cs="Arial" w:eastAsia="Arial" w:hAnsi="Arial"/>
          <w:sz w:val="18"/>
          <w:szCs w:val="18"/>
          <w:color w:val="auto"/>
        </w:rPr>
        <w:t xml:space="preserve">”). Members of an Investor Group shall have the right to reallocate the rights granted by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among themselves as they determine.</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Termination of Right of First Offer</w:t>
      </w:r>
      <w:r>
        <w:rPr>
          <w:rFonts w:ascii="Arial" w:cs="Arial" w:eastAsia="Arial" w:hAnsi="Arial"/>
          <w:sz w:val="17"/>
          <w:szCs w:val="17"/>
          <w:color w:val="auto"/>
        </w:rPr>
        <w:t xml:space="preserve">. The Right of First Offer granted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shall terminate and be of no further force or effect upon the effective date of the Company’s initial public offering. In the event any RFO Holder fails to purchase its pro rata share of any New Securities, the Right of First Offer granted under this </w:t>
      </w:r>
      <w:r>
        <w:rPr>
          <w:rFonts w:ascii="Arial" w:cs="Arial" w:eastAsia="Arial" w:hAnsi="Arial"/>
          <w:sz w:val="17"/>
          <w:szCs w:val="17"/>
          <w:u w:val="single" w:color="auto"/>
          <w:color w:val="auto"/>
        </w:rPr>
        <w:t>Subsection 3</w:t>
      </w:r>
      <w:r>
        <w:rPr>
          <w:rFonts w:ascii="Arial" w:cs="Arial" w:eastAsia="Arial" w:hAnsi="Arial"/>
          <w:sz w:val="17"/>
          <w:szCs w:val="17"/>
          <w:color w:val="auto"/>
        </w:rPr>
        <w:t xml:space="preserve"> shall terminate and be of no further force or effect as to such RFO Holder (the “</w:t>
      </w:r>
      <w:r>
        <w:rPr>
          <w:rFonts w:ascii="Arial" w:cs="Arial" w:eastAsia="Arial" w:hAnsi="Arial"/>
          <w:sz w:val="17"/>
          <w:szCs w:val="17"/>
          <w:u w:val="single" w:color="auto"/>
          <w:color w:val="auto"/>
        </w:rPr>
        <w:t>RFO Right</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Condition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RFO Right Condition shall not apply to any Investor who purchased shares of Series C-1 Preferred Stock in connection with the Purchase Agreement or any Investor who purchases Registrable Securities after the date hereof.</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08" w:name="page309"/>
    <w:bookmarkEnd w:id="3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[Intentionally 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5</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AFFIRMATIVE COVENANTS OF THE COMPANY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covenants and agrees as follows: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 xml:space="preserve">. The Company will furnish to each MF Holder, Major Holder or transferee thereof under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the following reports:</w:t>
      </w:r>
    </w:p>
    <w:p>
      <w:pPr>
        <w:spacing w:after="0" w:line="170" w:lineRule="exact"/>
        <w:rPr>
          <w:sz w:val="20"/>
          <w:szCs w:val="20"/>
          <w:color w:val="auto"/>
        </w:rPr>
      </w:pPr>
    </w:p>
    <w:p>
      <w:pPr>
        <w:ind w:firstLine="921"/>
        <w:spacing w:after="0" w:line="257"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soon as practicable after the end of each fiscal year, and in any event within two hundred seventy (270) days thereafter, consolidated balance sheets of the Company and its subsidiaries, if any, as of the end of such fiscal year, and consolidated statements of income and cash flows of the Company and its subsidiaries, if any, for such year, prepared in accordance with generally accepted accounting principles applied on a consistent basis and setting forth in each case in comparative form the figures for the previous fiscal year, all in reasonable detail and audited by independent public accountants of national standing selected by the Company and approved by the Board;</w:t>
      </w:r>
    </w:p>
    <w:p>
      <w:pPr>
        <w:spacing w:after="0" w:line="188"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soon as practicable after the end of each quarter, and in any event within forty-five (45) days thereafter (other than the last calendar month of each fiscal year), unaudited consolidated balance sheets of the Company and its subsidiaries, if any, as of the end of the quarter, and unaudited consolidated statements of income and cash flows of the Company and its subsidiaries, if any, for such quarter, prepared in accordance with generally accepted accounting principles applied on a consistent basis and setting forth in each case in comparative form the figures for the same quarter one year earlier; provided that footnotes and schedule disclosure appearing in audited financial statements shall not be required, all in reasonable detail and signed by the principal financial or accounting officer of the Company;</w:t>
      </w:r>
    </w:p>
    <w:p>
      <w:pPr>
        <w:spacing w:after="0" w:line="193" w:lineRule="exact"/>
        <w:rPr>
          <w:rFonts w:ascii="Arial" w:cs="Arial" w:eastAsia="Arial" w:hAnsi="Arial"/>
          <w:sz w:val="18"/>
          <w:szCs w:val="18"/>
          <w:color w:val="auto"/>
        </w:rPr>
      </w:pPr>
    </w:p>
    <w:p>
      <w:pPr>
        <w:ind w:right="100" w:firstLine="921"/>
        <w:spacing w:after="0" w:line="255" w:lineRule="auto"/>
        <w:tabs>
          <w:tab w:leader="none" w:pos="115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soon as practicable after the end of each month, and in any event within thirty (30) days thereafter (other than the last calendar month of each fiscal year), unaudited consolidated balance sheets of the Company and its subsidiaries, if any, as of the end of the month, and unaudited consolidated statements of income and cash flows of the Company and its subsidiaries, if any, for such month, prepared in accordance with generally accepted accounting principles applied on a consistent basis and setting forth in each case in comparative form the figures for the same month one year earlier; provided that footnotes and schedule disclosure appearing in audited financial statements shall not be required, all in reasonable detail and signed by the principal financial or accounting officer of the Company;</w:t>
      </w:r>
    </w:p>
    <w:p>
      <w:pPr>
        <w:spacing w:after="0" w:line="193" w:lineRule="exact"/>
        <w:rPr>
          <w:rFonts w:ascii="Arial" w:cs="Arial" w:eastAsia="Arial" w:hAnsi="Arial"/>
          <w:sz w:val="18"/>
          <w:szCs w:val="18"/>
          <w:color w:val="auto"/>
        </w:rPr>
      </w:pPr>
    </w:p>
    <w:p>
      <w:pPr>
        <w:ind w:right="140" w:firstLine="921"/>
        <w:spacing w:after="0" w:line="342" w:lineRule="auto"/>
        <w:tabs>
          <w:tab w:leader="none" w:pos="116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prior to the end of each fiscal year, a budget for the next fiscal year, prepared on a monthly basis, and, as soon as prepared, any other updated or revised budgets for such fiscal year prepared by the Company and approved by the Board; and</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The Company shall respond with reasonable promptness and accuracy, and shall use its commercially reasonable efforts to cause its transfer agent to respond promptly, to written requests made by or on behalf of any MF Holder, Major Holder or transferee thereof under </w:t>
      </w:r>
      <w:r>
        <w:rPr>
          <w:rFonts w:ascii="Arial" w:cs="Arial" w:eastAsia="Arial" w:hAnsi="Arial"/>
          <w:sz w:val="16"/>
          <w:szCs w:val="16"/>
          <w:u w:val="single" w:color="auto"/>
          <w:color w:val="auto"/>
        </w:rPr>
        <w:t>Subsection 2.14</w:t>
      </w:r>
      <w:r>
        <w:rPr>
          <w:rFonts w:ascii="Arial" w:cs="Arial" w:eastAsia="Arial" w:hAnsi="Arial"/>
          <w:sz w:val="16"/>
          <w:szCs w:val="16"/>
          <w:color w:val="auto"/>
        </w:rPr>
        <w:t xml:space="preserve"> for information that is reasonably related to (i) accounting and securities law matters required in connection with such Investor’s year-end audit or (ii) the number of shares of the Company’s securities held by such Investor so as to permit such Investor to calculate its percentage equity ownership in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to provide any information that could reasonably result in a violation of applicable law or conflict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309" w:name="page310"/>
    <w:bookmarkEnd w:id="309"/>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Company’s insider trading policies or confidentiality obligations; and provided further that the covenants set forth in this paragraph shall, with respect to each Investor, terminate and be of no further force or effect once such Investor no longer hold any securities of the Company that are restricted under the Securities Act.</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Additionally, the Company shall furnish to a representative of Fidelity Research and Management Company or any transferee thereof under </w:t>
      </w:r>
      <w:r>
        <w:rPr>
          <w:rFonts w:ascii="Arial" w:cs="Arial" w:eastAsia="Arial" w:hAnsi="Arial"/>
          <w:sz w:val="18"/>
          <w:szCs w:val="18"/>
          <w:u w:val="single" w:color="auto"/>
          <w:color w:val="auto"/>
        </w:rPr>
        <w:t>Section 2.14</w:t>
      </w:r>
      <w:r>
        <w:rPr>
          <w:rFonts w:ascii="Arial" w:cs="Arial" w:eastAsia="Arial" w:hAnsi="Arial"/>
          <w:sz w:val="18"/>
          <w:szCs w:val="18"/>
          <w:color w:val="auto"/>
        </w:rPr>
        <w:t>, as soon as practicable after delivery to the Board, copies of all approved minutes and approved consents of the Board and committees of the Board that the Company provides to its directors, except that such representative may be excluded from access to any material or portion thereof if (i) such exclusion is reasonably necessary to preserve the attorney-client privilege or to protect the Company’s highly confidential proprietary information, or (ii) providing such information could reasonably result in a violation of applicable law or conflict with the Company’s insider trading policy, code of conduct or a confidentiality obligation of the Company.</w:t>
      </w:r>
    </w:p>
    <w:p>
      <w:pPr>
        <w:spacing w:after="0" w:line="193"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Inspection</w:t>
      </w:r>
      <w:r>
        <w:rPr>
          <w:rFonts w:ascii="Arial" w:cs="Arial" w:eastAsia="Arial" w:hAnsi="Arial"/>
          <w:sz w:val="18"/>
          <w:szCs w:val="18"/>
          <w:color w:val="auto"/>
        </w:rPr>
        <w:t>. The Company shall permit each Major Holder and MF Holder, at such Holder’s expense, to visit and inspect the Company’s properties, to examine its books of account and records and to discuss the Company’s affairs, finances and accounts with its officers, all at such reasonable times as may be requested by the Major Holder or the MF Holder.</w:t>
      </w:r>
    </w:p>
    <w:p>
      <w:pPr>
        <w:spacing w:after="0" w:line="18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Major Holder and MF Holder agrees and will cause any representative of such Major Holder or MF Holder, respectively, to hold in confidence and trust and not use or disclose any information provided to or learned by it in connection with its rights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that is identified in writing as confidential (the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except that such Major Holder or MF Holder may disclose such information to any partner, member, subsidiary or parent of such Major Holder or MF Holder, respectively, for the purpose of evaluating its investment in the Company as long as (a) such partner, member, subsidiary or parent is advised of the confidentiality provisions of this </w:t>
      </w:r>
      <w:r>
        <w:rPr>
          <w:rFonts w:ascii="Arial" w:cs="Arial" w:eastAsia="Arial" w:hAnsi="Arial"/>
          <w:sz w:val="17"/>
          <w:szCs w:val="17"/>
          <w:u w:val="single" w:color="auto"/>
          <w:color w:val="auto"/>
        </w:rPr>
        <w:t>Subsection 5.3</w:t>
      </w:r>
      <w:r>
        <w:rPr>
          <w:rFonts w:ascii="Arial" w:cs="Arial" w:eastAsia="Arial" w:hAnsi="Arial"/>
          <w:sz w:val="17"/>
          <w:szCs w:val="17"/>
          <w:color w:val="auto"/>
        </w:rPr>
        <w:t xml:space="preserve"> and (b) such Major Holder or MF Holder uses its commercially reasonable best efforts to ensure that such partner, member, subsidiary or parent holds such information in confidence and trust and will not use or disclose any information provided to or learned by it except as required by law. Notwithstanding the above, this </w:t>
      </w:r>
      <w:r>
        <w:rPr>
          <w:rFonts w:ascii="Arial" w:cs="Arial" w:eastAsia="Arial" w:hAnsi="Arial"/>
          <w:sz w:val="17"/>
          <w:szCs w:val="17"/>
          <w:u w:val="single" w:color="auto"/>
          <w:color w:val="auto"/>
        </w:rPr>
        <w:t>Subsection 5.3</w:t>
      </w:r>
      <w:r>
        <w:rPr>
          <w:rFonts w:ascii="Arial" w:cs="Arial" w:eastAsia="Arial" w:hAnsi="Arial"/>
          <w:sz w:val="17"/>
          <w:szCs w:val="17"/>
          <w:color w:val="auto"/>
        </w:rPr>
        <w:t xml:space="preserve"> shall not apply to any information which any such Major Holder or MF Holder can prove:</w:t>
      </w:r>
    </w:p>
    <w:p>
      <w:pPr>
        <w:spacing w:after="0" w:line="179" w:lineRule="exact"/>
        <w:rPr>
          <w:sz w:val="20"/>
          <w:szCs w:val="20"/>
          <w:color w:val="auto"/>
        </w:rPr>
      </w:pPr>
    </w:p>
    <w:p>
      <w:pPr>
        <w:ind w:left="1160" w:hanging="239"/>
        <w:spacing w:after="0"/>
        <w:tabs>
          <w:tab w:leader="none" w:pos="11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was in the public domain at the time it was disclosed or has entered the public domain through no fault of such Major Holder or MF Holder;</w:t>
      </w:r>
    </w:p>
    <w:p>
      <w:pPr>
        <w:spacing w:after="0" w:line="248" w:lineRule="exact"/>
        <w:rPr>
          <w:rFonts w:ascii="Arial" w:cs="Arial" w:eastAsia="Arial" w:hAnsi="Arial"/>
          <w:sz w:val="16"/>
          <w:szCs w:val="16"/>
          <w:color w:val="auto"/>
        </w:rPr>
      </w:pPr>
    </w:p>
    <w:p>
      <w:pPr>
        <w:ind w:left="1180" w:hanging="259"/>
        <w:spacing w:after="0"/>
        <w:tabs>
          <w:tab w:leader="none" w:pos="11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was known to such Major Holder or MF Holder, without restriction, at the time of disclosure, as demonstrated by files in existence at the time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disclosure;</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 disclosed with the prior written approval of the Company;</w:t>
      </w:r>
    </w:p>
    <w:p>
      <w:pPr>
        <w:spacing w:after="0" w:line="225" w:lineRule="exact"/>
        <w:rPr>
          <w:rFonts w:ascii="Arial" w:cs="Arial" w:eastAsia="Arial" w:hAnsi="Arial"/>
          <w:sz w:val="18"/>
          <w:szCs w:val="18"/>
          <w:color w:val="auto"/>
        </w:rPr>
      </w:pPr>
    </w:p>
    <w:p>
      <w:pPr>
        <w:ind w:right="2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was independently developed by such Major Holder or MF Holder without any use of the Confidential Information and by employees of such Major Holder or MF Holder who have not had access to the Confidential Information, as demonstrated by files created at the time of such independent development;</w:t>
      </w:r>
    </w:p>
    <w:p>
      <w:pPr>
        <w:spacing w:after="0" w:line="181" w:lineRule="exact"/>
        <w:rPr>
          <w:rFonts w:ascii="Arial" w:cs="Arial" w:eastAsia="Arial" w:hAnsi="Arial"/>
          <w:sz w:val="18"/>
          <w:szCs w:val="18"/>
          <w:color w:val="auto"/>
        </w:rPr>
      </w:pPr>
    </w:p>
    <w:p>
      <w:pPr>
        <w:ind w:right="540" w:firstLine="921"/>
        <w:spacing w:after="0" w:line="277" w:lineRule="auto"/>
        <w:tabs>
          <w:tab w:leader="none" w:pos="115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becomes known to such Major Holder or MF Holder, without restriction, from a source other than the Company without breach of this </w:t>
      </w:r>
      <w:r>
        <w:rPr>
          <w:rFonts w:ascii="Arial" w:cs="Arial" w:eastAsia="Arial" w:hAnsi="Arial"/>
          <w:sz w:val="18"/>
          <w:szCs w:val="18"/>
          <w:u w:val="single" w:color="auto"/>
          <w:color w:val="auto"/>
        </w:rPr>
        <w:t>Subsection 5.3</w:t>
      </w:r>
      <w:r>
        <w:rPr>
          <w:rFonts w:ascii="Arial" w:cs="Arial" w:eastAsia="Arial" w:hAnsi="Arial"/>
          <w:sz w:val="18"/>
          <w:szCs w:val="18"/>
          <w:color w:val="auto"/>
        </w:rPr>
        <w:t xml:space="preserve"> by such Major Holder or MF Holder and otherwise not in violation of the Company’s rights;</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is disclosed generally to third parties by the Company without restrictions similar to those contained in this </w:t>
      </w:r>
      <w:r>
        <w:rPr>
          <w:rFonts w:ascii="Arial" w:cs="Arial" w:eastAsia="Arial" w:hAnsi="Arial"/>
          <w:sz w:val="18"/>
          <w:szCs w:val="18"/>
          <w:u w:val="single" w:color="auto"/>
          <w:color w:val="auto"/>
        </w:rPr>
        <w:t>Subsection 5.3</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right="40" w:firstLine="921"/>
        <w:spacing w:after="0" w:line="264" w:lineRule="auto"/>
        <w:tabs>
          <w:tab w:leader="none" w:pos="116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is disclosed pursuant to the order or requirement of a court, administrative agency, or other governmental body;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Major Holder or MF Holder shall provide prompt notice of such court order or requirement to the Company to enable the Company to seek a protective order or otherwise prevent or restrict such disclosure.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3" w:right="259" w:bottom="1440" w:gutter="0" w:footer="0" w:header="0"/>
        </w:sectPr>
      </w:pPr>
    </w:p>
    <w:bookmarkStart w:id="310" w:name="page311"/>
    <w:bookmarkEnd w:id="31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foregoing, an MF Holder or such MF Holder’s partner, member, investment manager, subsidiary or parent may identify only the Company and the value of such MF Holder’s security holdings in the Company (and not, for the avoidance of doubt, other confidential information with respect to the Company’s business) without prior notice to or consent from the Company and such MF Holder shall otherwise comply with the confidentiality obligations set forth in this </w:t>
      </w:r>
      <w:r>
        <w:rPr>
          <w:rFonts w:ascii="Arial" w:cs="Arial" w:eastAsia="Arial" w:hAnsi="Arial"/>
          <w:sz w:val="16"/>
          <w:szCs w:val="16"/>
          <w:u w:val="single" w:color="auto"/>
          <w:color w:val="auto"/>
        </w:rPr>
        <w:t>Subsection 5.3</w:t>
      </w:r>
      <w:r>
        <w:rPr>
          <w:rFonts w:ascii="Arial" w:cs="Arial" w:eastAsia="Arial" w:hAnsi="Arial"/>
          <w:sz w:val="16"/>
          <w:szCs w:val="16"/>
          <w:color w:val="auto"/>
        </w:rPr>
        <w:t xml:space="preserve"> and (ii) disclose any Confidential Information if such disclosure is required by law. In the event that an MF Holder is required or requested to make such disclosure, it is agreed that, to the extent legally permissible, the MF Holder shall notify the Company and, to the extent reasonably practicable, the MF Holder shall provide such notice in advance of the disclosure so as to allow the Company an opportunity to seek (at the Company’s sole expense) a protective order or other appropriate remedy. In the event that no such protective order or other remedy is obtained or that the Company waives compliance with the provisions hereof, the MF Holder may disclose such Confidential Information as may be required or requested.</w:t>
      </w:r>
    </w:p>
    <w:p>
      <w:pPr>
        <w:spacing w:after="0" w:line="27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 Promotion</w:t>
      </w:r>
      <w:r>
        <w:rPr>
          <w:rFonts w:ascii="Arial" w:cs="Arial" w:eastAsia="Arial" w:hAnsi="Arial"/>
          <w:sz w:val="17"/>
          <w:szCs w:val="17"/>
          <w:color w:val="auto"/>
        </w:rPr>
        <w:t xml:space="preserve">. The Company agrees that it will not, without the prior written consent of such MF Holder, use in advertising or publicity, or otherwise disclose to a third party, the name of such MF Holder, nor any trade name, trademark, trade device, service mark, symbol or any abbreviation, contraction or simulation thereof owned by any of the aforementioned or any of their respective Affiliates. The Company further agrees that it shall obtain the written consent of the MF Holder prior to the Company’s or any of its subsidiaries’ issuance of any public statement detailing the purchase of Shares by the MF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Company may file a Form D with the Commission and any other required securities filings with respect to the transactions contemplated by the Purchase Agreement without the prior written consent of the MF Holder so long as such filing does not identify the MF Holder. Notwithstanding the foregoing, the Company may identify any MF Holder, (a) as required by law, (b) in information and documents submitted to its stockholders seeking required consents or waivers to transactions or other actions that require such consent or waiver and (c) other non-public communications with third parties where disclosure of the capitalization of the Company is customary and such third parties are subject to customary confidentiality obligations. Notwithstanding anything herein to the contrary, this </w:t>
      </w:r>
      <w:r>
        <w:rPr>
          <w:rFonts w:ascii="Arial" w:cs="Arial" w:eastAsia="Arial" w:hAnsi="Arial"/>
          <w:sz w:val="17"/>
          <w:szCs w:val="17"/>
          <w:u w:val="single" w:color="auto"/>
          <w:color w:val="auto"/>
        </w:rPr>
        <w:t>Subsection 5.4</w:t>
      </w:r>
      <w:r>
        <w:rPr>
          <w:rFonts w:ascii="Arial" w:cs="Arial" w:eastAsia="Arial" w:hAnsi="Arial"/>
          <w:sz w:val="17"/>
          <w:szCs w:val="17"/>
          <w:color w:val="auto"/>
        </w:rPr>
        <w:t>, as it pertains to any MF Holder, may not be amended or waived in a manner adverse to any MF Holder without the prior written consent of such MF Holder.</w:t>
      </w:r>
    </w:p>
    <w:p>
      <w:pPr>
        <w:spacing w:after="0" w:line="18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Patent, Copyright and Nondisclosure Agreements</w:t>
      </w:r>
      <w:r>
        <w:rPr>
          <w:rFonts w:ascii="Arial" w:cs="Arial" w:eastAsia="Arial" w:hAnsi="Arial"/>
          <w:sz w:val="18"/>
          <w:szCs w:val="18"/>
          <w:color w:val="auto"/>
        </w:rPr>
        <w:t>. The Company agrees to require each employee of the Company to execute a Patent, Copyright and Nondisclosure Agreement and each consultant and advisor of the Company to execute an agreement that provides for confidential treatment of the Company’s proprietary information, substantially in a form reasonably acceptable to the Board, as a condition of employment or continued employment or engagement, as the case may be, unless otherwise approved by the Board.</w:t>
      </w:r>
    </w:p>
    <w:p>
      <w:pPr>
        <w:spacing w:after="0" w:line="18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Stock Vesting</w:t>
      </w:r>
      <w:r>
        <w:rPr>
          <w:rFonts w:ascii="Arial" w:cs="Arial" w:eastAsia="Arial" w:hAnsi="Arial"/>
          <w:sz w:val="16"/>
          <w:szCs w:val="16"/>
          <w:color w:val="auto"/>
        </w:rPr>
        <w:t xml:space="preserve">. Unless otherwise approved by at least majority of the Board present at a meeting in which there is a quorum, the Company agrees that all Common Stock issued to employees, consultants, advisors, directors and officers in the future shall be subject to a repurchase option which provides that upon termination of the employment of such individual, with or without cause, the Company has the option to repurchase at cost any unvested shares held by the individual which repurchase option shall lapse twenty-five percent (25%) after one (1) year and the remainder on a monthly basis over the following three (3) year period. No such options or stock grants shall have acceleration provisions with respect to vesting, unless otherwise approved by at least majority of the Board present at a meeting in which there is a quorum. Notwithstanding the above, this </w:t>
      </w:r>
      <w:r>
        <w:rPr>
          <w:rFonts w:ascii="Arial" w:cs="Arial" w:eastAsia="Arial" w:hAnsi="Arial"/>
          <w:sz w:val="16"/>
          <w:szCs w:val="16"/>
          <w:u w:val="single" w:color="auto"/>
          <w:color w:val="auto"/>
        </w:rPr>
        <w:t>Subsection 5.5</w:t>
      </w:r>
      <w:r>
        <w:rPr>
          <w:rFonts w:ascii="Arial" w:cs="Arial" w:eastAsia="Arial" w:hAnsi="Arial"/>
          <w:sz w:val="16"/>
          <w:szCs w:val="16"/>
          <w:color w:val="auto"/>
        </w:rPr>
        <w:t xml:space="preserve"> shall not apply to Stockholders.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273" w:right="279" w:bottom="1440" w:gutter="0" w:footer="0" w:header="0"/>
        </w:sectPr>
      </w:pPr>
    </w:p>
    <w:bookmarkStart w:id="311" w:name="page312"/>
    <w:bookmarkEnd w:id="31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within two (2) months of the date hereof obtain from financially sound and reputable insurers directors’ and officers’ liability insurance on terms consistent with the NVCA VentureInsure product (the “</w:t>
      </w:r>
      <w:r>
        <w:rPr>
          <w:rFonts w:ascii="Arial" w:cs="Arial" w:eastAsia="Arial" w:hAnsi="Arial"/>
          <w:sz w:val="18"/>
          <w:szCs w:val="18"/>
          <w:u w:val="single" w:color="auto"/>
          <w:color w:val="auto"/>
        </w:rPr>
        <w:t>D &amp; O Policy</w:t>
      </w:r>
      <w:r>
        <w:rPr>
          <w:rFonts w:ascii="Arial" w:cs="Arial" w:eastAsia="Arial" w:hAnsi="Arial"/>
          <w:sz w:val="18"/>
          <w:szCs w:val="18"/>
          <w:color w:val="auto"/>
        </w:rPr>
        <w:t>”) in an amount approved by the Board. The Company shall cause to be maintained the D &amp; O Policy except as otherwise decided in accordance with policies approved by a majority of the Preferred Directors (as defined in the Charter).</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Annual Budget</w:t>
      </w:r>
      <w:r>
        <w:rPr>
          <w:rFonts w:ascii="Arial" w:cs="Arial" w:eastAsia="Arial" w:hAnsi="Arial"/>
          <w:sz w:val="18"/>
          <w:szCs w:val="18"/>
          <w:color w:val="auto"/>
        </w:rPr>
        <w:t>. The Company shall (a) provide to the Board a copy of the proposed Annual Budget for review at least sixty (60) days prior to the beginning of each fiscal year, and (b) the Company shall obtain the approval of a majority of the Board of the Annual Budget for such fiscal year at least thirty (30) days prior to the commencement of such fiscal year.</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Board Matters</w:t>
      </w:r>
      <w:r>
        <w:rPr>
          <w:rFonts w:ascii="Arial" w:cs="Arial" w:eastAsia="Arial" w:hAnsi="Arial"/>
          <w:sz w:val="18"/>
          <w:szCs w:val="18"/>
          <w:color w:val="auto"/>
        </w:rPr>
        <w:t>. All non-employee directors and official board observers will be reimbursed for their reasonable out-of-pocket and travel expenses incurred (i) in attending Board meetings (or meetings of committees thereof), (ii) in attending other functions on behalf of the Company, or (iii) in connection with the performance of their duties as directors. All non-employee directors shall be compensated uniformly.</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Management Compensation</w:t>
      </w:r>
      <w:r>
        <w:rPr>
          <w:rFonts w:ascii="Arial" w:cs="Arial" w:eastAsia="Arial" w:hAnsi="Arial"/>
          <w:sz w:val="16"/>
          <w:szCs w:val="16"/>
          <w:color w:val="auto"/>
        </w:rPr>
        <w:t>. The Board or a Compensation Committee thereof shall determine the compensation to be paid by the Company to an employee of or consultant to the Company in a managerial position involving compensation of at least $150,000 annually. Any grants of capital stock or options to employees, officers, directors or consultants of the Company shall be made pursuant to a stock option plan duly adopted by the Board.</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The Company shall comply with all applicable laws, rules, regulations and orders, except where noncompliance would not have a material adverse effect on the business, properties, assets or condition (financial or otherwise) of the Company. The Company shall comply with all applicable federal and state securities laws in connection with the offer, issuance, sale or redemption of any shares of its capital stock.</w:t>
      </w:r>
    </w:p>
    <w:p>
      <w:pPr>
        <w:spacing w:after="0" w:line="166"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The Company will pay and discharge all lawful Taxes (as defined below) before such Taxes shall become in default and all lawful claims for labor, materials and supplies which, if not paid when due, might become a lien or charge upon its property or any part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required to pay and discharge any such Tax, assessment, charge, levy or claim so long as the validity thereof is being contested by or for the Company in good faith by appropriate proceedings and an adequate reserve therefore has been established on its books. The term “</w:t>
      </w:r>
      <w:r>
        <w:rPr>
          <w:rFonts w:ascii="Arial" w:cs="Arial" w:eastAsia="Arial" w:hAnsi="Arial"/>
          <w:sz w:val="17"/>
          <w:szCs w:val="17"/>
          <w:u w:val="single" w:color="auto"/>
          <w:color w:val="auto"/>
        </w:rPr>
        <w:t>Tax</w:t>
      </w:r>
      <w:r>
        <w:rPr>
          <w:rFonts w:ascii="Arial" w:cs="Arial" w:eastAsia="Arial" w:hAnsi="Arial"/>
          <w:sz w:val="17"/>
          <w:szCs w:val="17"/>
          <w:color w:val="auto"/>
        </w:rPr>
        <w:t>” (and, with correlative meaning,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means all United States federal, state and local, and all foreign, income, profits, franchise, gross receipts, payroll, transfer, sales, employment, use, property, excise, value added, </w:t>
      </w:r>
      <w:r>
        <w:rPr>
          <w:rFonts w:ascii="Arial" w:cs="Arial" w:eastAsia="Arial" w:hAnsi="Arial"/>
          <w:sz w:val="17"/>
          <w:szCs w:val="17"/>
          <w:i w:val="1"/>
          <w:iCs w:val="1"/>
          <w:color w:val="auto"/>
        </w:rPr>
        <w:t>ad valorem</w:t>
      </w:r>
      <w:r>
        <w:rPr>
          <w:rFonts w:ascii="Arial" w:cs="Arial" w:eastAsia="Arial" w:hAnsi="Arial"/>
          <w:sz w:val="17"/>
          <w:szCs w:val="17"/>
          <w:color w:val="auto"/>
        </w:rPr>
        <w:t>, estimated, stamp, alternative or add-on minimum, recapture, environmental, withholding and any other taxes, charges, duties, impositions or assessments, together with all interest, penalties, and additions imposed on or with respect to such amounts, or levied, assessed or imposed against the Company.</w:t>
      </w:r>
    </w:p>
    <w:p>
      <w:pPr>
        <w:spacing w:after="0" w:line="17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Financings</w:t>
      </w:r>
      <w:r>
        <w:rPr>
          <w:rFonts w:ascii="Arial" w:cs="Arial" w:eastAsia="Arial" w:hAnsi="Arial"/>
          <w:sz w:val="18"/>
          <w:szCs w:val="18"/>
          <w:color w:val="auto"/>
        </w:rPr>
        <w:t>. The Company shall promptly provide to its Board the details and terms of, and any brochures or investment memoranda prepared by or for the Company related to, any possible bone fide and material financing of any nature for the Company, whether initiated by the Company or any other Person.</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Fourth Amended and Restated Voting Agreement</w:t>
      </w:r>
      <w:r>
        <w:rPr>
          <w:rFonts w:ascii="Arial" w:cs="Arial" w:eastAsia="Arial" w:hAnsi="Arial"/>
          <w:sz w:val="18"/>
          <w:szCs w:val="18"/>
          <w:color w:val="auto"/>
        </w:rPr>
        <w:t>. The Company shall cause any Person who acquires shares of capital stock constituting one percent (1%) or more of the Company’s then outstanding shares of capital stock (treating for this purpose all shares of Common Stock issuable upon exercise of or conversion of outstanding options, warrants or convertible securities, as if exercised and/or converted or exchanged) to execute a counterpart of the Fourth Amended and Restated Voting Agreement of even date herewith, by and among the Company and certain stockholders of the Company (“</w:t>
      </w:r>
      <w:r>
        <w:rPr>
          <w:rFonts w:ascii="Arial" w:cs="Arial" w:eastAsia="Arial" w:hAnsi="Arial"/>
          <w:sz w:val="18"/>
          <w:szCs w:val="18"/>
          <w:u w:val="single" w:color="auto"/>
          <w:color w:val="auto"/>
        </w:rPr>
        <w:t>Voting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(if it is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312" w:name="page313"/>
    <w:bookmarkEnd w:id="312"/>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already a party thereto), such execution indicating such Person’s agreement to become a “Holder” thereunder and to bound by the drag along provisions and related provisions of the Voting Agreement as of the date of such acquisition.</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Indemnification Matters</w:t>
      </w:r>
      <w:r>
        <w:rPr>
          <w:rFonts w:ascii="Arial" w:cs="Arial" w:eastAsia="Arial" w:hAnsi="Arial"/>
          <w:sz w:val="17"/>
          <w:szCs w:val="17"/>
          <w:color w:val="auto"/>
        </w:rPr>
        <w:t>. The Company hereby acknowledges that one (1) or more of the directors nominated to serve on the Board by the Investors (each a “</w:t>
      </w:r>
      <w:r>
        <w:rPr>
          <w:rFonts w:ascii="Arial" w:cs="Arial" w:eastAsia="Arial" w:hAnsi="Arial"/>
          <w:sz w:val="17"/>
          <w:szCs w:val="17"/>
          <w:u w:val="single" w:color="auto"/>
          <w:color w:val="auto"/>
        </w:rPr>
        <w:t>Fund Director</w:t>
      </w:r>
      <w:r>
        <w:rPr>
          <w:rFonts w:ascii="Arial" w:cs="Arial" w:eastAsia="Arial" w:hAnsi="Arial"/>
          <w:sz w:val="17"/>
          <w:szCs w:val="17"/>
          <w:color w:val="auto"/>
        </w:rPr>
        <w:t>”) may have certain rights to indemnification, advancement of expenses and/or insurance provided by one or more of the Investors and certain of their affiliates (collectively, the “</w:t>
      </w:r>
      <w:r>
        <w:rPr>
          <w:rFonts w:ascii="Arial" w:cs="Arial" w:eastAsia="Arial" w:hAnsi="Arial"/>
          <w:sz w:val="17"/>
          <w:szCs w:val="17"/>
          <w:u w:val="single" w:color="auto"/>
          <w:color w:val="auto"/>
        </w:rPr>
        <w:t>Fund Indemnitors</w:t>
      </w:r>
      <w:r>
        <w:rPr>
          <w:rFonts w:ascii="Arial" w:cs="Arial" w:eastAsia="Arial" w:hAnsi="Arial"/>
          <w:sz w:val="17"/>
          <w:szCs w:val="17"/>
          <w:color w:val="auto"/>
        </w:rPr>
        <w:t>”). The Company hereby agrees (a)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The Company hereby agrees and acknowledges that Delos Investments 1 (together with its affiliates) (“</w:t>
      </w:r>
      <w:r>
        <w:rPr>
          <w:rFonts w:ascii="Arial" w:cs="Arial" w:eastAsia="Arial" w:hAnsi="Arial"/>
          <w:sz w:val="16"/>
          <w:szCs w:val="16"/>
          <w:u w:val="single" w:color="auto"/>
          <w:color w:val="auto"/>
        </w:rPr>
        <w:t>Delos</w:t>
      </w:r>
      <w:r>
        <w:rPr>
          <w:rFonts w:ascii="Arial" w:cs="Arial" w:eastAsia="Arial" w:hAnsi="Arial"/>
          <w:sz w:val="16"/>
          <w:szCs w:val="16"/>
          <w:color w:val="auto"/>
        </w:rPr>
        <w:t>”) is a professional investment fund, and as such invests in numerous portfolio companies, some of which may be deemed competitive with the Company’s business (as currently conducted or as currently propose to be conducted). The Company hereby agrees that, to the extent permitted under applicable law, Delos shall not be liable to the Company for any claim arising out of, or based upon, (i) the investment by Delos in any entity competitive with the Company, or</w:t>
      </w:r>
    </w:p>
    <w:p>
      <w:pPr>
        <w:spacing w:after="0" w:line="2" w:lineRule="exact"/>
        <w:rPr>
          <w:sz w:val="20"/>
          <w:szCs w:val="20"/>
          <w:color w:val="auto"/>
        </w:rPr>
      </w:pPr>
    </w:p>
    <w:p>
      <w:pPr>
        <w:ind w:right="240" w:firstLine="8"/>
        <w:spacing w:after="0" w:line="253" w:lineRule="auto"/>
        <w:tabs>
          <w:tab w:leader="none" w:pos="26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actions taken by any partner, officer or other representative of Delos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9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Prime Preferred Stock Protective Provisions</w:t>
      </w:r>
      <w:r>
        <w:rPr>
          <w:rFonts w:ascii="Arial" w:cs="Arial" w:eastAsia="Arial" w:hAnsi="Arial"/>
          <w:sz w:val="18"/>
          <w:szCs w:val="18"/>
          <w:color w:val="auto"/>
        </w:rPr>
        <w:t>. So long as at least Eight Thousand One Hundred Thirty (8,130) shares of Prime Preferred Stock are outstanding, the Company shall not (by merger, reclassification or otherwise), without the prior approval of the Company’s board of directors, including a majority of the Preferred Directors (as defined in the Charter):</w:t>
      </w:r>
    </w:p>
    <w:p>
      <w:pPr>
        <w:spacing w:after="0" w:line="181" w:lineRule="exact"/>
        <w:rPr>
          <w:sz w:val="20"/>
          <w:szCs w:val="20"/>
          <w:color w:val="auto"/>
        </w:rPr>
      </w:pPr>
    </w:p>
    <w:p>
      <w:pPr>
        <w:ind w:left="5620" w:right="4000" w:hanging="4699"/>
        <w:spacing w:after="0" w:line="449" w:lineRule="auto"/>
        <w:tabs>
          <w:tab w:leader="none" w:pos="116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 the strategic goals of the Company’s budgets, development and business plans; 20</w:t>
      </w:r>
    </w:p>
    <w:p>
      <w:pPr>
        <w:sectPr>
          <w:pgSz w:w="11900" w:h="16838" w:orient="portrait"/>
          <w:cols w:equalWidth="0" w:num="1">
            <w:col w:w="11400"/>
          </w:cols>
          <w:pgMar w:left="240" w:top="273" w:right="259" w:bottom="1440" w:gutter="0" w:footer="0" w:header="0"/>
        </w:sectPr>
      </w:pPr>
    </w:p>
    <w:bookmarkStart w:id="313" w:name="page314"/>
    <w:bookmarkEnd w:id="313"/>
    <w:p>
      <w:pPr>
        <w:ind w:left="1180" w:hanging="259"/>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the principal place of business of the Company or enter into any new line of unrelated business;</w:t>
      </w:r>
    </w:p>
    <w:p>
      <w:pPr>
        <w:spacing w:after="0" w:line="225" w:lineRule="exact"/>
        <w:rPr>
          <w:rFonts w:ascii="Arial" w:cs="Arial" w:eastAsia="Arial" w:hAnsi="Arial"/>
          <w:sz w:val="18"/>
          <w:szCs w:val="18"/>
          <w:color w:val="auto"/>
        </w:rPr>
      </w:pPr>
    </w:p>
    <w:p>
      <w:pPr>
        <w:ind w:right="640" w:firstLine="921"/>
        <w:spacing w:after="0" w:line="277" w:lineRule="auto"/>
        <w:tabs>
          <w:tab w:leader="none" w:pos="11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execute any document which results in an assignment, license, sublicense (or its termination) of any of the Company’s material assets (including without limitation any of its intellectual property);</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enter into a strategic partnership;</w:t>
      </w:r>
    </w:p>
    <w:p>
      <w:pPr>
        <w:spacing w:after="0" w:line="225" w:lineRule="exact"/>
        <w:rPr>
          <w:rFonts w:ascii="Arial" w:cs="Arial" w:eastAsia="Arial" w:hAnsi="Arial"/>
          <w:sz w:val="18"/>
          <w:szCs w:val="18"/>
          <w:color w:val="auto"/>
        </w:rPr>
      </w:pPr>
    </w:p>
    <w:p>
      <w:pPr>
        <w:ind w:firstLine="921"/>
        <w:spacing w:after="0" w:line="277" w:lineRule="auto"/>
        <w:tabs>
          <w:tab w:leader="none" w:pos="115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acquire the capital stock of another entity which results in the consolidation of that equity into the results of operations of the Company or any material acquisition of assets of another entity; or</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take any other action materially adversely affecting the rights, preferences and privileges of the Preferred Stock.</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Employee Stock Option Grants</w:t>
      </w:r>
      <w:r>
        <w:rPr>
          <w:rFonts w:ascii="Arial" w:cs="Arial" w:eastAsia="Arial" w:hAnsi="Arial"/>
          <w:sz w:val="18"/>
          <w:szCs w:val="18"/>
          <w:color w:val="auto"/>
        </w:rPr>
        <w:t>. Subject to approval by the Board and stockholders of the Company, if applicable, as soon as practicable following each Closing (as defined in the Purchase Agreement), the Company shall grant the issuance of stock options under the Company’s 2007 Stock Plan, as amended, to certain of the Company’s employees, as determined in the discretion of the Board, in order for such Company employees to maintain a fully diluted ownership percentage in the Company of approximately 10.9%.</w:t>
      </w:r>
    </w:p>
    <w:p>
      <w:pPr>
        <w:spacing w:after="0" w:line="187" w:lineRule="exact"/>
        <w:rPr>
          <w:sz w:val="20"/>
          <w:szCs w:val="20"/>
          <w:color w:val="auto"/>
        </w:rPr>
      </w:pPr>
    </w:p>
    <w:p>
      <w:pPr>
        <w:jc w:val="both"/>
        <w:ind w:right="440" w:firstLine="456"/>
        <w:spacing w:after="0" w:line="264" w:lineRule="auto"/>
        <w:rPr>
          <w:sz w:val="20"/>
          <w:szCs w:val="20"/>
          <w:color w:val="auto"/>
        </w:rPr>
      </w:pPr>
      <w:r>
        <w:rPr>
          <w:rFonts w:ascii="Arial" w:cs="Arial" w:eastAsia="Arial" w:hAnsi="Arial"/>
          <w:sz w:val="18"/>
          <w:szCs w:val="18"/>
          <w:color w:val="auto"/>
        </w:rPr>
        <w:t xml:space="preserve">5.20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w:t>
      </w:r>
      <w:r>
        <w:rPr>
          <w:rFonts w:ascii="Arial" w:cs="Arial" w:eastAsia="Arial" w:hAnsi="Arial"/>
          <w:sz w:val="18"/>
          <w:szCs w:val="18"/>
          <w:u w:val="single" w:color="auto"/>
          <w:color w:val="auto"/>
        </w:rPr>
        <w:t>Subsection 5.15</w:t>
      </w:r>
      <w:r>
        <w:rPr>
          <w:rFonts w:ascii="Arial" w:cs="Arial" w:eastAsia="Arial" w:hAnsi="Arial"/>
          <w:sz w:val="18"/>
          <w:szCs w:val="18"/>
          <w:color w:val="auto"/>
        </w:rPr>
        <w:t>) shall terminate on, and be of no further force or effect at such time as the Company (i) consummates the initial public offering of the Company or (ii) becomes subject to the reporting provisions of the Exchange Act.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shall inure to the benefit of and be binding upon the respective successors, assigns, heirs, executors and administrators and permitted transferees of the parties hereto.</w:t>
      </w:r>
    </w:p>
    <w:p>
      <w:pPr>
        <w:spacing w:after="0" w:line="14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Third Parties</w:t>
      </w:r>
      <w:r>
        <w:rPr>
          <w:rFonts w:ascii="Arial" w:cs="Arial" w:eastAsia="Arial" w:hAnsi="Arial"/>
          <w:sz w:val="16"/>
          <w:szCs w:val="16"/>
          <w:color w:val="auto"/>
        </w:rPr>
        <w:t>. Nothing in this Agreement, express or implied, is intended to confer upon any party, other than the parties hereto, and their respective successors and assigns, any rights, remedies, obligations or liabilities under or by reason of this Agreement, except as expressly provided herein.</w:t>
      </w:r>
    </w:p>
    <w:p>
      <w:pPr>
        <w:spacing w:after="0" w:line="124"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under the laws of the State of Delaware as applied to agreements entered into and performed in the State of Delaware solely by residents thereof without reference to principles of conflicts of laws or choice of laws.</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500" w:firstLine="456"/>
        <w:spacing w:after="0" w:line="29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this Agreement shall be in writing and shall be deemed effectively given the earlier of (i) when received, (ii) when delivered personally, (iii) one (1) business day after being delivered by facsimile (with receipt of appropriate confirmation), (iv) one</w:t>
      </w:r>
    </w:p>
    <w:p>
      <w:pPr>
        <w:ind w:left="5620" w:right="2060" w:hanging="5612"/>
        <w:spacing w:after="0" w:line="433" w:lineRule="auto"/>
        <w:tabs>
          <w:tab w:leader="none" w:pos="25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business day after being deposited with an overnight courier service or (v) four (4) days after being deposited in the U.S. mail, 21</w:t>
      </w:r>
    </w:p>
    <w:p>
      <w:pPr>
        <w:sectPr>
          <w:pgSz w:w="11900" w:h="16838" w:orient="portrait"/>
          <w:cols w:equalWidth="0" w:num="1">
            <w:col w:w="11420"/>
          </w:cols>
          <w:pgMar w:left="240" w:top="274" w:right="239" w:bottom="1440" w:gutter="0" w:footer="0" w:header="0"/>
        </w:sectPr>
      </w:pPr>
    </w:p>
    <w:bookmarkStart w:id="314" w:name="page315"/>
    <w:bookmarkEnd w:id="314"/>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Class with postage prepaid, and addressed to the parties at the addresses provided to the Company (which the Company agrees to disclose to the other parties upon request) or such other address as a party may request by notifying the other in writing.</w:t>
      </w:r>
    </w:p>
    <w:p>
      <w:pPr>
        <w:spacing w:after="0" w:line="170"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portions of such provisions, or such provisions in their entirety, to the extent necessary, shall be severed from this Agreement, and the balance of this Agreement shall be enforceable in accordance with its terms.</w:t>
      </w:r>
    </w:p>
    <w:p>
      <w:pPr>
        <w:spacing w:after="0" w:line="181"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 xml:space="preserve">. Any provision of this Agreement may be amended or waived with the written consent of the Company and the Holders of more than sixty percent (60%) of the outstanding shares of the Prime Preferred Stock, voting as a separate class. Any amendment or waiver effected in accordance with this paragraph shall be binding upon each Holder of Registrable Securities and the Company but in no event shall any amendment or waiver materially increase the obligations of any Holder, except upon the written consent of such Holder; provided that any amendment or waiver to </w:t>
      </w:r>
      <w:r>
        <w:rPr>
          <w:rFonts w:ascii="Arial" w:cs="Arial" w:eastAsia="Arial" w:hAnsi="Arial"/>
          <w:sz w:val="16"/>
          <w:szCs w:val="16"/>
          <w:u w:val="single" w:color="auto"/>
          <w:color w:val="auto"/>
        </w:rPr>
        <w:t>Subsections</w:t>
      </w:r>
    </w:p>
    <w:p>
      <w:pPr>
        <w:spacing w:after="0" w:line="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u w:val="single" w:color="auto"/>
          <w:color w:val="auto"/>
        </w:rPr>
        <w:t>2.15 and 5.1</w:t>
      </w:r>
      <w:r>
        <w:rPr>
          <w:rFonts w:ascii="Arial" w:cs="Arial" w:eastAsia="Arial" w:hAnsi="Arial"/>
          <w:sz w:val="17"/>
          <w:szCs w:val="17"/>
          <w:color w:val="auto"/>
        </w:rPr>
        <w:t xml:space="preserve"> shall also require the consent of a majority of the outstanding shares of the Prime Preferred Stock held by the MF Holders, the Major Holders or any transferee thereof, voting together as a separate class; and provided further that any amendment to the definition of “MF Holder” or “Major Holder” shall require the consent of the effected MF Holder or Major Holder, respectively. Further, if such amendment or waiver would adversely affect the rights of a specific series of Preferred Stock in a manner different from the other series of Preferred Stock or Bayer in a manner different from the other Holders, then such amendment or waiver shall require the consent of the Investors holding more than fifty percent (50%) of such series of Preferred Stock or Bayer, as the case may be. In addition, the Company may waive performance of any obligation owing to it, as to some or all of the Holders of Registrable Securities, or agree to accept alternatives to such performance, without obtaining the consent of any Holder of Registrable Securities. In the event that an underwriting agreement is entered into between the Company and any Holder, and such underwriting agreement contains terms differing from this Agreement, as to any such Holder the terms of such underwriting agreement shall govern.</w:t>
      </w:r>
    </w:p>
    <w:p>
      <w:pPr>
        <w:spacing w:after="0" w:line="18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Rights of Holders</w:t>
      </w:r>
      <w:r>
        <w:rPr>
          <w:rFonts w:ascii="Arial" w:cs="Arial" w:eastAsia="Arial" w:hAnsi="Arial"/>
          <w:sz w:val="18"/>
          <w:szCs w:val="18"/>
          <w:color w:val="auto"/>
        </w:rPr>
        <w:t>. Each Holder of Registrable Securities shall have the right to exercise or refrain from exercising any right or rights that such Holder may have by reason of this Agreement, including, without limitation, the right to consent to the waiver or modification of any obligation under this Agreement, and such Holder shall not incur any liability to any other holder of any securities of the Company as a result of exercising or refraining from exercising any such right or rights.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to this Agreement, upon any breach or default of the other party, shall impair any such right, power or remedy of such non-breaching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made in writing and shall be effective only to the extent specifically set forth in such writing.</w:t>
      </w:r>
    </w:p>
    <w:p>
      <w:pPr>
        <w:spacing w:after="0" w:line="178"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124" w:lineRule="exact"/>
        <w:rPr>
          <w:sz w:val="20"/>
          <w:szCs w:val="20"/>
          <w:color w:val="auto"/>
        </w:rPr>
      </w:pPr>
    </w:p>
    <w:p>
      <w:pPr>
        <w:ind w:right="620" w:firstLine="456"/>
        <w:spacing w:after="0" w:line="31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Headings</w:t>
      </w:r>
      <w:r>
        <w:rPr>
          <w:rFonts w:ascii="Arial" w:cs="Arial" w:eastAsia="Arial" w:hAnsi="Arial"/>
          <w:sz w:val="16"/>
          <w:szCs w:val="16"/>
          <w:color w:val="auto"/>
        </w:rPr>
        <w:t>. The headings and captions used in this Agreement are used for convenience only and are not to be considered in construing or interpreting this Agreement. All references in this Agreement to sections, paragraphs, exhibits and schedules shall, unless otherwise provided, refer to sections and paragraphs hereof and exhibits and schedules attached hereto, all of which are incorporated herein by this reference.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15" w:name="page316"/>
    <w:bookmarkEnd w:id="315"/>
    <w:p>
      <w:pPr>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understanding and agreement of the parties with respect to the subject matter hereof and supersedes all prior negotiations, correspondence, agreements, understandings, duties or obligations among the parties with respect to the subject matter hereof.</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and after the date of this Agreement, upon the request of a party, the other parties shall execute and deliver such instruments, documents or other writings as may be reasonably necessary or desirable to confirm and carry out and to effectuate fully the intent and purposes of this Agreement.</w:t>
      </w:r>
    </w:p>
    <w:p>
      <w:pPr>
        <w:spacing w:after="0" w:line="18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the Preferred Stock held or acquired by affiliated entities or persons shall be aggregated together for the purpose of determining the availability of any rights under this Agreement.</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REMAINDER OF THIS PAGE INTENTIONALLY LEFT BLANK]</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273" w:right="3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Briggs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Briggs Morrison, M.D.</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Chief Executive Officer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4" w:right="1440"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2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INVESTORS:</w:t>
            </w:r>
          </w:p>
        </w:tc>
        <w:tc>
          <w:tcPr>
            <w:tcW w:w="1640" w:type="dxa"/>
            <w:vAlign w:val="bottom"/>
          </w:tcPr>
          <w:p>
            <w:pPr>
              <w:ind w:left="740"/>
              <w:spacing w:after="0"/>
              <w:rPr>
                <w:sz w:val="20"/>
                <w:szCs w:val="20"/>
                <w:color w:val="auto"/>
              </w:rPr>
            </w:pPr>
            <w:r>
              <w:rPr>
                <w:rFonts w:ascii="Arial" w:cs="Arial" w:eastAsia="Arial" w:hAnsi="Arial"/>
                <w:sz w:val="18"/>
                <w:szCs w:val="18"/>
                <w:b w:val="1"/>
                <w:bCs w:val="1"/>
                <w:color w:val="auto"/>
                <w:w w:val="93"/>
              </w:rPr>
              <w:t>ADDRESS:</w:t>
            </w:r>
          </w:p>
        </w:tc>
      </w:tr>
      <w:tr>
        <w:trPr>
          <w:trHeight w:val="41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FIDELITY SELECT PORTFOLIOS: BIOTECHNOLOGY</w:t>
            </w:r>
          </w:p>
        </w:tc>
        <w:tc>
          <w:tcPr>
            <w:tcW w:w="1640" w:type="dxa"/>
            <w:vAlign w:val="bottom"/>
          </w:tcPr>
          <w:p>
            <w:pPr>
              <w:spacing w:after="0"/>
              <w:rPr>
                <w:sz w:val="24"/>
                <w:szCs w:val="24"/>
                <w:color w:val="auto"/>
              </w:rPr>
            </w:pPr>
          </w:p>
        </w:tc>
      </w:tr>
      <w:tr>
        <w:trPr>
          <w:trHeight w:val="234"/>
        </w:trPr>
        <w:tc>
          <w:tcPr>
            <w:tcW w:w="5320" w:type="dxa"/>
            <w:vAlign w:val="bottom"/>
            <w:gridSpan w:val="3"/>
          </w:tcPr>
          <w:p>
            <w:pPr>
              <w:spacing w:after="0"/>
              <w:rPr>
                <w:sz w:val="20"/>
                <w:szCs w:val="20"/>
                <w:color w:val="auto"/>
              </w:rPr>
            </w:pPr>
            <w:r>
              <w:rPr>
                <w:rFonts w:ascii="Arial" w:cs="Arial" w:eastAsia="Arial" w:hAnsi="Arial"/>
                <w:sz w:val="18"/>
                <w:szCs w:val="18"/>
                <w:b w:val="1"/>
                <w:bCs w:val="1"/>
                <w:color w:val="auto"/>
              </w:rPr>
              <w:t>PORTFOLIO</w:t>
            </w:r>
          </w:p>
        </w:tc>
        <w:tc>
          <w:tcPr>
            <w:tcW w:w="1640" w:type="dxa"/>
            <w:vAlign w:val="bottom"/>
          </w:tcPr>
          <w:p>
            <w:pPr>
              <w:spacing w:after="0"/>
              <w:rPr>
                <w:sz w:val="20"/>
                <w:szCs w:val="20"/>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4260" w:type="dxa"/>
            <w:vAlign w:val="bottom"/>
            <w:gridSpan w:val="2"/>
          </w:tcPr>
          <w:p>
            <w:pPr>
              <w:spacing w:after="0"/>
              <w:rPr>
                <w:sz w:val="20"/>
                <w:szCs w:val="20"/>
                <w:color w:val="auto"/>
              </w:rPr>
            </w:pPr>
            <w:r>
              <w:rPr>
                <w:rFonts w:ascii="Arial" w:cs="Arial" w:eastAsia="Arial" w:hAnsi="Arial"/>
                <w:sz w:val="18"/>
                <w:szCs w:val="18"/>
                <w:color w:val="auto"/>
              </w:rPr>
              <w:t>/s/ Stephanie J. Dorsey</w:t>
            </w:r>
          </w:p>
        </w:tc>
        <w:tc>
          <w:tcPr>
            <w:tcW w:w="164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Stephanie J. Dorsey</w:t>
            </w:r>
          </w:p>
        </w:tc>
        <w:tc>
          <w:tcPr>
            <w:tcW w:w="7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4260" w:type="dxa"/>
            <w:vAlign w:val="bottom"/>
            <w:gridSpan w:val="2"/>
          </w:tcPr>
          <w:p>
            <w:pPr>
              <w:spacing w:after="0"/>
              <w:rPr>
                <w:sz w:val="20"/>
                <w:szCs w:val="20"/>
                <w:color w:val="auto"/>
              </w:rPr>
            </w:pPr>
            <w:r>
              <w:rPr>
                <w:rFonts w:ascii="Arial" w:cs="Arial" w:eastAsia="Arial" w:hAnsi="Arial"/>
                <w:sz w:val="18"/>
                <w:szCs w:val="18"/>
                <w:color w:val="auto"/>
              </w:rPr>
              <w:t>Assistant Treasurer</w:t>
            </w:r>
          </w:p>
        </w:tc>
        <w:tc>
          <w:tcPr>
            <w:tcW w:w="164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234"/>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INVESTORS:</w:t>
            </w:r>
          </w:p>
        </w:tc>
        <w:tc>
          <w:tcPr>
            <w:tcW w:w="1620" w:type="dxa"/>
            <w:vAlign w:val="bottom"/>
          </w:tcPr>
          <w:p>
            <w:pPr>
              <w:ind w:left="720"/>
              <w:spacing w:after="0"/>
              <w:rPr>
                <w:sz w:val="20"/>
                <w:szCs w:val="20"/>
                <w:color w:val="auto"/>
              </w:rPr>
            </w:pPr>
            <w:r>
              <w:rPr>
                <w:rFonts w:ascii="Arial" w:cs="Arial" w:eastAsia="Arial" w:hAnsi="Arial"/>
                <w:sz w:val="18"/>
                <w:szCs w:val="18"/>
                <w:b w:val="1"/>
                <w:bCs w:val="1"/>
                <w:color w:val="auto"/>
                <w:w w:val="93"/>
              </w:rPr>
              <w:t>ADDRESS:</w:t>
            </w:r>
          </w:p>
        </w:tc>
      </w:tr>
      <w:tr>
        <w:trPr>
          <w:trHeight w:val="414"/>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FIDELITY ADVISOR SERIES VII: FIDELITY ADVISOR</w:t>
            </w:r>
          </w:p>
        </w:tc>
        <w:tc>
          <w:tcPr>
            <w:tcW w:w="1620" w:type="dxa"/>
            <w:vAlign w:val="bottom"/>
          </w:tcPr>
          <w:p>
            <w:pPr>
              <w:spacing w:after="0"/>
              <w:rPr>
                <w:sz w:val="24"/>
                <w:szCs w:val="24"/>
                <w:color w:val="auto"/>
              </w:rPr>
            </w:pPr>
          </w:p>
        </w:tc>
      </w:tr>
      <w:tr>
        <w:trPr>
          <w:trHeight w:val="234"/>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BIOTECHNOLOGY FUND</w:t>
            </w:r>
          </w:p>
        </w:tc>
        <w:tc>
          <w:tcPr>
            <w:tcW w:w="1620" w:type="dxa"/>
            <w:vAlign w:val="bottom"/>
          </w:tcPr>
          <w:p>
            <w:pPr>
              <w:spacing w:after="0"/>
              <w:rPr>
                <w:sz w:val="20"/>
                <w:szCs w:val="20"/>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4280" w:type="dxa"/>
            <w:vAlign w:val="bottom"/>
            <w:gridSpan w:val="2"/>
          </w:tcPr>
          <w:p>
            <w:pPr>
              <w:spacing w:after="0"/>
              <w:rPr>
                <w:sz w:val="20"/>
                <w:szCs w:val="20"/>
                <w:color w:val="auto"/>
              </w:rPr>
            </w:pPr>
            <w:r>
              <w:rPr>
                <w:rFonts w:ascii="Arial" w:cs="Arial" w:eastAsia="Arial" w:hAnsi="Arial"/>
                <w:sz w:val="18"/>
                <w:szCs w:val="18"/>
                <w:color w:val="auto"/>
              </w:rPr>
              <w:t>/s/ Stephanie J. Dorsey</w:t>
            </w:r>
          </w:p>
        </w:tc>
        <w:tc>
          <w:tcPr>
            <w:tcW w:w="162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Stephanie J. Dorsey</w:t>
            </w:r>
          </w:p>
        </w:tc>
        <w:tc>
          <w:tcPr>
            <w:tcW w:w="7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4280" w:type="dxa"/>
            <w:vAlign w:val="bottom"/>
            <w:gridSpan w:val="2"/>
          </w:tcPr>
          <w:p>
            <w:pPr>
              <w:spacing w:after="0"/>
              <w:rPr>
                <w:sz w:val="20"/>
                <w:szCs w:val="20"/>
                <w:color w:val="auto"/>
              </w:rPr>
            </w:pPr>
            <w:r>
              <w:rPr>
                <w:rFonts w:ascii="Arial" w:cs="Arial" w:eastAsia="Arial" w:hAnsi="Arial"/>
                <w:sz w:val="18"/>
                <w:szCs w:val="18"/>
                <w:color w:val="auto"/>
              </w:rPr>
              <w:t>Assistant Treasurer</w:t>
            </w:r>
          </w:p>
        </w:tc>
        <w:tc>
          <w:tcPr>
            <w:tcW w:w="162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19" w:name="page320"/>
    <w:bookmarkEnd w:id="319"/>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BLACKROCK HEALTH SCIENCES TRUST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Investment Adviser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 Callan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P. Callan</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20" w:name="page321"/>
    <w:bookmarkEnd w:id="320"/>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BLACKROCK HEALTH SCIENCES OPPORTUNITIES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 SERIES OF BLACKROCK FUNDS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BlackRock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Investment Adviser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 Callan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P. Callan</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21" w:name="page322"/>
    <w:bookmarkEnd w:id="321"/>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BLACKROCK HEALTH SCIENCES MASTER UNIT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BlackRock Capital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Investment Adviser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P. Callan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Thomas P. Callan</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Director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22" w:name="page323"/>
    <w:bookmarkEnd w:id="322"/>
    <w:p>
      <w:pPr>
        <w:spacing w:after="0"/>
        <w:rPr>
          <w:sz w:val="20"/>
          <w:szCs w:val="20"/>
          <w:color w:val="auto"/>
        </w:rPr>
      </w:pPr>
      <w:r>
        <w:rPr>
          <w:rFonts w:ascii="Arial" w:cs="Arial" w:eastAsia="Arial" w:hAnsi="Arial"/>
          <w:sz w:val="17"/>
          <w:szCs w:val="17"/>
          <w:b w:val="1"/>
          <w:bCs w:val="1"/>
          <w:color w:val="auto"/>
        </w:rPr>
        <w:t>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-205740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4159"/>
          </w:cols>
          <w:pgMar w:left="240" w:top="269" w:right="1440" w:bottom="1440" w:gutter="0" w:footer="0" w:header="0"/>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DELOS INVESTMENTS 1</w:t>
      </w:r>
    </w:p>
    <w:p>
      <w:pPr>
        <w:sectPr>
          <w:pgSz w:w="11900" w:h="16838" w:orient="portrait"/>
          <w:cols w:equalWidth="0" w:num="1">
            <w:col w:w="10219"/>
          </w:cols>
          <w:pgMar w:left="240" w:top="269" w:right="1440" w:bottom="1440" w:gutter="0" w:footer="0" w:header="0"/>
          <w:type w:val="continuous"/>
        </w:sect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Henry Lin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22294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0" w:space="380"/>
            <w:col w:w="9159"/>
          </w:cols>
          <w:pgMar w:left="240" w:top="269" w:right="1440" w:bottom="1440" w:gutter="0" w:footer="0" w:header="0"/>
          <w:type w:val="continuous"/>
        </w:sectPr>
      </w:pPr>
    </w:p>
    <w:p>
      <w:pPr>
        <w:ind w:left="420"/>
        <w:spacing w:after="0"/>
        <w:rPr>
          <w:sz w:val="20"/>
          <w:szCs w:val="20"/>
          <w:color w:val="auto"/>
        </w:rPr>
      </w:pPr>
      <w:r>
        <w:rPr>
          <w:rFonts w:ascii="Arial" w:cs="Arial" w:eastAsia="Arial" w:hAnsi="Arial"/>
          <w:sz w:val="18"/>
          <w:szCs w:val="18"/>
          <w:color w:val="auto"/>
        </w:rPr>
        <w:t>Duly Authorised Signatory</w:t>
      </w:r>
    </w:p>
    <w:p>
      <w:pPr>
        <w:spacing w:after="0" w:line="225"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Henry Lin Chen</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Director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type w:val="continuous"/>
        </w:sectPr>
      </w:pPr>
    </w:p>
    <w:bookmarkStart w:id="323" w:name="page324"/>
    <w:bookmarkEnd w:id="323"/>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By: OrbiMed Capital GP V LLC, its General Partner</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OrbiMed Advisors LLC, its Managing</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1340"/>
        <w:spacing w:after="0"/>
        <w:tabs>
          <w:tab w:leader="none" w:pos="1780" w:val="left"/>
        </w:tabs>
        <w:rPr>
          <w:sz w:val="20"/>
          <w:szCs w:val="20"/>
          <w:color w:val="auto"/>
        </w:rPr>
      </w:pPr>
      <w:r>
        <w:rPr>
          <w:rFonts w:ascii="Arial" w:cs="Arial" w:eastAsia="Arial" w:hAnsi="Arial"/>
          <w:sz w:val="18"/>
          <w:szCs w:val="18"/>
          <w:color w:val="auto"/>
        </w:rPr>
        <w:t>By:</w:t>
        <w:tab/>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14605</wp:posOffset>
            </wp:positionV>
            <wp:extent cx="175831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6" w:lineRule="exact"/>
        <w:rPr>
          <w:sz w:val="20"/>
          <w:szCs w:val="20"/>
          <w:color w:val="auto"/>
        </w:rPr>
      </w:pPr>
    </w:p>
    <w:p>
      <w:pPr>
        <w:ind w:left="1800"/>
        <w:spacing w:after="0"/>
        <w:tabs>
          <w:tab w:leader="none" w:pos="2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Carl Gordon</w:t>
      </w:r>
    </w:p>
    <w:p>
      <w:pPr>
        <w:spacing w:after="0" w:line="23" w:lineRule="exact"/>
        <w:rPr>
          <w:sz w:val="20"/>
          <w:szCs w:val="20"/>
          <w:color w:val="auto"/>
        </w:rPr>
      </w:pPr>
    </w:p>
    <w:p>
      <w:pPr>
        <w:ind w:left="1800"/>
        <w:spacing w:after="0"/>
        <w:tabs>
          <w:tab w:leader="none" w:pos="242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ECOR1 CAPITAL FUND, L.P.</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Oleg Nodelman</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Oleg Nodelman</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Managing Director, EcoR1 Capital, LLC</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ECOR1 CAPITAL FUND QUALIFIED, L.P.</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Oleg Nodelman</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Oleg Nodelman</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Managing Director, EcoR1 Capital, LLC</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26" w:name="page327"/>
    <w:bookmarkEnd w:id="326"/>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JENNISON GLOBAL HEALTHCARE MASTER FUND,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Jennison Associates LLC, as the Investment Manager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Jennison Global Healthcare Master Fund, Ltd.</w:t>
      </w: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740" w:type="dxa"/>
            <w:vAlign w:val="bottom"/>
            <w:gridSpan w:val="2"/>
          </w:tcPr>
          <w:p>
            <w:pPr>
              <w:spacing w:after="0"/>
              <w:rPr>
                <w:sz w:val="20"/>
                <w:szCs w:val="20"/>
                <w:color w:val="auto"/>
              </w:rPr>
            </w:pPr>
            <w:r>
              <w:rPr>
                <w:rFonts w:ascii="Arial" w:cs="Arial" w:eastAsia="Arial" w:hAnsi="Arial"/>
                <w:sz w:val="18"/>
                <w:szCs w:val="18"/>
                <w:color w:val="auto"/>
              </w:rPr>
              <w:t>/s/ David Chan</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Chan</w:t>
            </w:r>
          </w:p>
        </w:tc>
        <w:tc>
          <w:tcPr>
            <w:tcW w:w="522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740" w:type="dxa"/>
            <w:vAlign w:val="bottom"/>
            <w:gridSpan w:val="2"/>
          </w:tcPr>
          <w:p>
            <w:pPr>
              <w:spacing w:after="0"/>
              <w:rPr>
                <w:sz w:val="20"/>
                <w:szCs w:val="20"/>
                <w:color w:val="auto"/>
              </w:rPr>
            </w:pPr>
            <w:r>
              <w:rPr>
                <w:rFonts w:ascii="Arial" w:cs="Arial" w:eastAsia="Arial" w:hAnsi="Arial"/>
                <w:sz w:val="18"/>
                <w:szCs w:val="18"/>
                <w:color w:val="auto"/>
              </w:rPr>
              <w:t>Managing Director of Jennison Associates LLC</w:t>
            </w:r>
          </w:p>
        </w:tc>
      </w:tr>
      <w:tr>
        <w:trPr>
          <w:trHeight w:val="365"/>
        </w:trPr>
        <w:tc>
          <w:tcPr>
            <w:tcW w:w="640" w:type="dxa"/>
            <w:vAlign w:val="bottom"/>
          </w:tcPr>
          <w:p>
            <w:pPr>
              <w:spacing w:after="0"/>
              <w:rPr>
                <w:sz w:val="24"/>
                <w:szCs w:val="24"/>
                <w:color w:val="auto"/>
              </w:rPr>
            </w:pPr>
          </w:p>
        </w:tc>
        <w:tc>
          <w:tcPr>
            <w:tcW w:w="8740" w:type="dxa"/>
            <w:vAlign w:val="bottom"/>
            <w:gridSpan w:val="2"/>
          </w:tcPr>
          <w:p>
            <w:pPr>
              <w:ind w:left="580"/>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tc>
      </w:tr>
    </w:tbl>
    <w:p>
      <w:pPr>
        <w:sectPr>
          <w:pgSz w:w="11900" w:h="16838" w:orient="portrait"/>
          <w:cols w:equalWidth="0" w:num="1">
            <w:col w:w="10219"/>
          </w:cols>
          <w:pgMar w:left="240" w:top="270" w:right="1440" w:bottom="1440" w:gutter="0" w:footer="0" w:header="0"/>
        </w:sectPr>
      </w:pPr>
    </w:p>
    <w:bookmarkStart w:id="327" w:name="page328"/>
    <w:bookmarkEnd w:id="3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BOXER CAPITAL LLC</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Davis</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Aaron Davis</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spacing w:after="0"/>
              <w:rPr>
                <w:sz w:val="20"/>
                <w:szCs w:val="20"/>
                <w:color w:val="auto"/>
              </w:rPr>
            </w:pPr>
          </w:p>
        </w:tc>
      </w:tr>
    </w:tbl>
    <w:p>
      <w:pPr>
        <w:spacing w:after="0" w:line="130"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MVA INVESTORS LLC</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Aaron Davis</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Aaron Davis</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29" w:name="page330"/>
    <w:bookmarkEnd w:id="329"/>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MERIDIAN GROWTH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its Investment Adviser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Arrowpoint Asset Management, LLC</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David Corkins</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0" w:name="page331"/>
    <w:bookmarkEnd w:id="330"/>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MERIDIAN SMALL CAP GROWTH FUND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its Investment Adviser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Arrowpoint Asset Management, LLC</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David Corkins</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1" w:name="page332"/>
    <w:bookmarkEnd w:id="331"/>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ARROWPOINT FUNDAMENTAL OPPORTUNITY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its General Partner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Arrowpoint Partners GP, LLC</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David Corkins</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2" w:name="page333"/>
    <w:bookmarkEnd w:id="332"/>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 INVESTMENT SERIES,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its Investment Adviser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Arrowpoint Asset Management, LLC</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Corkins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David Corkins</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4880" w:type="dxa"/>
            <w:vAlign w:val="bottom"/>
          </w:tcPr>
          <w:p>
            <w:pPr>
              <w:ind w:left="1480"/>
              <w:spacing w:after="0"/>
              <w:rPr>
                <w:sz w:val="20"/>
                <w:szCs w:val="20"/>
                <w:color w:val="auto"/>
              </w:rPr>
            </w:pPr>
            <w:r>
              <w:rPr>
                <w:rFonts w:ascii="Arial" w:cs="Arial" w:eastAsia="Arial" w:hAnsi="Arial"/>
                <w:sz w:val="18"/>
                <w:szCs w:val="18"/>
                <w:b w:val="1"/>
                <w:bCs w:val="1"/>
                <w:color w:val="auto"/>
              </w:rPr>
              <w:t>ADDRESS:</w:t>
            </w:r>
          </w:p>
        </w:tc>
      </w:tr>
      <w:tr>
        <w:trPr>
          <w:trHeight w:val="41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CORMORANT GLOBAL HEALTHCARE</w:t>
            </w:r>
          </w:p>
        </w:tc>
        <w:tc>
          <w:tcPr>
            <w:tcW w:w="4880" w:type="dxa"/>
            <w:vAlign w:val="bottom"/>
          </w:tcPr>
          <w:p>
            <w:pPr>
              <w:ind w:left="1480"/>
              <w:spacing w:after="0"/>
              <w:rPr>
                <w:sz w:val="20"/>
                <w:szCs w:val="20"/>
                <w:color w:val="auto"/>
              </w:rPr>
            </w:pPr>
            <w:r>
              <w:rPr>
                <w:rFonts w:ascii="Arial" w:cs="Arial" w:eastAsia="Arial" w:hAnsi="Arial"/>
                <w:sz w:val="18"/>
                <w:szCs w:val="18"/>
                <w:color w:val="auto"/>
                <w:w w:val="90"/>
              </w:rPr>
              <w:t>Cormorant Global Healthcare Master Fund, LP</w:t>
            </w:r>
          </w:p>
        </w:tc>
      </w:tr>
      <w:tr>
        <w:trPr>
          <w:trHeight w:val="22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MASTER FUND, LP</w:t>
            </w:r>
          </w:p>
        </w:tc>
        <w:tc>
          <w:tcPr>
            <w:tcW w:w="4880" w:type="dxa"/>
            <w:vAlign w:val="bottom"/>
          </w:tcPr>
          <w:p>
            <w:pPr>
              <w:ind w:left="1480"/>
              <w:spacing w:after="0"/>
              <w:rPr>
                <w:sz w:val="20"/>
                <w:szCs w:val="20"/>
                <w:color w:val="auto"/>
              </w:rPr>
            </w:pPr>
            <w:r>
              <w:rPr>
                <w:rFonts w:ascii="Arial" w:cs="Arial" w:eastAsia="Arial" w:hAnsi="Arial"/>
                <w:sz w:val="18"/>
                <w:szCs w:val="18"/>
                <w:color w:val="auto"/>
              </w:rPr>
              <w:t>200 Clarendon Street, 52nd Floor</w:t>
            </w:r>
          </w:p>
        </w:tc>
      </w:tr>
      <w:tr>
        <w:trPr>
          <w:trHeight w:val="230"/>
        </w:trPr>
        <w:tc>
          <w:tcPr>
            <w:tcW w:w="10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4880" w:type="dxa"/>
            <w:vAlign w:val="bottom"/>
          </w:tcPr>
          <w:p>
            <w:pPr>
              <w:ind w:left="1480"/>
              <w:spacing w:after="0"/>
              <w:rPr>
                <w:sz w:val="20"/>
                <w:szCs w:val="20"/>
                <w:color w:val="auto"/>
              </w:rPr>
            </w:pPr>
            <w:r>
              <w:rPr>
                <w:rFonts w:ascii="Arial" w:cs="Arial" w:eastAsia="Arial" w:hAnsi="Arial"/>
                <w:sz w:val="18"/>
                <w:szCs w:val="18"/>
                <w:color w:val="auto"/>
              </w:rPr>
              <w:t>Boston, MA 02116</w:t>
            </w:r>
          </w:p>
        </w:tc>
      </w:tr>
      <w:tr>
        <w:trPr>
          <w:trHeight w:val="459"/>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Bihua Chen</w:t>
            </w:r>
          </w:p>
        </w:tc>
        <w:tc>
          <w:tcPr>
            <w:tcW w:w="48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Bihua Chen</w:t>
            </w:r>
          </w:p>
        </w:tc>
        <w:tc>
          <w:tcPr>
            <w:tcW w:w="48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Managing Member of the General Partner</w:t>
            </w:r>
          </w:p>
        </w:tc>
        <w:tc>
          <w:tcPr>
            <w:tcW w:w="48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1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BMV DIRECT II LP</w:t>
            </w:r>
          </w:p>
        </w:tc>
        <w:tc>
          <w:tcPr>
            <w:tcW w:w="2380" w:type="dxa"/>
            <w:vAlign w:val="bottom"/>
          </w:tcPr>
          <w:p>
            <w:pPr>
              <w:spacing w:after="0"/>
              <w:rPr>
                <w:sz w:val="24"/>
                <w:szCs w:val="24"/>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a Delaware limited liability company</w:t>
            </w:r>
          </w:p>
        </w:tc>
        <w:tc>
          <w:tcPr>
            <w:tcW w:w="2380" w:type="dxa"/>
            <w:vAlign w:val="bottom"/>
          </w:tcPr>
          <w:p>
            <w:pPr>
              <w:spacing w:after="0"/>
              <w:rPr>
                <w:sz w:val="20"/>
                <w:szCs w:val="20"/>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Wolfe</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Brian Wolfe</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Vice President</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BIOBRIT, LLC</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M. Bradbury</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Daniel M. Bradbury</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Managing Member</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6" w:name="page337"/>
    <w:bookmarkEnd w:id="336"/>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DOMAIN PARTNERS VI,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One Palmer Square Associates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Lisa A. Kraeutler</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37" w:name="page338"/>
    <w:bookmarkEnd w:id="337"/>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DP VI ASSOCIATES,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One Palmer Square Associates VI,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Lisa A. Kraeutler</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38" w:name="page339"/>
    <w:bookmarkEnd w:id="338"/>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DOMAIN PARTNERS VIII,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One Palmer Square Associates VIII,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Lisa A. Kraeutler</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39" w:name="page340"/>
    <w:bookmarkEnd w:id="339"/>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DP VIII ASSOCIATES,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One Palmer Square Associates VIII,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Lisa A. Kraeutler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Lisa A. Kraeutler</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Attorney-in-fact</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0" w:name="page341"/>
    <w:bookmarkEnd w:id="340"/>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INVESTORS:</w:t>
            </w:r>
          </w:p>
        </w:tc>
        <w:tc>
          <w:tcPr>
            <w:tcW w:w="2380" w:type="dxa"/>
            <w:vAlign w:val="bottom"/>
          </w:tcPr>
          <w:p>
            <w:pPr>
              <w:ind w:left="1480"/>
              <w:spacing w:after="0"/>
              <w:rPr>
                <w:sz w:val="20"/>
                <w:szCs w:val="20"/>
                <w:color w:val="auto"/>
              </w:rPr>
            </w:pPr>
            <w:r>
              <w:rPr>
                <w:rFonts w:ascii="Arial" w:cs="Arial" w:eastAsia="Arial" w:hAnsi="Arial"/>
                <w:sz w:val="18"/>
                <w:szCs w:val="18"/>
                <w:b w:val="1"/>
                <w:bCs w:val="1"/>
                <w:color w:val="auto"/>
                <w:w w:val="93"/>
              </w:rPr>
              <w:t>ADDRESS:</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MC LIFE SCIENCE VENTURES, INC.</w:t>
            </w:r>
          </w:p>
        </w:tc>
        <w:tc>
          <w:tcPr>
            <w:tcW w:w="2380" w:type="dxa"/>
            <w:vAlign w:val="bottom"/>
          </w:tcPr>
          <w:p>
            <w:pPr>
              <w:spacing w:after="0"/>
              <w:rPr>
                <w:sz w:val="24"/>
                <w:szCs w:val="24"/>
                <w:color w:val="auto"/>
              </w:rPr>
            </w:pP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Asuka Nakazato</w:t>
            </w:r>
          </w:p>
        </w:tc>
        <w:tc>
          <w:tcPr>
            <w:tcW w:w="2380" w:type="dxa"/>
            <w:vAlign w:val="bottom"/>
          </w:tcPr>
          <w:p>
            <w:pPr>
              <w:spacing w:after="0"/>
              <w:rPr>
                <w:sz w:val="24"/>
                <w:szCs w:val="24"/>
                <w:color w:val="auto"/>
              </w:rPr>
            </w:pPr>
          </w:p>
        </w:tc>
      </w:tr>
      <w:tr>
        <w:trPr>
          <w:trHeight w:val="209"/>
        </w:trPr>
        <w:tc>
          <w:tcPr>
            <w:tcW w:w="1060" w:type="dxa"/>
            <w:vAlign w:val="bottom"/>
          </w:tcPr>
          <w:p>
            <w:pPr>
              <w:ind w:left="420"/>
              <w:spacing w:after="0"/>
              <w:rPr>
                <w:sz w:val="20"/>
                <w:szCs w:val="20"/>
                <w:color w:val="auto"/>
              </w:rPr>
            </w:pPr>
            <w:r>
              <w:rPr>
                <w:rFonts w:ascii="Arial" w:cs="Arial" w:eastAsia="Arial" w:hAnsi="Arial"/>
                <w:sz w:val="18"/>
                <w:szCs w:val="18"/>
                <w:color w:val="auto"/>
              </w:rPr>
              <w:t>Name:</w:t>
            </w:r>
          </w:p>
        </w:tc>
        <w:tc>
          <w:tcPr>
            <w:tcW w:w="3520" w:type="dxa"/>
            <w:vAlign w:val="bottom"/>
          </w:tcPr>
          <w:p>
            <w:pPr>
              <w:spacing w:after="0"/>
              <w:rPr>
                <w:sz w:val="20"/>
                <w:szCs w:val="20"/>
                <w:color w:val="auto"/>
              </w:rPr>
            </w:pPr>
            <w:r>
              <w:rPr>
                <w:rFonts w:ascii="Arial" w:cs="Arial" w:eastAsia="Arial" w:hAnsi="Arial"/>
                <w:sz w:val="18"/>
                <w:szCs w:val="18"/>
                <w:color w:val="auto"/>
              </w:rPr>
              <w:t>Asuka Nakazato</w:t>
            </w:r>
          </w:p>
        </w:tc>
        <w:tc>
          <w:tcPr>
            <w:tcW w:w="2380" w:type="dxa"/>
            <w:vAlign w:val="bottom"/>
          </w:tcPr>
          <w:p>
            <w:pPr>
              <w:spacing w:after="0"/>
              <w:rPr>
                <w:sz w:val="18"/>
                <w:szCs w:val="18"/>
                <w:color w:val="auto"/>
              </w:rPr>
            </w:pPr>
          </w:p>
        </w:tc>
      </w:tr>
      <w:tr>
        <w:trPr>
          <w:trHeight w:val="230"/>
        </w:trPr>
        <w:tc>
          <w:tcPr>
            <w:tcW w:w="1060" w:type="dxa"/>
            <w:vAlign w:val="bottom"/>
          </w:tcPr>
          <w:p>
            <w:pPr>
              <w:ind w:left="42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23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1" w:name="page342"/>
    <w:bookmarkEnd w:id="341"/>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BIOVENTURES IV-QP,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Luke Evnin, Ph.D.</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2" w:name="page343"/>
    <w:bookmarkEnd w:id="342"/>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BIOVENTURES IV GMBH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BETEILIGUNGS KG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the Managing Limited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Luke Evnin, Ph.D.</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43" w:name="page344"/>
    <w:bookmarkEnd w:id="343"/>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ASSET MANAGEMENT INVESTORS BV4,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Luke Evnin, Ph.D.</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MPM BIOVENTURES IV STRATEGIC FUND,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-206375</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43" w:lineRule="exact"/>
        <w:rPr>
          <w:sz w:val="20"/>
          <w:szCs w:val="20"/>
          <w:color w:val="auto"/>
        </w:rPr>
      </w:pPr>
    </w:p>
    <w:p>
      <w:pPr>
        <w:sectPr>
          <w:pgSz w:w="11900" w:h="16838" w:orient="portrait"/>
          <w:cols w:equalWidth="0" w:num="2">
            <w:col w:w="5340" w:space="720"/>
            <w:col w:w="4159"/>
          </w:cols>
          <w:pgMar w:left="240" w:top="270" w:right="1440"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GP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MPM BIOVENTURES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Luke Evnin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14605</wp:posOffset>
            </wp:positionV>
            <wp:extent cx="222948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16"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Luke Evnin, Ph.D.</w:t>
      </w:r>
    </w:p>
    <w:p>
      <w:pPr>
        <w:spacing w:after="0" w:line="23" w:lineRule="exact"/>
        <w:rPr>
          <w:sz w:val="20"/>
          <w:szCs w:val="20"/>
          <w:color w:val="auto"/>
        </w:rPr>
      </w:pPr>
    </w:p>
    <w:p>
      <w:pPr>
        <w:ind w:left="420"/>
        <w:spacing w:after="0"/>
        <w:tabs>
          <w:tab w:leader="none" w:pos="1040" w:val="left"/>
        </w:tabs>
        <w:rPr>
          <w:sz w:val="20"/>
          <w:szCs w:val="20"/>
          <w:color w:val="auto"/>
        </w:rPr>
      </w:pPr>
      <w:r>
        <w:rPr>
          <w:rFonts w:ascii="Arial" w:cs="Arial" w:eastAsia="Arial" w:hAnsi="Arial"/>
          <w:sz w:val="18"/>
          <w:szCs w:val="18"/>
          <w:color w:val="auto"/>
        </w:rPr>
        <w:t>Title:</w:t>
        <w:tab/>
        <w:t>Member</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type w:val="continuous"/>
        </w:sectPr>
      </w:pPr>
    </w:p>
    <w:bookmarkStart w:id="345" w:name="page346"/>
    <w:bookmarkEnd w:id="345"/>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Roe Reynolds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Roe Reynolds</w:t>
      </w:r>
    </w:p>
    <w:p>
      <w:pPr>
        <w:spacing w:after="0" w:line="154"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6" w:name="page347"/>
    <w:bookmarkEnd w:id="346"/>
    <w:p>
      <w:pPr>
        <w:spacing w:after="0"/>
        <w:tabs>
          <w:tab w:leader="none" w:pos="60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INVESTORS:</w:t>
      </w:r>
      <w:r>
        <w:rPr>
          <w:sz w:val="20"/>
          <w:szCs w:val="20"/>
          <w:color w:val="auto"/>
        </w:rPr>
        <w:tab/>
      </w:r>
      <w:r>
        <w:rPr>
          <w:rFonts w:ascii="Arial" w:cs="Arial" w:eastAsia="Arial" w:hAnsi="Arial"/>
          <w:sz w:val="18"/>
          <w:szCs w:val="18"/>
          <w:b w:val="1"/>
          <w:bCs w:val="1"/>
          <w:color w:val="auto"/>
        </w:rPr>
        <w:t>ADDRESS: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Ronald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Evans, Ph.D.</w:t>
      </w:r>
    </w:p>
    <w:p>
      <w:pPr>
        <w:spacing w:after="0" w:line="154"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7" w:name="page348"/>
    <w:bookmarkEnd w:id="347"/>
    <w:p>
      <w:pPr>
        <w:spacing w:after="0"/>
        <w:tabs>
          <w:tab w:leader="none" w:pos="6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w:t>
      </w:r>
      <w:r>
        <w:rPr>
          <w:sz w:val="20"/>
          <w:szCs w:val="20"/>
          <w:color w:val="auto"/>
        </w:rPr>
        <w:tab/>
      </w:r>
      <w:r>
        <w:rPr>
          <w:rFonts w:ascii="Arial" w:cs="Arial" w:eastAsia="Arial" w:hAnsi="Arial"/>
          <w:sz w:val="18"/>
          <w:szCs w:val="18"/>
          <w:b w:val="1"/>
          <w:bCs w:val="1"/>
          <w:color w:val="auto"/>
        </w:rPr>
        <w:t>ADDRESS: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Peter Ordentlich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Peter Ordentlich, Ph.D.</w:t>
      </w:r>
    </w:p>
    <w:p>
      <w:pPr>
        <w:spacing w:after="0" w:line="154"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69" w:right="1440" w:bottom="1440" w:gutter="0" w:footer="0" w:header="0"/>
        </w:sectPr>
      </w:pPr>
    </w:p>
    <w:bookmarkStart w:id="348" w:name="page349"/>
    <w:bookmarkEnd w:id="348"/>
    <w:p>
      <w:pPr>
        <w:spacing w:after="0"/>
        <w:tabs>
          <w:tab w:leader="none" w:pos="6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STOCKHOLDERS:</w:t>
      </w:r>
      <w:r>
        <w:rPr>
          <w:sz w:val="20"/>
          <w:szCs w:val="20"/>
          <w:color w:val="auto"/>
        </w:rPr>
        <w:tab/>
      </w:r>
      <w:r>
        <w:rPr>
          <w:rFonts w:ascii="Arial" w:cs="Arial" w:eastAsia="Arial" w:hAnsi="Arial"/>
          <w:sz w:val="18"/>
          <w:szCs w:val="18"/>
          <w:b w:val="1"/>
          <w:bCs w:val="1"/>
          <w:color w:val="auto"/>
        </w:rPr>
        <w:t>ADDRESS: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Ronald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Ronald Evans, Ph.D.</w:t>
      </w:r>
    </w:p>
    <w:p>
      <w:pPr>
        <w:spacing w:after="0" w:line="154"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49" w:name="page350"/>
    <w:bookmarkEnd w:id="349"/>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right"/>
        <w:ind w:right="3319"/>
        <w:spacing w:after="0"/>
        <w:rPr>
          <w:sz w:val="20"/>
          <w:szCs w:val="20"/>
          <w:color w:val="auto"/>
        </w:rPr>
      </w:pPr>
      <w:r>
        <w:rPr>
          <w:rFonts w:ascii="Arial" w:cs="Arial" w:eastAsia="Arial" w:hAnsi="Arial"/>
          <w:sz w:val="18"/>
          <w:szCs w:val="18"/>
          <w:b w:val="1"/>
          <w:bCs w:val="1"/>
          <w:color w:val="auto"/>
        </w:rPr>
        <w:t>SCHEDULE OF 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Series VII: Fidelity Advisor Biotechnology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Trust</w:t>
      </w:r>
    </w:p>
    <w:p>
      <w:pPr>
        <w:spacing w:after="0" w:line="9" w:lineRule="exact"/>
        <w:rPr>
          <w:sz w:val="20"/>
          <w:szCs w:val="20"/>
          <w:color w:val="auto"/>
        </w:rPr>
      </w:pPr>
    </w:p>
    <w:p>
      <w:pPr>
        <w:ind w:right="4339"/>
        <w:spacing w:after="0" w:line="250" w:lineRule="auto"/>
        <w:rPr>
          <w:sz w:val="20"/>
          <w:szCs w:val="20"/>
          <w:color w:val="auto"/>
        </w:rPr>
      </w:pPr>
      <w:r>
        <w:rPr>
          <w:rFonts w:ascii="Arial" w:cs="Arial" w:eastAsia="Arial" w:hAnsi="Arial"/>
          <w:sz w:val="18"/>
          <w:szCs w:val="18"/>
          <w:color w:val="auto"/>
        </w:rPr>
        <w:t>BlackRock Health Sciences Opportunities Portfolio, a series of BlackRock Funds BlackRock Health Sciences Master Unit Trust OrbiMed Private Investments V, 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EcoR1 Capital Fund Qualified,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Jennison Global Healthcare Master Fund,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Boxer Capital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MVA Investors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Meridian Growth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Meridian Small Cap Growth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Arrowpoint Fundamental Opportunity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 Investment Series,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BMV Direct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BioBrit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 Pappas Life Science Ventures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Avalon Ventures VII,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Boom Profit Investments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Delos Investments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Domain Partners VI,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 VI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Domain Partners VIII,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DP VIII Associates,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Ventures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Ventures IVB,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Forward Ventures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 Capital Equity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Kyowa Hakko Kirin Co.,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MC Life Science Ventures.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MPM Asset Management Investors BV4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MPM BioVentures IV-QP,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MPM BioVentures IV GmbH &amp; Co. Beteiligungs KG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MPM BioVentures IV Strategic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PV III CEO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RMI Investments S.a.r.l.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Ronald Evans, Ph.D.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Roe Reynolds</w:t>
      </w:r>
    </w:p>
    <w:p>
      <w:pPr>
        <w:sectPr>
          <w:pgSz w:w="11900" w:h="16838" w:orient="portrait"/>
          <w:cols w:equalWidth="0" w:num="1">
            <w:col w:w="10219"/>
          </w:cols>
          <w:pgMar w:left="240" w:top="270" w:right="1440" w:bottom="1440" w:gutter="0" w:footer="0" w:header="0"/>
        </w:sectPr>
      </w:pPr>
    </w:p>
    <w:bookmarkStart w:id="350" w:name="page351"/>
    <w:bookmarkEnd w:id="35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SCHEDULE OF MF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 and its Affiliates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Series VII: Fidelity Advisor Biotechnology Fund,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Trust,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Opportunities Portfolio, a series of BlackRock Funds,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BlackRock Health Sciences Master Unit Trust,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Meridian Growth Fund, and its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Meridian Small Cap Growth Fund, and its Affiliates</w:t>
      </w:r>
    </w:p>
    <w:p>
      <w:pPr>
        <w:spacing w:after="0" w:line="139" w:lineRule="exact"/>
        <w:rPr>
          <w:sz w:val="20"/>
          <w:szCs w:val="20"/>
          <w:color w:val="auto"/>
        </w:rPr>
      </w:pPr>
    </w:p>
    <w:p>
      <w:pPr>
        <w:jc w:val="right"/>
        <w:ind w:right="419"/>
        <w:spacing w:after="0"/>
        <w:rPr>
          <w:sz w:val="20"/>
          <w:szCs w:val="20"/>
          <w:color w:val="auto"/>
        </w:rPr>
      </w:pPr>
      <w:r>
        <w:rPr>
          <w:rFonts w:ascii="Arial" w:cs="Arial" w:eastAsia="Arial" w:hAnsi="Arial"/>
          <w:sz w:val="18"/>
          <w:szCs w:val="18"/>
          <w:b w:val="1"/>
          <w:bCs w:val="1"/>
          <w:color w:val="auto"/>
        </w:rPr>
        <w:t>[SIGNATURE PAGE TO THIRD AMENDED AND RESTATED INVESTORS’ RIGHTS AGREEMENT]</w:t>
      </w:r>
    </w:p>
    <w:p>
      <w:pPr>
        <w:sectPr>
          <w:pgSz w:w="11900" w:h="16838" w:orient="portrait"/>
          <w:cols w:equalWidth="0" w:num="1">
            <w:col w:w="10219"/>
          </w:cols>
          <w:pgMar w:left="240" w:top="270" w:right="1440"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WARRANT AGREEMENT</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between</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SYNDAX PHARMACEUTICALS, INC.</w:t>
      </w:r>
    </w:p>
    <w:p>
      <w:pPr>
        <w:spacing w:after="0" w:line="113"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BAYER SCHERING PHARMA AG</w:t>
      </w:r>
    </w:p>
    <w:p>
      <w:pPr>
        <w:spacing w:after="0" w:line="90"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 March 26,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352" w:name="page353"/>
    <w:bookmarkEnd w:id="352"/>
    <w:tbl>
      <w:tblPr>
        <w:tblLayout w:type="fixed"/>
        <w:tblInd w:w="0" w:type="dxa"/>
        <w:tblCellMar>
          <w:top w:w="0" w:type="dxa"/>
          <w:left w:w="0" w:type="dxa"/>
          <w:bottom w:w="0" w:type="dxa"/>
          <w:right w:w="0" w:type="dxa"/>
        </w:tblCellMar>
      </w:tblPr>
      <w:tr>
        <w:trPr>
          <w:trHeight w:val="207"/>
        </w:trPr>
        <w:tc>
          <w:tcPr>
            <w:tcW w:w="11060" w:type="dxa"/>
            <w:vAlign w:val="bottom"/>
            <w:gridSpan w:val="3"/>
          </w:tcPr>
          <w:p>
            <w:pPr>
              <w:ind w:left="5100"/>
              <w:spacing w:after="0"/>
              <w:rPr>
                <w:sz w:val="20"/>
                <w:szCs w:val="20"/>
                <w:color w:val="auto"/>
              </w:rPr>
            </w:pPr>
            <w:r>
              <w:rPr>
                <w:rFonts w:ascii="Arial" w:cs="Arial" w:eastAsia="Arial" w:hAnsi="Arial"/>
                <w:sz w:val="18"/>
                <w:szCs w:val="18"/>
                <w:color w:val="auto"/>
              </w:rPr>
              <w:t>Table of Contents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100" w:type="dxa"/>
            <w:vAlign w:val="bottom"/>
          </w:tcPr>
          <w:p>
            <w:pPr>
              <w:spacing w:after="0"/>
              <w:rPr>
                <w:sz w:val="24"/>
                <w:szCs w:val="24"/>
                <w:color w:val="auto"/>
              </w:rPr>
            </w:pPr>
          </w:p>
        </w:tc>
        <w:tc>
          <w:tcPr>
            <w:tcW w:w="1240" w:type="dxa"/>
            <w:vAlign w:val="bottom"/>
            <w:tcBorders>
              <w:top w:val="single" w:sz="8" w:color="auto"/>
              <w:bottom w:val="single" w:sz="8" w:color="auto"/>
            </w:tcBorders>
            <w:vMerge w:val="restart"/>
          </w:tcPr>
          <w:p>
            <w:pPr>
              <w:jc w:val="center"/>
              <w:ind w:right="12"/>
              <w:spacing w:after="0"/>
              <w:rPr>
                <w:sz w:val="20"/>
                <w:szCs w:val="20"/>
                <w:color w:val="auto"/>
              </w:rPr>
            </w:pPr>
            <w:r>
              <w:rPr>
                <w:rFonts w:ascii="Arial" w:cs="Arial" w:eastAsia="Arial" w:hAnsi="Arial"/>
                <w:sz w:val="18"/>
                <w:szCs w:val="18"/>
                <w:color w:val="auto"/>
                <w:w w:val="95"/>
              </w:rPr>
              <w:t>ARTICLE I</w:t>
            </w:r>
          </w:p>
        </w:tc>
        <w:tc>
          <w:tcPr>
            <w:tcW w:w="4720" w:type="dxa"/>
            <w:vAlign w:val="bottom"/>
            <w:vMerge w:val="restart"/>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88"/>
        </w:trPr>
        <w:tc>
          <w:tcPr>
            <w:tcW w:w="5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4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18"/>
                <w:szCs w:val="18"/>
                <w:color w:val="auto"/>
              </w:rPr>
            </w:pPr>
          </w:p>
        </w:tc>
        <w:tc>
          <w:tcPr>
            <w:tcW w:w="5960" w:type="dxa"/>
            <w:vAlign w:val="bottom"/>
            <w:gridSpan w:val="2"/>
          </w:tcPr>
          <w:p>
            <w:pPr>
              <w:jc w:val="center"/>
              <w:ind w:right="4820"/>
              <w:spacing w:after="0"/>
              <w:rPr>
                <w:sz w:val="20"/>
                <w:szCs w:val="20"/>
                <w:color w:val="auto"/>
              </w:rPr>
            </w:pPr>
            <w:r>
              <w:rPr>
                <w:rFonts w:ascii="Arial" w:cs="Arial" w:eastAsia="Arial" w:hAnsi="Arial"/>
                <w:sz w:val="18"/>
                <w:szCs w:val="18"/>
                <w:color w:val="auto"/>
                <w:w w:val="92"/>
              </w:rPr>
              <w:t>Definitions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SECTION 1.01. Definitions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4"/>
                <w:szCs w:val="24"/>
                <w:color w:val="auto"/>
              </w:rPr>
            </w:pPr>
          </w:p>
        </w:tc>
        <w:tc>
          <w:tcPr>
            <w:tcW w:w="5960" w:type="dxa"/>
            <w:vAlign w:val="bottom"/>
            <w:gridSpan w:val="2"/>
          </w:tcPr>
          <w:p>
            <w:pPr>
              <w:jc w:val="center"/>
              <w:ind w:right="4820"/>
              <w:spacing w:after="0"/>
              <w:rPr>
                <w:sz w:val="20"/>
                <w:szCs w:val="20"/>
                <w:color w:val="auto"/>
              </w:rPr>
            </w:pPr>
            <w:r>
              <w:rPr>
                <w:rFonts w:ascii="Arial" w:cs="Arial" w:eastAsia="Arial" w:hAnsi="Arial"/>
                <w:sz w:val="18"/>
                <w:szCs w:val="18"/>
                <w:color w:val="auto"/>
                <w:w w:val="98"/>
              </w:rPr>
              <w:t>ARTICLE 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60" w:type="dxa"/>
            <w:vAlign w:val="bottom"/>
            <w:gridSpan w:val="3"/>
          </w:tcPr>
          <w:p>
            <w:pPr>
              <w:jc w:val="center"/>
              <w:ind w:left="192"/>
              <w:spacing w:after="0"/>
              <w:rPr>
                <w:sz w:val="20"/>
                <w:szCs w:val="20"/>
                <w:color w:val="auto"/>
              </w:rPr>
            </w:pPr>
            <w:r>
              <w:rPr>
                <w:rFonts w:ascii="Arial" w:cs="Arial" w:eastAsia="Arial" w:hAnsi="Arial"/>
                <w:sz w:val="18"/>
                <w:szCs w:val="18"/>
                <w:color w:val="auto"/>
                <w:w w:val="85"/>
              </w:rPr>
              <w:t>Issuance of Warrants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2.01. Issuance of Warrants</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2.02. Representations and Warranties of the Company</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SECTION 2.03. Representations and Warranties of the Holder</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4"/>
                <w:szCs w:val="24"/>
                <w:color w:val="auto"/>
              </w:rPr>
            </w:pPr>
          </w:p>
        </w:tc>
        <w:tc>
          <w:tcPr>
            <w:tcW w:w="5960" w:type="dxa"/>
            <w:vAlign w:val="bottom"/>
            <w:gridSpan w:val="2"/>
          </w:tcPr>
          <w:p>
            <w:pPr>
              <w:jc w:val="center"/>
              <w:ind w:right="4820"/>
              <w:spacing w:after="0"/>
              <w:rPr>
                <w:sz w:val="20"/>
                <w:szCs w:val="20"/>
                <w:color w:val="auto"/>
              </w:rPr>
            </w:pPr>
            <w:r>
              <w:rPr>
                <w:rFonts w:ascii="Arial" w:cs="Arial" w:eastAsia="Arial" w:hAnsi="Arial"/>
                <w:sz w:val="18"/>
                <w:szCs w:val="18"/>
                <w:color w:val="auto"/>
                <w:w w:val="97"/>
              </w:rPr>
              <w:t>ARTICLE III</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6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Warrant Certificates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3.01.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3.02. Forms of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3.03. Execution of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3.04. Registration of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3.05. Exchange and Transfer of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3.06. Mutilated, Lost, Stolen or Destroyed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SECTION 3.07. Cancellation of Warrant Certificates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4"/>
                <w:szCs w:val="24"/>
                <w:color w:val="auto"/>
              </w:rPr>
            </w:pPr>
          </w:p>
        </w:tc>
        <w:tc>
          <w:tcPr>
            <w:tcW w:w="5960" w:type="dxa"/>
            <w:vAlign w:val="bottom"/>
            <w:gridSpan w:val="2"/>
          </w:tcPr>
          <w:p>
            <w:pPr>
              <w:jc w:val="center"/>
              <w:ind w:right="4840"/>
              <w:spacing w:after="0"/>
              <w:rPr>
                <w:sz w:val="20"/>
                <w:szCs w:val="20"/>
                <w:color w:val="auto"/>
              </w:rPr>
            </w:pPr>
            <w:r>
              <w:rPr>
                <w:rFonts w:ascii="Arial" w:cs="Arial" w:eastAsia="Arial" w:hAnsi="Arial"/>
                <w:sz w:val="18"/>
                <w:szCs w:val="18"/>
                <w:color w:val="auto"/>
                <w:w w:val="97"/>
              </w:rPr>
              <w:t>ARTICLE IV</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6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Warrant Exercise Price and Exercise of Warrants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4.01. Exercise Price</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4.02. Exercise of Warrants</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4.03. Issuance of Warrant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4.04. Certificates for Unexercised Warrants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4.05. Reservation of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4.06. No Impairment</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SECTION 4.07. Expiration of Warrants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26"/>
        </w:trPr>
        <w:tc>
          <w:tcPr>
            <w:tcW w:w="5100" w:type="dxa"/>
            <w:vAlign w:val="bottom"/>
          </w:tcPr>
          <w:p>
            <w:pPr>
              <w:spacing w:after="0"/>
              <w:rPr>
                <w:sz w:val="24"/>
                <w:szCs w:val="24"/>
                <w:color w:val="auto"/>
              </w:rPr>
            </w:pPr>
          </w:p>
        </w:tc>
        <w:tc>
          <w:tcPr>
            <w:tcW w:w="5960" w:type="dxa"/>
            <w:vAlign w:val="bottom"/>
            <w:gridSpan w:val="2"/>
          </w:tcPr>
          <w:p>
            <w:pPr>
              <w:jc w:val="center"/>
              <w:ind w:right="4820"/>
              <w:spacing w:after="0"/>
              <w:rPr>
                <w:sz w:val="20"/>
                <w:szCs w:val="20"/>
                <w:color w:val="auto"/>
              </w:rPr>
            </w:pPr>
            <w:r>
              <w:rPr>
                <w:rFonts w:ascii="Arial" w:cs="Arial" w:eastAsia="Arial" w:hAnsi="Arial"/>
                <w:sz w:val="18"/>
                <w:szCs w:val="18"/>
                <w:color w:val="auto"/>
                <w:w w:val="96"/>
              </w:rPr>
              <w:t>ARTICLE V</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060" w:type="dxa"/>
            <w:vAlign w:val="bottom"/>
            <w:gridSpan w:val="3"/>
          </w:tcPr>
          <w:p>
            <w:pPr>
              <w:jc w:val="center"/>
              <w:ind w:left="172"/>
              <w:spacing w:after="0"/>
              <w:rPr>
                <w:sz w:val="20"/>
                <w:szCs w:val="20"/>
                <w:color w:val="auto"/>
              </w:rPr>
            </w:pPr>
            <w:r>
              <w:rPr>
                <w:rFonts w:ascii="Arial" w:cs="Arial" w:eastAsia="Arial" w:hAnsi="Arial"/>
                <w:sz w:val="18"/>
                <w:szCs w:val="18"/>
                <w:color w:val="auto"/>
                <w:w w:val="89"/>
              </w:rPr>
              <w:t>Adjustments and Notice Provisions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5.01. Adjustment of Exercise Price; Dividends and Distributions Made on a Fully Diluted Basis</w:t>
            </w:r>
          </w:p>
        </w:tc>
        <w:tc>
          <w:tcPr>
            <w:tcW w:w="2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5.02. Reorganizations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5.03. Notice of Certain Actions</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5.04. Certificate of Adjustments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5.05. Warrant Certificate Amendments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11060" w:type="dxa"/>
            <w:vAlign w:val="bottom"/>
            <w:gridSpan w:val="3"/>
          </w:tcPr>
          <w:p>
            <w:pPr>
              <w:spacing w:after="0"/>
              <w:rPr>
                <w:sz w:val="20"/>
                <w:szCs w:val="20"/>
                <w:color w:val="auto"/>
              </w:rPr>
            </w:pPr>
            <w:r>
              <w:rPr>
                <w:rFonts w:ascii="Arial" w:cs="Arial" w:eastAsia="Arial" w:hAnsi="Arial"/>
                <w:sz w:val="18"/>
                <w:szCs w:val="18"/>
                <w:color w:val="auto"/>
              </w:rPr>
              <w:t>SECTION 5.06. Fractional Shares</w:t>
            </w: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56" w:right="339" w:bottom="1440" w:gutter="0" w:footer="0" w:header="0"/>
        </w:sectPr>
      </w:pPr>
    </w:p>
    <w:bookmarkStart w:id="353" w:name="page354"/>
    <w:bookmarkEnd w:id="353"/>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6680" w:type="dxa"/>
            <w:vAlign w:val="bottom"/>
          </w:tcPr>
          <w:p>
            <w:pPr>
              <w:jc w:val="right"/>
              <w:ind w:right="5092"/>
              <w:spacing w:after="0"/>
              <w:rPr>
                <w:sz w:val="20"/>
                <w:szCs w:val="20"/>
                <w:color w:val="auto"/>
              </w:rPr>
            </w:pPr>
            <w:r>
              <w:rPr>
                <w:rFonts w:ascii="Arial" w:cs="Arial" w:eastAsia="Arial" w:hAnsi="Arial"/>
                <w:sz w:val="18"/>
                <w:szCs w:val="18"/>
                <w:color w:val="auto"/>
              </w:rPr>
              <w:t>ARTICLE VI</w:t>
            </w:r>
          </w:p>
        </w:tc>
      </w:tr>
      <w:tr>
        <w:trPr>
          <w:trHeight w:val="222"/>
        </w:trPr>
        <w:tc>
          <w:tcPr>
            <w:tcW w:w="4640" w:type="dxa"/>
            <w:vAlign w:val="bottom"/>
          </w:tcPr>
          <w:p>
            <w:pPr>
              <w:spacing w:after="0"/>
              <w:rPr>
                <w:sz w:val="19"/>
                <w:szCs w:val="19"/>
                <w:color w:val="auto"/>
              </w:rPr>
            </w:pPr>
          </w:p>
        </w:tc>
        <w:tc>
          <w:tcPr>
            <w:tcW w:w="6680" w:type="dxa"/>
            <w:vAlign w:val="bottom"/>
          </w:tcPr>
          <w:p>
            <w:pPr>
              <w:jc w:val="right"/>
              <w:ind w:right="5092"/>
              <w:spacing w:after="0"/>
              <w:rPr>
                <w:sz w:val="20"/>
                <w:szCs w:val="20"/>
                <w:color w:val="auto"/>
              </w:rPr>
            </w:pPr>
            <w:r>
              <w:rPr>
                <w:rFonts w:ascii="Arial" w:cs="Arial" w:eastAsia="Arial" w:hAnsi="Arial"/>
                <w:sz w:val="18"/>
                <w:szCs w:val="18"/>
                <w:color w:val="auto"/>
              </w:rPr>
              <w:t>Miscellanous</w:t>
            </w:r>
          </w:p>
        </w:tc>
      </w:tr>
      <w:tr>
        <w:trPr>
          <w:trHeight w:val="426"/>
        </w:trPr>
        <w:tc>
          <w:tcPr>
            <w:tcW w:w="4640" w:type="dxa"/>
            <w:vAlign w:val="bottom"/>
          </w:tcPr>
          <w:p>
            <w:pPr>
              <w:spacing w:after="0"/>
              <w:rPr>
                <w:sz w:val="20"/>
                <w:szCs w:val="20"/>
                <w:color w:val="auto"/>
              </w:rPr>
            </w:pPr>
            <w:r>
              <w:rPr>
                <w:rFonts w:ascii="Arial" w:cs="Arial" w:eastAsia="Arial" w:hAnsi="Arial"/>
                <w:sz w:val="18"/>
                <w:szCs w:val="18"/>
                <w:color w:val="auto"/>
              </w:rPr>
              <w:t>SECTION 6.01. Payment of Taxes and Charges</w:t>
            </w:r>
          </w:p>
        </w:tc>
        <w:tc>
          <w:tcPr>
            <w:tcW w:w="6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6.02. Periodic Information Requests</w:t>
            </w:r>
          </w:p>
        </w:tc>
        <w:tc>
          <w:tcPr>
            <w:tcW w:w="6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6.03. Registration Rights</w:t>
            </w:r>
          </w:p>
        </w:tc>
        <w:tc>
          <w:tcPr>
            <w:tcW w:w="6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6.04. Governing Law</w:t>
            </w:r>
          </w:p>
        </w:tc>
        <w:tc>
          <w:tcPr>
            <w:tcW w:w="6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6.05. Jurisdiction; Waiver of Jury Trial</w:t>
            </w:r>
          </w:p>
        </w:tc>
        <w:tc>
          <w:tcPr>
            <w:tcW w:w="6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6.06. No Rights or Liabilities as Shareholder</w:t>
            </w: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6.07. Successor and Assigns</w:t>
            </w: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6.08. Descriptive Headings</w:t>
            </w: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6.09. Amendment</w:t>
            </w: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6.10. Notices</w:t>
            </w:r>
          </w:p>
        </w:tc>
        <w:tc>
          <w:tcPr>
            <w:tcW w:w="6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6.11. Defects in Notice</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6.12. Counterparts</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SECTION 6.13. Severability</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SECTION 6.14. Integration</w:t>
            </w:r>
          </w:p>
        </w:tc>
        <w:tc>
          <w:tcPr>
            <w:tcW w:w="6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8"/>
        </w:trPr>
        <w:tc>
          <w:tcPr>
            <w:tcW w:w="4640" w:type="dxa"/>
            <w:vAlign w:val="bottom"/>
          </w:tcPr>
          <w:p>
            <w:pPr>
              <w:spacing w:after="0"/>
              <w:rPr>
                <w:sz w:val="20"/>
                <w:szCs w:val="20"/>
                <w:color w:val="auto"/>
              </w:rPr>
            </w:pPr>
            <w:r>
              <w:rPr>
                <w:rFonts w:ascii="Arial" w:cs="Arial" w:eastAsia="Arial" w:hAnsi="Arial"/>
                <w:sz w:val="18"/>
                <w:szCs w:val="18"/>
                <w:color w:val="auto"/>
              </w:rPr>
              <w:t>Exhibit A – Form of Warrant Certificate</w:t>
            </w:r>
          </w:p>
        </w:tc>
        <w:tc>
          <w:tcPr>
            <w:tcW w:w="668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Exhibit B – Form of Investment Representation Statement</w:t>
            </w:r>
          </w:p>
        </w:tc>
        <w:tc>
          <w:tcPr>
            <w:tcW w:w="668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Exhibit C – Examples of Election to Purchase</w:t>
            </w:r>
          </w:p>
        </w:tc>
        <w:tc>
          <w:tcPr>
            <w:tcW w:w="668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22"/>
        </w:trPr>
        <w:tc>
          <w:tcPr>
            <w:tcW w:w="4640" w:type="dxa"/>
            <w:vAlign w:val="bottom"/>
          </w:tcPr>
          <w:p>
            <w:pPr>
              <w:spacing w:after="0"/>
              <w:rPr>
                <w:sz w:val="20"/>
                <w:szCs w:val="20"/>
                <w:color w:val="auto"/>
              </w:rPr>
            </w:pPr>
            <w:r>
              <w:rPr>
                <w:rFonts w:ascii="Arial" w:cs="Arial" w:eastAsia="Arial" w:hAnsi="Arial"/>
                <w:sz w:val="18"/>
                <w:szCs w:val="18"/>
                <w:color w:val="auto"/>
              </w:rPr>
              <w:t>Exhibit D – Form of Investors’ Rights Agreement</w:t>
            </w:r>
          </w:p>
        </w:tc>
        <w:tc>
          <w:tcPr>
            <w:tcW w:w="6680" w:type="dxa"/>
            <w:vAlign w:val="bottom"/>
          </w:tcPr>
          <w:p>
            <w:pPr>
              <w:jc w:val="right"/>
              <w:spacing w:after="0"/>
              <w:rPr>
                <w:sz w:val="20"/>
                <w:szCs w:val="20"/>
                <w:color w:val="auto"/>
              </w:rPr>
            </w:pPr>
            <w:r>
              <w:rPr>
                <w:rFonts w:ascii="Arial" w:cs="Arial" w:eastAsia="Arial" w:hAnsi="Arial"/>
                <w:sz w:val="18"/>
                <w:szCs w:val="18"/>
                <w:color w:val="auto"/>
              </w:rPr>
              <w:t>D-1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80" w:right="339" w:bottom="1440" w:gutter="0" w:footer="0" w:header="0"/>
        </w:sectPr>
      </w:pPr>
    </w:p>
    <w:bookmarkStart w:id="354" w:name="page355"/>
    <w:bookmarkEnd w:id="354"/>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WARRANT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March 26, 2007 between SYNDAX PHARMACEUTICALS, INC., a corporation organized under the laws of the State of Delaware (the “</w:t>
      </w:r>
      <w:r>
        <w:rPr>
          <w:rFonts w:ascii="Arial" w:cs="Arial" w:eastAsia="Arial" w:hAnsi="Arial"/>
          <w:sz w:val="18"/>
          <w:szCs w:val="18"/>
          <w:u w:val="single" w:color="auto"/>
          <w:color w:val="auto"/>
        </w:rPr>
        <w:t>Company</w:t>
      </w:r>
      <w:r>
        <w:rPr>
          <w:rFonts w:ascii="Arial" w:cs="Arial" w:eastAsia="Arial" w:hAnsi="Arial"/>
          <w:sz w:val="18"/>
          <w:szCs w:val="18"/>
          <w:color w:val="auto"/>
        </w:rPr>
        <w:t>”), and BAYER SCHERING PHARMA AG (formerly known as SCHERING AG), a corporation organized under the laws of the Federal Republic of Germany (“</w:t>
      </w:r>
      <w:r>
        <w:rPr>
          <w:rFonts w:ascii="Arial" w:cs="Arial" w:eastAsia="Arial" w:hAnsi="Arial"/>
          <w:sz w:val="18"/>
          <w:szCs w:val="18"/>
          <w:u w:val="single" w:color="auto"/>
          <w:color w:val="auto"/>
        </w:rPr>
        <w:t>Bayer</w:t>
      </w:r>
      <w:r>
        <w:rPr>
          <w:rFonts w:ascii="Arial" w:cs="Arial" w:eastAsia="Arial" w:hAnsi="Arial"/>
          <w:sz w:val="18"/>
          <w:szCs w:val="18"/>
          <w:color w:val="auto"/>
        </w:rPr>
        <w:t>”).</w:t>
      </w:r>
    </w:p>
    <w:p>
      <w:pPr>
        <w:spacing w:after="0" w:line="140" w:lineRule="exact"/>
        <w:rPr>
          <w:sz w:val="20"/>
          <w:szCs w:val="20"/>
          <w:color w:val="auto"/>
        </w:rPr>
      </w:pPr>
    </w:p>
    <w:p>
      <w:pPr>
        <w:ind w:right="280" w:firstLine="913"/>
        <w:spacing w:after="0" w:line="294" w:lineRule="auto"/>
        <w:rPr>
          <w:sz w:val="20"/>
          <w:szCs w:val="20"/>
          <w:color w:val="auto"/>
        </w:rPr>
      </w:pPr>
      <w:r>
        <w:rPr>
          <w:rFonts w:ascii="Arial" w:cs="Arial" w:eastAsia="Arial" w:hAnsi="Arial"/>
          <w:sz w:val="16"/>
          <w:szCs w:val="16"/>
          <w:color w:val="auto"/>
        </w:rPr>
        <w:t>WHEREAS, in connection with the execution and delivery of the License, Development and Commercialization Agreement dated as of the date hereof, among the Company and Bayer, the Company has agreed to issue and deliver to Bayer a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or “</w:t>
      </w:r>
      <w:r>
        <w:rPr>
          <w:rFonts w:ascii="Arial" w:cs="Arial" w:eastAsia="Arial" w:hAnsi="Arial"/>
          <w:sz w:val="16"/>
          <w:szCs w:val="16"/>
          <w:u w:val="single" w:color="auto"/>
          <w:color w:val="auto"/>
        </w:rPr>
        <w:t>Warrants</w:t>
      </w:r>
      <w:r>
        <w:rPr>
          <w:rFonts w:ascii="Arial" w:cs="Arial" w:eastAsia="Arial" w:hAnsi="Arial"/>
          <w:sz w:val="16"/>
          <w:szCs w:val="16"/>
          <w:color w:val="auto"/>
        </w:rPr>
        <w:t>”) to purchase shares of Common Stock representing, subject to the provisions of Sections 2.01 and 4.02, one and three quarters percent (1.75%) of the shares of Common Stock outstanding on a Fully Diluted Basis as of the earlier of a Date of Exercise and the IPO Date (the shares of Common Stock issuable upon exercise of Warrants being referred to herein as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as set forth herein;</w:t>
      </w:r>
    </w:p>
    <w:p>
      <w:pPr>
        <w:spacing w:after="0" w:line="116"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NOW, THEREFORE, in consideration of the premises and of the mutual covenants and obligations hereinafter set forth, the parties hereto hereby agree as follows: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meanings ascribed to them below.</w:t>
      </w:r>
    </w:p>
    <w:p>
      <w:pPr>
        <w:spacing w:after="0" w:line="171"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of any Person means any Person that, directly or indirectly through one or more intermediaries, controls, is controlled by or is under common control with such Person. For purposes of this “Affiliate” definition only, the term “control” means the possession, directly or indirectly, of the power to direct or cause the direction of the management and policies of a Person, whether through the ownership of voting securities, by contract or otherwise. The term “Affiliate” shall also include any Person that directly, or indirectly through one or more intermediaries, owns 5% or more of any class of capital stock or other equity interests of the Person specified or that is an officer or director of the Person specified.</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Bayer</w:t>
      </w:r>
      <w:r>
        <w:rPr>
          <w:rFonts w:ascii="Arial" w:cs="Arial" w:eastAsia="Arial" w:hAnsi="Arial"/>
          <w:sz w:val="18"/>
          <w:szCs w:val="18"/>
          <w:color w:val="auto"/>
        </w:rPr>
        <w:t>” has the meaning set forth in the Preamble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171"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Sunday or other day on which commercial banks in New York City are authorized or required by law to remain closed.</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common stock, par value $0.0001 per share, of the Company.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Exercise</w:t>
      </w:r>
      <w:r>
        <w:rPr>
          <w:rFonts w:ascii="Arial" w:cs="Arial" w:eastAsia="Arial" w:hAnsi="Arial"/>
          <w:sz w:val="18"/>
          <w:szCs w:val="18"/>
          <w:color w:val="auto"/>
        </w:rPr>
        <w:t>” means, with respect to any Warrant, a date on which such Warrant is exercised as provided herein.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to Purchase</w:t>
      </w:r>
      <w:r>
        <w:rPr>
          <w:rFonts w:ascii="Arial" w:cs="Arial" w:eastAsia="Arial" w:hAnsi="Arial"/>
          <w:sz w:val="18"/>
          <w:szCs w:val="18"/>
          <w:color w:val="auto"/>
        </w:rPr>
        <w:t>” has the meaning set forth in Section 3.02 of this Agreement.</w:t>
      </w:r>
    </w:p>
    <w:p>
      <w:pPr>
        <w:sectPr>
          <w:pgSz w:w="11900" w:h="16838" w:orient="portrait"/>
          <w:cols w:equalWidth="0" w:num="1">
            <w:col w:w="11400"/>
          </w:cols>
          <w:pgMar w:left="240" w:top="280" w:right="259" w:bottom="1440" w:gutter="0" w:footer="0" w:header="0"/>
        </w:sectPr>
      </w:pPr>
    </w:p>
    <w:bookmarkStart w:id="355" w:name="page356"/>
    <w:bookmarkEnd w:id="355"/>
    <w:p>
      <w:pPr>
        <w:ind w:right="5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Exercise Amount</w:t>
      </w:r>
      <w:r>
        <w:rPr>
          <w:rFonts w:ascii="Arial" w:cs="Arial" w:eastAsia="Arial" w:hAnsi="Arial"/>
          <w:sz w:val="18"/>
          <w:szCs w:val="18"/>
          <w:color w:val="auto"/>
        </w:rPr>
        <w:t>” means, with respect to any exercise of Warrants on a Date of Exercise, the number of shares of Common Stock calculated pursuant to the formula set forth in Section 4.02(a).</w:t>
      </w:r>
    </w:p>
    <w:p>
      <w:pPr>
        <w:spacing w:after="0" w:line="132" w:lineRule="exact"/>
        <w:rPr>
          <w:sz w:val="20"/>
          <w:szCs w:val="20"/>
          <w:color w:val="auto"/>
        </w:rPr>
      </w:pPr>
    </w:p>
    <w:p>
      <w:pPr>
        <w:ind w:right="200" w:firstLine="913"/>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Percentage</w:t>
      </w:r>
      <w:r>
        <w:rPr>
          <w:rFonts w:ascii="Arial" w:cs="Arial" w:eastAsia="Arial" w:hAnsi="Arial"/>
          <w:sz w:val="16"/>
          <w:szCs w:val="16"/>
          <w:color w:val="auto"/>
        </w:rPr>
        <w:t xml:space="preserve">” means, with respect to any exercise of Warrants on a Date of Exercise, an amount equal to the percentage of the Grant Percentage being exercised on such Date of Exercise;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Exercise Percentage shall not be less than ten percent (10%);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Exercise Percentage, taken together with all prior Exercise Percentages, shall exceed one hundred percent (100%).</w:t>
      </w:r>
    </w:p>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has the meaning set forth in Section 4.01 of this Agreement.</w:t>
      </w:r>
    </w:p>
    <w:p>
      <w:pPr>
        <w:spacing w:after="0" w:line="171" w:lineRule="exact"/>
        <w:rPr>
          <w:sz w:val="20"/>
          <w:szCs w:val="20"/>
          <w:color w:val="auto"/>
        </w:rPr>
      </w:pPr>
    </w:p>
    <w:p>
      <w:pPr>
        <w:ind w:right="8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5:00 p.m., New York City time, on the earlier of (a) the tenth anniversary of the IPO Date and (b) the date of the consummation of a Substantial Disposition Transaction.</w:t>
      </w:r>
    </w:p>
    <w:p>
      <w:pPr>
        <w:spacing w:after="0" w:line="132"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with respect to any security, the average of the closing prices of such security’s sales on all principal securities exchanges on which such security may at the time be listed, or, if there have been no sales on any such exchange on any day, the average of the highest bid and lowest asked prices on all such exchanges at the end of such day, or, if on any day such security is not so listed, the average of the representative bid and asked prices quoted in the Nasdaq Stock Market System as of 4:00 P.M., New York time, or, if on any day such security is not quoted in the Nasdaq Stock Market System, the average of the highest bid and lowest asked prices on such day in the domestic over-the-counter market as reported by the National Quotation Bureau, Incorporated, or any similar successor organization, in each such case averaged over a period of twenty (20) days consisting of the twenty (20) consecutive Business Days prior to such day as of which Fair Market Value is being determined. If at any time such security is not listed on any securities exchange or quoted in the Nasdaq Stock Market System or the over-the-counter market, the Fair Market Value shall be the fair value thereof reasonably determined in good faith by the Board of Directors.</w:t>
      </w:r>
    </w:p>
    <w:p>
      <w:pPr>
        <w:spacing w:after="0" w:line="12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 Diluted Basis</w:t>
      </w:r>
      <w:r>
        <w:rPr>
          <w:rFonts w:ascii="Arial" w:cs="Arial" w:eastAsia="Arial" w:hAnsi="Arial"/>
          <w:sz w:val="18"/>
          <w:szCs w:val="18"/>
          <w:color w:val="auto"/>
        </w:rPr>
        <w:t>” means, with respect to the calculation of the number of shares of Common Stock deemed to be outstanding as of any date, all shares of Common Stock outstanding at the date of determination and all shares of Common Stock issuable upon the exercise of any warrant, right, option or other security outstanding at the date of determination which may be exercised, converted or exchanged for shares of Common Stock. For the avoidance of doubt, Warrant Shares underlying Warrants issued pursuant to the terms of this Warrant Agreement shall be deemed to be shares of Common Stock outstanding on a Fully Diluted Basis.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Percentage</w:t>
      </w:r>
      <w:r>
        <w:rPr>
          <w:rFonts w:ascii="Arial" w:cs="Arial" w:eastAsia="Arial" w:hAnsi="Arial"/>
          <w:sz w:val="18"/>
          <w:szCs w:val="18"/>
          <w:color w:val="auto"/>
        </w:rPr>
        <w:t>” means one and three quarters percent (1.75%).</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holder of a Warrant Certificate.</w:t>
      </w:r>
    </w:p>
    <w:p>
      <w:pPr>
        <w:spacing w:after="0" w:line="17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Public Offering</w:t>
      </w:r>
      <w:r>
        <w:rPr>
          <w:rFonts w:ascii="Arial" w:cs="Arial" w:eastAsia="Arial" w:hAnsi="Arial"/>
          <w:sz w:val="18"/>
          <w:szCs w:val="18"/>
          <w:color w:val="auto"/>
        </w:rPr>
        <w:t>” means the sale, pursuant to an underwritten offering pursuant to one or more effective registration statements (other than registration statements on Forms S-4 and S-8) under the Securities Act (other than any sale made (i) in connection with any acquisition of any Person or any properties or assets of any Person or (ii) pursuant to an employee stock option plan, restricted stock plan, stock purchase plan, stock ownership plan or other employee benefit plan of the Company), of at least 15% of the total number of shares of Common Stock that are issued and outstanding immediately prior to such sale.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9" w:right="239" w:bottom="1440" w:gutter="0" w:footer="0" w:header="0"/>
        </w:sectPr>
      </w:pPr>
    </w:p>
    <w:bookmarkStart w:id="356" w:name="page357"/>
    <w:bookmarkEnd w:id="35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IPO Date</w:t>
      </w:r>
      <w:r>
        <w:rPr>
          <w:rFonts w:ascii="Arial" w:cs="Arial" w:eastAsia="Arial" w:hAnsi="Arial"/>
          <w:sz w:val="18"/>
          <w:szCs w:val="18"/>
          <w:color w:val="auto"/>
        </w:rPr>
        <w:t>” means the date of the closing of the Company’s Initial Public Offering.</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Exercise Threshold</w:t>
      </w:r>
      <w:r>
        <w:rPr>
          <w:rFonts w:ascii="Arial" w:cs="Arial" w:eastAsia="Arial" w:hAnsi="Arial"/>
          <w:sz w:val="18"/>
          <w:szCs w:val="18"/>
          <w:color w:val="auto"/>
        </w:rPr>
        <w:t>” means the amount equal to ten percent (10%) of the Grant Percentage.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w:t>
      </w:r>
      <w:r>
        <w:rPr>
          <w:rFonts w:ascii="Arial" w:cs="Arial" w:eastAsia="Arial" w:hAnsi="Arial"/>
          <w:sz w:val="18"/>
          <w:szCs w:val="18"/>
          <w:color w:val="auto"/>
        </w:rPr>
        <w:t>” means the Chief Executive Officer, the President or the Chief Financial Officer.</w:t>
      </w:r>
    </w:p>
    <w:p>
      <w:pPr>
        <w:spacing w:after="0" w:line="171" w:lineRule="exact"/>
        <w:rPr>
          <w:sz w:val="20"/>
          <w:szCs w:val="20"/>
          <w:color w:val="auto"/>
        </w:rPr>
      </w:pPr>
    </w:p>
    <w:p>
      <w:pPr>
        <w:ind w:right="420" w:firstLine="913"/>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cooperative, limited liability company, joint venture, estate, trust, association, organization, labor union or other entity.</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Reorganizations</w:t>
      </w:r>
      <w:r>
        <w:rPr>
          <w:rFonts w:ascii="Arial" w:cs="Arial" w:eastAsia="Arial" w:hAnsi="Arial"/>
          <w:sz w:val="18"/>
          <w:szCs w:val="18"/>
          <w:color w:val="auto"/>
        </w:rPr>
        <w:t>” has the meaning set forth in Section 5.02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all rules and regulations promulgated thereunder.</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Substantial Disposition Transaction</w:t>
      </w:r>
      <w:r>
        <w:rPr>
          <w:rFonts w:ascii="Arial" w:cs="Arial" w:eastAsia="Arial" w:hAnsi="Arial"/>
          <w:sz w:val="18"/>
          <w:szCs w:val="18"/>
          <w:color w:val="auto"/>
        </w:rPr>
        <w:t>” means the sale in one transaction or a series of related transactions to a Person or Persons not an Affiliate of the Company, directly or indirectly, pursuant to which such Person or Persons (together with its Affiliates) acquires all or substantially all of the assets or business of the Company.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has the meaning set forth in Section 4.05 of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Certificates</w:t>
      </w:r>
      <w:r>
        <w:rPr>
          <w:rFonts w:ascii="Arial" w:cs="Arial" w:eastAsia="Arial" w:hAnsi="Arial"/>
          <w:sz w:val="18"/>
          <w:szCs w:val="18"/>
          <w:color w:val="auto"/>
        </w:rPr>
        <w:t>” means the certificates evidencing the Warrants.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and “</w:t>
      </w:r>
      <w:r>
        <w:rPr>
          <w:rFonts w:ascii="Arial" w:cs="Arial" w:eastAsia="Arial" w:hAnsi="Arial"/>
          <w:sz w:val="18"/>
          <w:szCs w:val="18"/>
          <w:u w:val="single" w:color="auto"/>
          <w:color w:val="auto"/>
        </w:rPr>
        <w:t>Warrants</w:t>
      </w:r>
      <w:r>
        <w:rPr>
          <w:rFonts w:ascii="Arial" w:cs="Arial" w:eastAsia="Arial" w:hAnsi="Arial"/>
          <w:sz w:val="18"/>
          <w:szCs w:val="18"/>
          <w:color w:val="auto"/>
        </w:rPr>
        <w:t>” have the meaning set forth in the recitals to this Agreement.</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ISSUANCE OF WARRANTS</w:t>
      </w:r>
    </w:p>
    <w:p>
      <w:pPr>
        <w:spacing w:after="0" w:line="165"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Issuance of Warrants</w:t>
      </w:r>
      <w:r>
        <w:rPr>
          <w:rFonts w:ascii="Arial" w:cs="Arial" w:eastAsia="Arial" w:hAnsi="Arial"/>
          <w:sz w:val="18"/>
          <w:szCs w:val="18"/>
          <w:color w:val="auto"/>
        </w:rPr>
        <w:t>. (a) Subject to the terms and conditions of this Agreement the Company hereby issues and delivers to Bayer a Warrant to purchase, at the Exercise Price, such number of fully paid and nonassessable shares of Common Stock as is initially equal to one and three quarters percent (1.75%) of the shares of Common Stock outstanding on a Fully Diluted Basis as of the earlier of a Date of Exercise and the IPO Date, as provided more fully in Section 4.02.</w:t>
      </w:r>
    </w:p>
    <w:p>
      <w:pPr>
        <w:spacing w:after="0" w:line="143" w:lineRule="exact"/>
        <w:rPr>
          <w:sz w:val="20"/>
          <w:szCs w:val="20"/>
          <w:color w:val="auto"/>
        </w:rPr>
      </w:pPr>
    </w:p>
    <w:p>
      <w:pPr>
        <w:ind w:right="180" w:firstLine="921"/>
        <w:spacing w:after="0" w:line="259" w:lineRule="auto"/>
        <w:tabs>
          <w:tab w:leader="none" w:pos="1162"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Promptly following the IPO Date, the Company shall prepare and deliver to the Holder a notice executed by an Officer of the Company setting forth the number of shares of Common Stock outstanding on a Fully Diluted Basis at the close of business on the IPO Date and the number of Warrant Shares available for issuance under the Warrants, if any, on and after the IPO Date.</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hereby represents and warrants, on the date hereof, as follows:</w:t>
      </w:r>
    </w:p>
    <w:p>
      <w:pPr>
        <w:spacing w:after="0" w:line="113" w:lineRule="exact"/>
        <w:rPr>
          <w:sz w:val="20"/>
          <w:szCs w:val="20"/>
          <w:color w:val="auto"/>
        </w:rPr>
      </w:pPr>
    </w:p>
    <w:p>
      <w:pPr>
        <w:ind w:right="20" w:firstLine="921"/>
        <w:spacing w:after="0" w:line="268" w:lineRule="auto"/>
        <w:tabs>
          <w:tab w:leader="none" w:pos="1152"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is a corporation duly organized, validly existing and in good standing under the laws of the State of Delaware and has the requisite power and authority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57" w:name="page358"/>
    <w:bookmarkEnd w:id="357"/>
    <w:p>
      <w:pPr>
        <w:ind w:right="6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execute and deliver this Agreement and the Warrant Certificates, to issue the Warrants and the Warrant Shares and to perform its obligations under this Agreement and the Warrant Certificates.</w:t>
      </w:r>
    </w:p>
    <w:p>
      <w:pPr>
        <w:spacing w:after="0" w:line="132" w:lineRule="exact"/>
        <w:rPr>
          <w:sz w:val="20"/>
          <w:szCs w:val="20"/>
          <w:color w:val="auto"/>
        </w:rPr>
      </w:pPr>
    </w:p>
    <w:p>
      <w:pPr>
        <w:ind w:right="200" w:firstLine="921"/>
        <w:spacing w:after="0" w:line="332" w:lineRule="auto"/>
        <w:tabs>
          <w:tab w:leader="none" w:pos="116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Warrant Certificates, the issuance of the Warrants and the issuance of the Warrant Shares upon exercise of the Warrants have been duly authorized by all necessary corporate or similar action.</w:t>
      </w:r>
    </w:p>
    <w:p>
      <w:pPr>
        <w:spacing w:after="0" w:line="85" w:lineRule="exact"/>
        <w:rPr>
          <w:rFonts w:ascii="Arial" w:cs="Arial" w:eastAsia="Arial" w:hAnsi="Arial"/>
          <w:sz w:val="16"/>
          <w:szCs w:val="16"/>
          <w:color w:val="auto"/>
        </w:rPr>
      </w:pPr>
    </w:p>
    <w:p>
      <w:pPr>
        <w:ind w:firstLine="921"/>
        <w:spacing w:after="0" w:line="318" w:lineRule="auto"/>
        <w:tabs>
          <w:tab w:leader="none" w:pos="115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This Agreement and the Warrant Certificates have been duly executed and delivered by the Company and each constitutes a legal, valid, binding and enforceable obligation of the Company, except to the extent limited by (i) applicable bankruptcy, insolvency, reorganization, moratorium and similar laws of general application related to the enforcement of creditor’s rights generally and (ii) general principles of equity. The Warrant Shares, when issued upon exercise of the Warrants in accordance with the terms thereof and this Agreement, shall be duly authorized, validly issued, fully paid and nonassessable shares of Common Stock with no liability on the part of the holders thereof, and shall be free from all taxes, liens, security interests, encumbrances, preemptive rights and charges.</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Representations and Warranties of the Holder</w:t>
      </w:r>
      <w:r>
        <w:rPr>
          <w:rFonts w:ascii="Arial" w:cs="Arial" w:eastAsia="Arial" w:hAnsi="Arial"/>
          <w:sz w:val="16"/>
          <w:szCs w:val="16"/>
          <w:color w:val="auto"/>
        </w:rPr>
        <w:t>. The Holder hereby represents and warrants, on the date hereof, as follows:</w:t>
      </w:r>
    </w:p>
    <w:p>
      <w:pPr>
        <w:spacing w:after="0" w:line="113" w:lineRule="exact"/>
        <w:rPr>
          <w:sz w:val="20"/>
          <w:szCs w:val="20"/>
          <w:color w:val="auto"/>
        </w:rPr>
      </w:pPr>
    </w:p>
    <w:p>
      <w:pPr>
        <w:ind w:firstLine="921"/>
        <w:spacing w:after="0" w:line="268" w:lineRule="auto"/>
        <w:tabs>
          <w:tab w:leader="none" w:pos="11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Holder has sufficient knowledge and experience in financial and business matters such that the Holder is capable of evaluating the merits and risks of its investment in the Company.</w:t>
      </w:r>
    </w:p>
    <w:p>
      <w:pPr>
        <w:spacing w:after="0" w:line="131" w:lineRule="exact"/>
        <w:rPr>
          <w:rFonts w:ascii="Arial" w:cs="Arial" w:eastAsia="Arial" w:hAnsi="Arial"/>
          <w:sz w:val="18"/>
          <w:szCs w:val="18"/>
          <w:color w:val="auto"/>
        </w:rPr>
      </w:pPr>
    </w:p>
    <w:p>
      <w:pPr>
        <w:ind w:right="60" w:firstLine="921"/>
        <w:spacing w:after="0" w:line="306" w:lineRule="auto"/>
        <w:tabs>
          <w:tab w:leader="none" w:pos="116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Holder is acquiring the Warrant and the Warrant Shares for investment for its own account, not as a nominee or agent, and not with the view to, or for resale in connection with, any distribution thereof. The Holder understands that the Warrants have not been registered under the Securities Act and, therefore, cannot be resold unless they are registered under the Securities Act or unless an exemption from registration is available.</w:t>
      </w:r>
    </w:p>
    <w:p>
      <w:pPr>
        <w:spacing w:after="0" w:line="106" w:lineRule="exact"/>
        <w:rPr>
          <w:rFonts w:ascii="Arial" w:cs="Arial" w:eastAsia="Arial" w:hAnsi="Arial"/>
          <w:sz w:val="16"/>
          <w:szCs w:val="16"/>
          <w:color w:val="auto"/>
        </w:rPr>
      </w:pPr>
    </w:p>
    <w:p>
      <w:pPr>
        <w:ind w:right="320" w:firstLine="921"/>
        <w:spacing w:after="0" w:line="268" w:lineRule="auto"/>
        <w:tabs>
          <w:tab w:leader="none" w:pos="115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Holder understands that no public market now exists for any of the securities issued by the Company and that the Company has made no assurances that a public market will ever exist for the Company’s securities.</w:t>
      </w:r>
    </w:p>
    <w:p>
      <w:pPr>
        <w:spacing w:after="0" w:line="131" w:lineRule="exact"/>
        <w:rPr>
          <w:rFonts w:ascii="Arial" w:cs="Arial" w:eastAsia="Arial" w:hAnsi="Arial"/>
          <w:sz w:val="18"/>
          <w:szCs w:val="18"/>
          <w:color w:val="auto"/>
        </w:rPr>
      </w:pPr>
    </w:p>
    <w:p>
      <w:pPr>
        <w:ind w:right="180" w:firstLine="921"/>
        <w:spacing w:after="0" w:line="268" w:lineRule="auto"/>
        <w:tabs>
          <w:tab w:leader="none" w:pos="1162"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Holder and, to the knowledge of the Holder, the Holder’s Affiliates have not participated in any public solicitation or advertisement of any offer in connection with the proposed issuance and sale of the Warrants.</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WARRANT CERTIFICATES</w:t>
      </w:r>
    </w:p>
    <w:p>
      <w:pPr>
        <w:spacing w:after="0" w:line="165"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Warrant Certificates</w:t>
      </w:r>
      <w:r>
        <w:rPr>
          <w:rFonts w:ascii="Arial" w:cs="Arial" w:eastAsia="Arial" w:hAnsi="Arial"/>
          <w:sz w:val="18"/>
          <w:szCs w:val="18"/>
          <w:color w:val="auto"/>
        </w:rPr>
        <w:t>. Each Warrant Certificate shall evidence a Warrant representing the right, subject to the provisions contained herein and therein, to purchase from the Company Warrant Shares equal to the Exercise Amount calculated using the Exercise Percentage specified on such Warrant Certificate.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358" w:name="page359"/>
    <w:bookmarkEnd w:id="358"/>
    <w:p>
      <w:pPr>
        <w:ind w:right="60" w:firstLine="913"/>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6"/>
          <w:szCs w:val="16"/>
          <w:u w:val="single" w:color="auto"/>
          <w:color w:val="auto"/>
        </w:rPr>
        <w:t>Forms of Warrant Certificates</w:t>
      </w:r>
      <w:r>
        <w:rPr>
          <w:rFonts w:ascii="Arial" w:cs="Arial" w:eastAsia="Arial" w:hAnsi="Arial"/>
          <w:sz w:val="16"/>
          <w:szCs w:val="16"/>
          <w:color w:val="auto"/>
        </w:rPr>
        <w:t xml:space="preserve">. The Warrant Certificates shall be issued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together with the form of the election to purchase (the “</w:t>
      </w:r>
      <w:r>
        <w:rPr>
          <w:rFonts w:ascii="Arial" w:cs="Arial" w:eastAsia="Arial" w:hAnsi="Arial"/>
          <w:sz w:val="16"/>
          <w:szCs w:val="16"/>
          <w:u w:val="single" w:color="auto"/>
          <w:color w:val="auto"/>
        </w:rPr>
        <w:t>Election to Purchase</w:t>
      </w:r>
      <w:r>
        <w:rPr>
          <w:rFonts w:ascii="Arial" w:cs="Arial" w:eastAsia="Arial" w:hAnsi="Arial"/>
          <w:sz w:val="16"/>
          <w:szCs w:val="16"/>
          <w:color w:val="auto"/>
        </w:rPr>
        <w:t>”) and assignment to be attached thereto, and, in addition, may have such letters, numbers or other marks of identification or designation and such legends, summaries, or endorsements stamped, printed, lithographed or engraved thereon as the Company may deem appropriate and as are not inconsistent with the provisions of this Agreement, or as, in any particular case, may be required in the opinion of counsel for the Company to comply with any law or with any rule or regulation of any regulatory authority or agency, or to conform to customary usage. Concurrently with the execution and delivery of this Agreement, a Warrant Certificate for the Warrant being issued hereby shall be issued to Bayer.</w:t>
      </w:r>
    </w:p>
    <w:p>
      <w:pPr>
        <w:spacing w:after="0" w:line="120"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Execution of Warrant Certificates</w:t>
      </w:r>
      <w:r>
        <w:rPr>
          <w:rFonts w:ascii="Arial" w:cs="Arial" w:eastAsia="Arial" w:hAnsi="Arial"/>
          <w:sz w:val="16"/>
          <w:szCs w:val="16"/>
          <w:color w:val="auto"/>
        </w:rPr>
        <w:t>. The Warrant Certificates shall be executed on behalf of the Company by an Officer thereof, either manually or by facsimile signature printed thereon. In case any Officer of the Company who shall have signed any of the Warrant Certificates shall cease to be an Officer of the Company either before or after delivery thereof by the Company to any Holder, the signature of such Person on such Warrant Certificates shall be valid nevertheless and such Warrant Certificates may be issued and delivered to those persons entitled to receive the Warrants represented thereby with the same force and effect as though the Person who signed such Warrant Certificates had not ceased to be an Officer of the Company.</w:t>
      </w:r>
    </w:p>
    <w:p>
      <w:pPr>
        <w:spacing w:after="0" w:line="116"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Registration of Warrant Certificates</w:t>
      </w:r>
      <w:r>
        <w:rPr>
          <w:rFonts w:ascii="Arial" w:cs="Arial" w:eastAsia="Arial" w:hAnsi="Arial"/>
          <w:sz w:val="18"/>
          <w:szCs w:val="18"/>
          <w:color w:val="auto"/>
        </w:rPr>
        <w:t>. The Company shall number and keep a registry of the Warrant Certificates in a register as they are needed. The Company may deem and treat registered Holders as the absolute owners thereof for all purposes.</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Exchange and Transfer of Warrant Certificates</w:t>
      </w:r>
      <w:r>
        <w:rPr>
          <w:rFonts w:ascii="Arial" w:cs="Arial" w:eastAsia="Arial" w:hAnsi="Arial"/>
          <w:sz w:val="18"/>
          <w:szCs w:val="18"/>
          <w:color w:val="auto"/>
        </w:rPr>
        <w:t>.</w:t>
      </w:r>
    </w:p>
    <w:p>
      <w:pPr>
        <w:spacing w:after="0" w:line="171" w:lineRule="exact"/>
        <w:rPr>
          <w:sz w:val="20"/>
          <w:szCs w:val="20"/>
          <w:color w:val="auto"/>
        </w:rPr>
      </w:pPr>
    </w:p>
    <w:p>
      <w:pPr>
        <w:ind w:right="320" w:firstLine="921"/>
        <w:spacing w:after="0" w:line="332"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 addition to any other legend which may be required by applicable law, each Warrant Certificate representing a Warrant and each certificate representing Warrant Shares issued upon exercise of a Warrant shall have endorsed, to the extent appropriate, upon its face the following words:</w:t>
      </w:r>
    </w:p>
    <w:p>
      <w:pPr>
        <w:spacing w:after="0" w:line="4" w:lineRule="exact"/>
        <w:rPr>
          <w:sz w:val="20"/>
          <w:szCs w:val="20"/>
          <w:color w:val="auto"/>
        </w:rPr>
      </w:pPr>
    </w:p>
    <w:p>
      <w:pPr>
        <w:ind w:left="920" w:right="20"/>
        <w:spacing w:after="0" w:line="283" w:lineRule="auto"/>
        <w:rPr>
          <w:sz w:val="20"/>
          <w:szCs w:val="20"/>
          <w:color w:val="auto"/>
        </w:rPr>
      </w:pPr>
      <w:r>
        <w:rPr>
          <w:rFonts w:ascii="Arial" w:cs="Arial" w:eastAsia="Arial" w:hAnsi="Arial"/>
          <w:sz w:val="16"/>
          <w:szCs w:val="16"/>
          <w:color w:val="auto"/>
        </w:rPr>
        <w:t>NEITHER THE SECURITY REPRESENTED BY THIS CERTIFICATE NOR THE SECURITIES ISSUABLE UPON EXERCISE HEREOF HAVE BEEN REGISTERED UNDER THE SECURITIES ACT OF 1933, AS AMENDED (THE “ACT”), OR THE SECURITIES LAWS OF ANY JURISDICTION. THIS SECURITY AND THE SECURITIES ISSUABLE UPON ITS EXERCISE MAY NOT BE OFFERED, SOLD, TRANSFERRED, PLEDGED, ASSIGNED, ENCUMBERED, HYPOTHECATED OR OTHERWISE DISPOSED OF EXCEPT PURSUANT TO</w:t>
      </w:r>
    </w:p>
    <w:p>
      <w:pPr>
        <w:spacing w:after="0" w:line="3" w:lineRule="exact"/>
        <w:rPr>
          <w:sz w:val="20"/>
          <w:szCs w:val="20"/>
          <w:color w:val="auto"/>
        </w:rPr>
      </w:pPr>
    </w:p>
    <w:p>
      <w:pPr>
        <w:jc w:val="both"/>
        <w:ind w:left="920" w:right="40" w:firstLine="1"/>
        <w:spacing w:after="0" w:line="255" w:lineRule="auto"/>
        <w:tabs>
          <w:tab w:leader="none" w:pos="113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REGISTRATION STATEMENT WITH RESPECT TO SUCH SECURITIES THAT IS EFFECTIVE UNDER SUCH ACT OR APPLICABLE STATE SECURITIES LAW OR (II) ANY EXEMPTION FROM REGISTRATION UNDER SUCH ACT, OR APPLICABLE STATE SECURITIES LAW, RELATING TO</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359" w:name="page360"/>
    <w:bookmarkEnd w:id="359"/>
    <w:p>
      <w:pPr>
        <w:ind w:left="920"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DISPOSITION OF SECURITIES, INCLUDING RULE 144, AND, IF REQUESTED BY THE COMPANY, AN OPINION OF COUNSEL REASONABLY SATISFACTORY TO THE COMPANY OPINING AS TO SUCH EXEMPTION.</w:t>
      </w:r>
    </w:p>
    <w:p>
      <w:pPr>
        <w:spacing w:after="0" w:line="51" w:lineRule="exact"/>
        <w:rPr>
          <w:sz w:val="20"/>
          <w:szCs w:val="20"/>
          <w:color w:val="auto"/>
        </w:rPr>
      </w:pPr>
    </w:p>
    <w:p>
      <w:pPr>
        <w:ind w:left="920" w:right="40"/>
        <w:spacing w:after="0" w:line="259" w:lineRule="auto"/>
        <w:rPr>
          <w:sz w:val="20"/>
          <w:szCs w:val="20"/>
          <w:color w:val="auto"/>
        </w:rPr>
      </w:pPr>
      <w:r>
        <w:rPr>
          <w:rFonts w:ascii="Arial" w:cs="Arial" w:eastAsia="Arial" w:hAnsi="Arial"/>
          <w:sz w:val="18"/>
          <w:szCs w:val="18"/>
          <w:color w:val="auto"/>
        </w:rPr>
        <w:t>THIS SECURITY IS SUBJECT TO THE PROVISIONS OF THE WARRANT AGREEMENT, DATED AS OF MARCH 26, 2007, BETWEEN THE COMPANY AND BAYER SCHERING PHARMA AG. A COPY OF SUCH WARRANT AGREEMENT IS AVAILABLE AT THE OFFICES OF THE COMPANY.</w:t>
      </w:r>
    </w:p>
    <w:p>
      <w:pPr>
        <w:spacing w:after="0" w:line="140" w:lineRule="exact"/>
        <w:rPr>
          <w:sz w:val="20"/>
          <w:szCs w:val="20"/>
          <w:color w:val="auto"/>
        </w:rPr>
      </w:pPr>
    </w:p>
    <w:p>
      <w:pPr>
        <w:ind w:right="20" w:firstLine="921"/>
        <w:spacing w:after="0" w:line="283" w:lineRule="auto"/>
        <w:tabs>
          <w:tab w:leader="none" w:pos="116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 xml:space="preserve">The Warrant Certificate representing the Warrant issued hereby may be transferred or assigned by the Holder hereof, in whole or in part as to any unexercised portion of the Exercise Percentage;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for transfers made to a Person other than an Affiliate of the Holder, written notice is given to the Company at least ten (10) Business Days before the transfer and the transferor shall provide, at the Company’s request, an opinion of counsel reasonably satisfactory to the Company that such transfer does not require registration under the Securities Act, (ii) the transfer shall be for a portion of the Warrant Certificate not less than the Minimum Exercise Threshold, (iii) the Holder shall provide written notice to the Company of any transfer to an Affiliate within ten</w:t>
      </w:r>
    </w:p>
    <w:p>
      <w:pPr>
        <w:spacing w:after="0" w:line="2" w:lineRule="exact"/>
        <w:rPr>
          <w:rFonts w:ascii="Arial" w:cs="Arial" w:eastAsia="Arial" w:hAnsi="Arial"/>
          <w:sz w:val="16"/>
          <w:szCs w:val="16"/>
          <w:color w:val="auto"/>
        </w:rPr>
      </w:pPr>
    </w:p>
    <w:p>
      <w:pPr>
        <w:ind w:firstLine="8"/>
        <w:spacing w:after="0" w:line="302" w:lineRule="auto"/>
        <w:tabs>
          <w:tab w:leader="none" w:pos="336" w:val="left"/>
        </w:tabs>
        <w:numPr>
          <w:ilvl w:val="0"/>
          <w:numId w:val="187"/>
        </w:numPr>
        <w:rPr>
          <w:rFonts w:ascii="Arial" w:cs="Arial" w:eastAsia="Arial" w:hAnsi="Arial"/>
          <w:sz w:val="16"/>
          <w:szCs w:val="16"/>
          <w:color w:val="auto"/>
        </w:rPr>
      </w:pPr>
      <w:r>
        <w:rPr>
          <w:rFonts w:ascii="Arial" w:cs="Arial" w:eastAsia="Arial" w:hAnsi="Arial"/>
          <w:sz w:val="16"/>
          <w:szCs w:val="16"/>
          <w:color w:val="auto"/>
        </w:rPr>
        <w:t>Business Days after the transfer and (iv) the transferee shall agree to be bound by the terms of this Agreement. For purposes of Section 3.05(b)(i), Affiliate shall not include any Person which is an individual. Written notice given under this Section 3.05(b) shall include without limitation the name of the transferee, the Exercise Percentage transferred to such transferee, the date of the transfer and the transferee’s address for notice purposes.</w:t>
      </w:r>
    </w:p>
    <w:p>
      <w:pPr>
        <w:spacing w:after="0" w:line="109" w:lineRule="exact"/>
        <w:rPr>
          <w:rFonts w:ascii="Arial" w:cs="Arial" w:eastAsia="Arial" w:hAnsi="Arial"/>
          <w:sz w:val="16"/>
          <w:szCs w:val="16"/>
          <w:color w:val="auto"/>
        </w:rPr>
      </w:pPr>
    </w:p>
    <w:p>
      <w:pPr>
        <w:ind w:firstLine="921"/>
        <w:spacing w:after="0" w:line="254" w:lineRule="auto"/>
        <w:tabs>
          <w:tab w:leader="none" w:pos="115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Company shall from time to time note the permitted transfer of any outstanding Warrant Certificates in a warrant register to be maintained by the Company upon surrender thereof accompanied by a written instrument or instruments of transfer in form satisfactory to the Company duly executed by the Holder or Holders thereof or by the duly appointed legal representative thereof or by a duly authorized attorney. Upon any such registration of transfer, a new Warrant Certificate or Warrant Certificates will be issued to (x) the transferee representing a Warrant for the Exercise Percentage specified in the foregoing written notice in accordance with instructions in the form of assignment and (y) the transferor representing a Warrant for the remaining Exercise Percentage not transferred, if any.</w:t>
      </w:r>
    </w:p>
    <w:p>
      <w:pPr>
        <w:spacing w:after="0" w:line="144" w:lineRule="exact"/>
        <w:rPr>
          <w:rFonts w:ascii="Arial" w:cs="Arial" w:eastAsia="Arial" w:hAnsi="Arial"/>
          <w:sz w:val="18"/>
          <w:szCs w:val="18"/>
          <w:color w:val="auto"/>
        </w:rPr>
      </w:pPr>
    </w:p>
    <w:p>
      <w:pPr>
        <w:jc w:val="both"/>
        <w:ind w:right="580" w:firstLine="921"/>
        <w:spacing w:after="0" w:line="259" w:lineRule="auto"/>
        <w:tabs>
          <w:tab w:leader="none" w:pos="1162" w:val="left"/>
        </w:tabs>
        <w:numPr>
          <w:ilvl w:val="1"/>
          <w:numId w:val="187"/>
        </w:numPr>
        <w:rPr>
          <w:rFonts w:ascii="Arial" w:cs="Arial" w:eastAsia="Arial" w:hAnsi="Arial"/>
          <w:sz w:val="18"/>
          <w:szCs w:val="18"/>
          <w:color w:val="auto"/>
        </w:rPr>
      </w:pPr>
      <w:r>
        <w:rPr>
          <w:rFonts w:ascii="Arial" w:cs="Arial" w:eastAsia="Arial" w:hAnsi="Arial"/>
          <w:sz w:val="18"/>
          <w:szCs w:val="18"/>
          <w:color w:val="auto"/>
        </w:rPr>
        <w:t>Warrant Certificates may be exchanged at the option of the Holder(s) thereof when surrendered to the Company at the address set forth in Section 6.10 hereof for another Warrant Certificate or Warrant Certificates of like tenor and representing in the aggregate a Warrant or Warrants for a like Exercise Percentage.</w:t>
      </w:r>
    </w:p>
    <w:p>
      <w:pPr>
        <w:spacing w:after="0" w:line="140" w:lineRule="exact"/>
        <w:rPr>
          <w:sz w:val="20"/>
          <w:szCs w:val="20"/>
          <w:color w:val="auto"/>
        </w:rPr>
      </w:pPr>
    </w:p>
    <w:p>
      <w:pPr>
        <w:ind w:right="20" w:firstLine="913"/>
        <w:spacing w:after="0" w:line="256"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Mutilated, Lost, Stolen or Destroyed Warrant Certificates</w:t>
      </w:r>
      <w:r>
        <w:rPr>
          <w:rFonts w:ascii="Arial" w:cs="Arial" w:eastAsia="Arial" w:hAnsi="Arial"/>
          <w:sz w:val="18"/>
          <w:szCs w:val="18"/>
          <w:color w:val="auto"/>
        </w:rPr>
        <w:t>. If any Warrant Certificate shall be mutilated, lost, stolen or destroyed, the Company shall issue, execute and deliver, in exchange and substitution for and upon cancellation of a mutilated Warrant Certificate, or in lieu of or in substitution for a lost, stolen or destroyed Warrant Certificate, a new Warrant Certificate representing a Warrant for an equivalent Exercise Percentage. The Holder of the mutilated, lost, stolen or destroyed Warrant Certificates must provide reasonable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360" w:name="page361"/>
    <w:bookmarkEnd w:id="360"/>
    <w:p>
      <w:pPr>
        <w:ind w:right="2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indemnity sufficient to protect the Company from any loss which it may suffer if the Warrant Certificate is replaced; it being understood and agreed that, in the case of Bayer or any of its Affiliates, its written agreement to indemnify, shall be sufficient. Any such new Warrant Certificate shall constitute an original contractual obligation of the Company, whether or not the allegedly mutilated, lost, stolen or destroyed Warrant Certificate shall be at any time enforceable by anyone. The mutilated, lost, stolen or destroyed Warrant Certificate that has been substituted shall no longer be valid.</w:t>
      </w:r>
    </w:p>
    <w:p>
      <w:pPr>
        <w:spacing w:after="0" w:line="11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u w:val="single" w:color="auto"/>
          <w:color w:val="auto"/>
        </w:rPr>
        <w:t>Cancellation of Warrant Certificates</w:t>
      </w:r>
      <w:r>
        <w:rPr>
          <w:rFonts w:ascii="Arial" w:cs="Arial" w:eastAsia="Arial" w:hAnsi="Arial"/>
          <w:sz w:val="16"/>
          <w:szCs w:val="16"/>
          <w:color w:val="auto"/>
        </w:rPr>
        <w:t>. Any Warrant Certificate surrendered upon the exercise of a Warrant or for exchange or transfer shall be canceled and shall not be reissued by the Company; and, except as provided in Section 4.04 hereof in case of the exercise of less than the whole Warrant evidenced by a Warrant Certificate or in Section 3.05 in an exchange or transfer, no Warrant Certificate shall be issued hereunder in lieu of such canceled Warrant Certificate. Any Warrant Certificate so canceled shall be destroyed by the Company.</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WARRANT EXERCISE PRICE AND EXERCISE OF WARRANTS</w:t>
      </w:r>
    </w:p>
    <w:p>
      <w:pPr>
        <w:spacing w:after="0" w:line="16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Exercise Price</w:t>
      </w:r>
      <w:r>
        <w:rPr>
          <w:rFonts w:ascii="Arial" w:cs="Arial" w:eastAsia="Arial" w:hAnsi="Arial"/>
          <w:sz w:val="18"/>
          <w:szCs w:val="18"/>
          <w:color w:val="auto"/>
        </w:rPr>
        <w:t>. Each Warrant Certificate shall, when signed by an Officer of the Company, entitle the Holder thereof to purchase from the Company, subject to the terms and conditions of this Agreement, the number of fully paid and nonassessable Warrant Shares evidenced thereby at a purchase price of $0.01 per share or such adjusted number of Warrant Shares at such adjusted purchase price as may be established from time to time pursuant to the provisions of Article V hereof (the initial purchase price, as so adjusted, if applicable,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payable in full in accordance with Section 4.02 hereof, at the time of exercise of the Warrant.</w:t>
      </w:r>
    </w:p>
    <w:p>
      <w:pPr>
        <w:spacing w:after="0" w:line="143"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u w:val="single" w:color="auto"/>
          <w:color w:val="auto"/>
        </w:rPr>
        <w:t>Exercise of Warrants</w:t>
      </w:r>
      <w:r>
        <w:rPr>
          <w:rFonts w:ascii="Arial" w:cs="Arial" w:eastAsia="Arial" w:hAnsi="Arial"/>
          <w:sz w:val="16"/>
          <w:szCs w:val="16"/>
          <w:color w:val="auto"/>
        </w:rPr>
        <w:t>. (a) The Warrant(s) shall be exercisable at any time or from time to time from the date of issuance until the Expiration Date. Each Warrant shall be exercisable for the number of Warrant Shares equal to the Exercise Amount calculated based on the Exercise Percentage specified therein, subject, in each case, to the adjustments set forth in Article V. The Warrant(s) may be exercised in whole or in part as to any permitted Exercise Percentage. The Exercise Amount for each exercise of a Warrant shall be calculated using the following formula:</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Exercise Amount =</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 * E * N)</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Divided by</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[1-1.75%*(A+R)]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E =</w:t>
      </w:r>
      <w:r>
        <w:rPr>
          <w:sz w:val="20"/>
          <w:szCs w:val="20"/>
          <w:color w:val="auto"/>
        </w:rPr>
        <w:tab/>
      </w:r>
      <w:r>
        <w:rPr>
          <w:rFonts w:ascii="Arial" w:cs="Arial" w:eastAsia="Arial" w:hAnsi="Arial"/>
          <w:sz w:val="15"/>
          <w:szCs w:val="15"/>
          <w:color w:val="auto"/>
        </w:rPr>
        <w:t>Exercise Percentage being exercised by Holder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9" w:right="259" w:bottom="1440" w:gutter="0" w:footer="0" w:header="0"/>
        </w:sectPr>
      </w:pPr>
    </w:p>
    <w:bookmarkStart w:id="361" w:name="page362"/>
    <w:bookmarkEnd w:id="361"/>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 =</w:t>
        <w:tab/>
        <w:t>Number of shares of Common Stock outstanding on a Fully Diluted Basis before exercise of the Warrant, not including outstanding Warrants issued hereunder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 xml:space="preserve">Aggregate Exercise Percentage held by exercising Holder </w:t>
      </w:r>
      <w:r>
        <w:rPr>
          <w:rFonts w:ascii="Arial" w:cs="Arial" w:eastAsia="Arial" w:hAnsi="Arial"/>
          <w:sz w:val="15"/>
          <w:szCs w:val="15"/>
          <w:i w:val="1"/>
          <w:iCs w:val="1"/>
          <w:color w:val="auto"/>
        </w:rPr>
        <w:t>before</w:t>
      </w:r>
      <w:r>
        <w:rPr>
          <w:rFonts w:ascii="Arial" w:cs="Arial" w:eastAsia="Arial" w:hAnsi="Arial"/>
          <w:sz w:val="15"/>
          <w:szCs w:val="15"/>
          <w:color w:val="auto"/>
        </w:rPr>
        <w:t xml:space="preserve"> exercise of the Warrant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 =</w:t>
      </w:r>
      <w:r>
        <w:rPr>
          <w:sz w:val="20"/>
          <w:szCs w:val="20"/>
          <w:color w:val="auto"/>
        </w:rPr>
        <w:tab/>
      </w:r>
      <w:r>
        <w:rPr>
          <w:rFonts w:ascii="Arial" w:cs="Arial" w:eastAsia="Arial" w:hAnsi="Arial"/>
          <w:sz w:val="16"/>
          <w:szCs w:val="16"/>
          <w:color w:val="auto"/>
        </w:rPr>
        <w:t>Remaining Exercise Percentage held by all other Holders (not including the exercising Holder)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Multiplied by</w:t>
      </w:r>
    </w:p>
    <w:p>
      <w:pPr>
        <w:spacing w:after="0" w:line="171" w:lineRule="exact"/>
        <w:rPr>
          <w:sz w:val="20"/>
          <w:szCs w:val="20"/>
          <w:color w:val="auto"/>
        </w:rPr>
      </w:pPr>
    </w:p>
    <w:p>
      <w:pPr>
        <w:ind w:firstLine="8"/>
        <w:spacing w:after="0" w:line="268" w:lineRule="auto"/>
        <w:tabs>
          <w:tab w:leader="none" w:pos="93"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number of shares of Common Stock outstanding on a Fully Diluted Basis before exercise of the Warrant, not including outstanding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hereunder and (ii) the summation of (A + R), each shall become fixed as of the IPO Date.</w:t>
      </w:r>
    </w:p>
    <w:p>
      <w:pPr>
        <w:spacing w:after="0" w:line="131" w:lineRule="exact"/>
        <w:rPr>
          <w:rFonts w:ascii="Arial" w:cs="Arial" w:eastAsia="Arial" w:hAnsi="Arial"/>
          <w:sz w:val="18"/>
          <w:szCs w:val="18"/>
          <w:color w:val="auto"/>
        </w:rPr>
      </w:pPr>
    </w:p>
    <w:p>
      <w:pPr>
        <w:jc w:val="both"/>
        <w:ind w:right="120" w:firstLine="921"/>
        <w:spacing w:after="0" w:line="256" w:lineRule="auto"/>
        <w:tabs>
          <w:tab w:leader="none" w:pos="116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The Warrants may be exercised by surrendering the Warrant Certificates representing such Warrants to the Company at its address set forth in Section 6.10 hereof, together with the Election to Purchase and an Investment Representation Statement substantially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both duly completed and executed, accompanied by payment in full, as set forth in Section 4.02(c), to the Company of the Exercise Price for each Warrant Share in respect of which such Warrants are being exercised.</w:t>
      </w:r>
    </w:p>
    <w:p>
      <w:pPr>
        <w:spacing w:after="0" w:line="143" w:lineRule="exact"/>
        <w:rPr>
          <w:rFonts w:ascii="Arial" w:cs="Arial" w:eastAsia="Arial" w:hAnsi="Arial"/>
          <w:sz w:val="18"/>
          <w:szCs w:val="18"/>
          <w:color w:val="auto"/>
        </w:rPr>
      </w:pPr>
    </w:p>
    <w:p>
      <w:pPr>
        <w:ind w:right="140" w:firstLine="921"/>
        <w:spacing w:after="0" w:line="294" w:lineRule="auto"/>
        <w:tabs>
          <w:tab w:leader="none" w:pos="115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The Exercise Price shall be paid in full: (i) by certified check or wire transfer in same day funds in an amount equal to the Exercise Price multiplied by the number of Warrant Shares then being purchased, (ii) by cancellation of a number of the Warrant Shares otherwise issuable to the Holder, such that the excess of the aggregate current Fair Market Value of such specified number of Warrant Shares on the Date of Exercise over the portion of the Exercise Price attributable to such specified number of Warrant Shares shall equal the aggregate Exercise Price attributable to the Warrant Shares to be issued or (iii) by a combination of the methods described in clauses (i) and (ii).</w:t>
      </w:r>
    </w:p>
    <w:p>
      <w:pPr>
        <w:spacing w:after="0" w:line="115" w:lineRule="exact"/>
        <w:rPr>
          <w:rFonts w:ascii="Arial" w:cs="Arial" w:eastAsia="Arial" w:hAnsi="Arial"/>
          <w:sz w:val="16"/>
          <w:szCs w:val="16"/>
          <w:color w:val="auto"/>
        </w:rPr>
      </w:pPr>
    </w:p>
    <w:p>
      <w:pPr>
        <w:jc w:val="both"/>
        <w:ind w:right="240" w:firstLine="921"/>
        <w:spacing w:after="0" w:line="259" w:lineRule="auto"/>
        <w:tabs>
          <w:tab w:leader="none" w:pos="1162" w:val="left"/>
        </w:tabs>
        <w:numPr>
          <w:ilvl w:val="1"/>
          <w:numId w:val="188"/>
        </w:numPr>
        <w:rPr>
          <w:rFonts w:ascii="Arial" w:cs="Arial" w:eastAsia="Arial" w:hAnsi="Arial"/>
          <w:sz w:val="18"/>
          <w:szCs w:val="18"/>
          <w:color w:val="auto"/>
        </w:rPr>
      </w:pPr>
      <w:r>
        <w:rPr>
          <w:rFonts w:ascii="Arial" w:cs="Arial" w:eastAsia="Arial" w:hAnsi="Arial"/>
          <w:sz w:val="18"/>
          <w:szCs w:val="18"/>
          <w:color w:val="auto"/>
        </w:rPr>
        <w:t xml:space="preserve">For illustrative purposes,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sets forth examples of the number of Warrant Shares issuable upon a series of hypothetical exercises of the Warrants, in full and in part, under differing scenarios taking into consideration the change in the calculation of the Exercise Amount resulting from the date of exercise of the Warrants taking place either prior to the IPO Date or on or after the IPO Date.</w:t>
      </w:r>
    </w:p>
    <w:p>
      <w:pPr>
        <w:spacing w:after="0" w:line="14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u w:val="single" w:color="auto"/>
          <w:color w:val="auto"/>
        </w:rPr>
        <w:t>Issuance of Warrant Shares</w:t>
      </w:r>
      <w:r>
        <w:rPr>
          <w:rFonts w:ascii="Arial" w:cs="Arial" w:eastAsia="Arial" w:hAnsi="Arial"/>
          <w:sz w:val="16"/>
          <w:szCs w:val="16"/>
          <w:color w:val="auto"/>
        </w:rPr>
        <w:t>. As soon as practicable on or after a Date of Exercise of any Warrants, the Company shall issue, or cause the Transfer Agent to issue, a certificate or certificates for the number of full Warrant Shares equal to the Exercise Amount rounded down to the nearest full share, registered in accordance with the instructions set forth in the Election to Purchase. All Warrant Shares issued upon the exercise of any Warrant in accordance with the Warrant Certificate and this Agreement shall be validly authorized and issued, fully paid, nonassessable, free of preemptive rights and, subject to Section 6.01 hereof, free from all taxes, liens, charges and security interests in respect of the issuance thereof. Each Person in whose name any such certificate for Warrant Shares is issued shall be deemed for all purposes to have become the holder of record of the Common Stock represented thereby on the Date of Exercise of the Warrant resulting in the issuance of such shares, irrespective of the date of issuance or delivery of such certificate for Warrant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62" w:name="page363"/>
    <w:bookmarkEnd w:id="362"/>
    <w:p>
      <w:pPr>
        <w:jc w:val="both"/>
        <w:ind w:right="2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4.04. </w:t>
      </w:r>
      <w:r>
        <w:rPr>
          <w:rFonts w:ascii="Arial" w:cs="Arial" w:eastAsia="Arial" w:hAnsi="Arial"/>
          <w:sz w:val="18"/>
          <w:szCs w:val="18"/>
          <w:u w:val="single" w:color="auto"/>
          <w:color w:val="auto"/>
        </w:rPr>
        <w:t>Certificates for Unexercised Warrants</w:t>
      </w:r>
      <w:r>
        <w:rPr>
          <w:rFonts w:ascii="Arial" w:cs="Arial" w:eastAsia="Arial" w:hAnsi="Arial"/>
          <w:sz w:val="18"/>
          <w:szCs w:val="18"/>
          <w:color w:val="auto"/>
        </w:rPr>
        <w:t>. In the event that, prior to the Expiration Date, a Warrant Certificate is exercised in respect of less than all of the Exercise Percentage specified therein, a new Warrant Certificate representing a Warrant for the remaining Exercise Percentage shall be issued and delivered pursuant to the provisions hereof.</w:t>
      </w:r>
    </w:p>
    <w:p>
      <w:pPr>
        <w:spacing w:after="0" w:line="140"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shall at all times reserve and keep available, solely for issuance and delivery upon exercise of the Warrants, the number of Warrant Shares from time to time issuable upon exercise of the Warrants. The transfer agent for the Common Stock, which may be the Company (the “</w:t>
      </w:r>
      <w:r>
        <w:rPr>
          <w:rFonts w:ascii="Arial" w:cs="Arial" w:eastAsia="Arial" w:hAnsi="Arial"/>
          <w:sz w:val="16"/>
          <w:szCs w:val="16"/>
          <w:u w:val="single" w:color="auto"/>
          <w:color w:val="auto"/>
        </w:rPr>
        <w:t>Transfer Agent</w:t>
      </w:r>
      <w:r>
        <w:rPr>
          <w:rFonts w:ascii="Arial" w:cs="Arial" w:eastAsia="Arial" w:hAnsi="Arial"/>
          <w:sz w:val="16"/>
          <w:szCs w:val="16"/>
          <w:color w:val="auto"/>
        </w:rPr>
        <w:t>”), and every subsequent Transfer Agent for any shares of the Company’s capital stock issuable upon the exercise of any of the purchase rights represented by the Warrants, are hereby irrevocably authorized and directed at all times until the Expiration Date to reserve such number of authorized and unissued shares as shall be requisite for such purpose. The Company shall keep copies of each Warrant on file with the Transfer Agent for the Common Stock and with every subsequent Transfer Agent for any shares of the Company’s capital stock issuable upon the exercise of the rights of purchase represented by the Warrants. All Warrants surrendered upon the exercise of the rights thereby evidenced and not required to be returned to the Holder pursuant hereto shall be canceled.</w:t>
      </w:r>
    </w:p>
    <w:p>
      <w:pPr>
        <w:spacing w:after="0" w:line="118" w:lineRule="exact"/>
        <w:rPr>
          <w:sz w:val="20"/>
          <w:szCs w:val="20"/>
          <w:color w:val="auto"/>
        </w:rPr>
      </w:pPr>
    </w:p>
    <w:p>
      <w:pPr>
        <w:ind w:right="120" w:firstLine="913"/>
        <w:spacing w:after="0" w:line="29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No Impairment</w:t>
      </w:r>
      <w:r>
        <w:rPr>
          <w:rFonts w:ascii="Arial" w:cs="Arial" w:eastAsia="Arial" w:hAnsi="Arial"/>
          <w:sz w:val="16"/>
          <w:szCs w:val="16"/>
          <w:color w:val="auto"/>
        </w:rPr>
        <w:t>.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the Warrants, but will at all times in good faith assist in the carrying out of all such terms and in the taking of all such actions as may be necessary or appropriate to protect the rights of Holders against impairment.</w:t>
      </w:r>
    </w:p>
    <w:p>
      <w:pPr>
        <w:spacing w:after="0" w:line="11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Expiration of Warrants</w:t>
      </w:r>
      <w:r>
        <w:rPr>
          <w:rFonts w:ascii="Arial" w:cs="Arial" w:eastAsia="Arial" w:hAnsi="Arial"/>
          <w:sz w:val="18"/>
          <w:szCs w:val="18"/>
          <w:color w:val="auto"/>
        </w:rPr>
        <w:t>. Each Warrant not exercised prior to the Expiration Date shall become void and all rights thereunder and all rights in respect thereof under this Agreement shall cease as of such time.</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ADJUSTMENTS AND NOTICE PROVISIONS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Adjustment of Exercise Price; Adjustment of Number of Shares</w:t>
      </w:r>
      <w:r>
        <w:rPr>
          <w:rFonts w:ascii="Arial" w:cs="Arial" w:eastAsia="Arial" w:hAnsi="Arial"/>
          <w:sz w:val="18"/>
          <w:szCs w:val="18"/>
          <w:color w:val="auto"/>
        </w:rPr>
        <w:t>.</w:t>
      </w:r>
    </w:p>
    <w:p>
      <w:pPr>
        <w:spacing w:after="0" w:line="171" w:lineRule="exact"/>
        <w:rPr>
          <w:sz w:val="20"/>
          <w:szCs w:val="20"/>
          <w:color w:val="auto"/>
        </w:rPr>
      </w:pPr>
    </w:p>
    <w:p>
      <w:pPr>
        <w:ind w:firstLine="921"/>
        <w:spacing w:after="0" w:line="253" w:lineRule="auto"/>
        <w:tabs>
          <w:tab w:leader="none" w:pos="1152"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In case the Company shall declare a dividend or make a distribution on the outstanding shares of its Common Stock (including any distribution upon liquidation, dissolution or winding up), holders of Warrants shall be entitled to receive a pro rata portion of such dividend or distribution on an “as if” exercised basis upon the exercise of the Warrants. In case the Company shall (i) subdivide or reclassify the outstanding shares of its Common Stock into a greater number of shares or (ii) combine or reclassify the outstanding shares of its Common Stock into a smaller number of shares, or any similar event shall occur, the Exercise Price in effect immediately after the effective date of such subdivision, combination or reclassification shall be adjusted so that it shall equal the price determined by multiplying the Exercise Price in effect immediately prior thereto by a fraction, of which the numerator shall be the number of shares of Common Stock outstanding immediately before such subdivision, combination or reclassification, and of which the denominator shall be the number of shares of Common Stock</w:t>
      </w:r>
    </w:p>
    <w:p>
      <w:pPr>
        <w:spacing w:after="0" w:line="1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80" w:right="299" w:bottom="1440" w:gutter="0" w:footer="0" w:header="0"/>
        </w:sectPr>
      </w:pPr>
    </w:p>
    <w:bookmarkStart w:id="363" w:name="page364"/>
    <w:bookmarkEnd w:id="363"/>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immediately after such subdivision, combination or reclassification. Such adjustment shall be made successively whenever any event specified above shall occur.</w:t>
      </w:r>
    </w:p>
    <w:p>
      <w:pPr>
        <w:spacing w:after="0" w:line="132" w:lineRule="exact"/>
        <w:rPr>
          <w:sz w:val="20"/>
          <w:szCs w:val="20"/>
          <w:color w:val="auto"/>
        </w:rPr>
      </w:pPr>
    </w:p>
    <w:p>
      <w:pPr>
        <w:ind w:right="60" w:firstLine="921"/>
        <w:spacing w:after="0" w:line="256" w:lineRule="auto"/>
        <w:tabs>
          <w:tab w:leader="none" w:pos="116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connection with each adjustment of the Exercise Price pursuant to Section 5.01(a) hereof, but only if such adjustment occurs after the IPO Date, each Warrant shall thereupon evidence the right to purchase that number of Warrant Shares obtained by multiplying the number of Warrant Shares purchasable immediately prior to such adjustment upon exercise of the Warrant by the Exercise Price in effect immediately prior to such adjustment and dividing the product so obtained by the Exercise Price in effect immediately after such adjustment.</w:t>
      </w:r>
    </w:p>
    <w:p>
      <w:pPr>
        <w:spacing w:after="0" w:line="14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Reorganizations</w:t>
      </w:r>
      <w:r>
        <w:rPr>
          <w:rFonts w:ascii="Arial" w:cs="Arial" w:eastAsia="Arial" w:hAnsi="Arial"/>
          <w:sz w:val="16"/>
          <w:szCs w:val="16"/>
          <w:color w:val="auto"/>
        </w:rPr>
        <w:t>. In case of any capital reorganization, other than in the cases referred to in Section 5.01 hereof, or the consolidation or merger of the Company with or into another corporation (other than a merger or consolidation in which the Company is the continuing corporation and which does not result in any reclassification of the outstanding shares of Common Stock or the conversion of such outstanding shares of Common Stock into shares of other stock or other securities or property) (collectively such actions being hereinafter referred to as “</w:t>
      </w:r>
      <w:r>
        <w:rPr>
          <w:rFonts w:ascii="Arial" w:cs="Arial" w:eastAsia="Arial" w:hAnsi="Arial"/>
          <w:sz w:val="16"/>
          <w:szCs w:val="16"/>
          <w:u w:val="single" w:color="auto"/>
          <w:color w:val="auto"/>
        </w:rPr>
        <w:t>Reorganizations</w:t>
      </w:r>
      <w:r>
        <w:rPr>
          <w:rFonts w:ascii="Arial" w:cs="Arial" w:eastAsia="Arial" w:hAnsi="Arial"/>
          <w:sz w:val="16"/>
          <w:szCs w:val="16"/>
          <w:color w:val="auto"/>
        </w:rPr>
        <w:t>”), there shall thereafter be deliverable upon exercise of any Warrant (in lieu of the number of Warrant Shares theretofore deliverable) the number of shares of stock or cash or other securities or property to which a Holder (of the number of Warrant Shares which would otherwise have been deliverable upon the exercise of such Warrants) would have been entitled upon such Reorganization if such Warrant had been exercised in full immediately prior to such Reorganization. In case of any Reorganization, appropriate adjustment, as determined in good faith by the Board of Directors, shall be made in the application of the provisions herein set forth with respect to the rights and interests of Holders so that the provisions set forth herein shall thereafter be applicable, as nearly as possible, in relation to any shares or cash or other securities or property thereafter deliverable upon exercise of Warrants. Any such adjustment shall be made by and set forth in a supplemental agreement between the Company and any successor thereto. The Company shall not effect any such Reorganization unless upon or prior to the consummation thereof the successor corporation, or if the Company shall be the surviving corporation in any such Reorganization and is not the issuer of the shares of stock or other securities or property to be delivered to holders of shares of the Common Stock outstanding at the effective time thereof then such issuer, shall assume by written instrument the obligation to deliver to the Holder of any Warrant Certificate such shares or cash or other securities or property as such Holder shall be entitled to purchase in accordance with the foregoing provisions.</w:t>
      </w:r>
    </w:p>
    <w:p>
      <w:pPr>
        <w:spacing w:after="0" w:line="126"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Notice of Certain Actions</w:t>
      </w:r>
      <w:r>
        <w:rPr>
          <w:rFonts w:ascii="Arial" w:cs="Arial" w:eastAsia="Arial" w:hAnsi="Arial"/>
          <w:sz w:val="16"/>
          <w:szCs w:val="16"/>
          <w:color w:val="auto"/>
        </w:rPr>
        <w:t>. In the event the Company shall (a) declare any dividend payable in stock to the holders of its Common Stock or make any other distribution in property other than cash to the holders of its Common Stock, (b) offer to all holders of its Common Stock rights to subscribe for or purchase any shares of any class of stock or any other rights or options, (c) effect or approve or enter into any arrangements to effect an Initial Public Offering, (d) effect any reclassification of its Common Stock (other than a reclassification involving merely the subdivision or combination of outstanding shares of Common Stock), (e) effect or approve any capital reorganization or any consolidation or merger (other than a merger in which no distribution of cash, securities or other property is made to holders of Common Stock), (f) effect or approve any Substantial Disposition Transaction, or (g) effect or approve the liquidation, dissolution or winding up of the Company; then, in each such</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364" w:name="page365"/>
    <w:bookmarkEnd w:id="36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case, the Company shall cause notice of such proposed action to be mailed to each Holder in the manner set forth below. Such notice shall specify the date on which the books of the Company shall close, or a record be taken, for determining holders of Common Stock entitled to receive such stock dividend or other distribution or such rights or options, or the date on which such reclassification, reorganization, consolidation, merger, sale, transfer, other disposition, liquidation, dissolution, winding up or exchange shall take place or commence, as the case may be, and the date as of which it is expected that holders of record of Common Stock shall be entitled to receive cash, securities or other property deliverable upon such action, if any such date has been fixed. Such notice shall be mailed in the case of any action covered by clause (a) or (b) of this Section 5.03 at least ten (10) days prior to the record date for determining holders of the Common Stock for purposes of receiving such payment or offer; in the case of any action covered by clause (c) above, within ten (10) days of the action giving rise to the obligation to mail such notice; and in the case of any action covered by clause (d), (e), (f) or (g) above, at least 10 days prior to the earlier of the date upon which such action is to take place or any record date to determine holders of Common Stock entitled to receive such cash, securities or other property.</w:t>
      </w:r>
    </w:p>
    <w:p>
      <w:pPr>
        <w:spacing w:after="0" w:line="120" w:lineRule="exact"/>
        <w:rPr>
          <w:sz w:val="20"/>
          <w:szCs w:val="20"/>
          <w:color w:val="auto"/>
        </w:rPr>
      </w:pPr>
    </w:p>
    <w:p>
      <w:pPr>
        <w:ind w:right="120" w:firstLine="913"/>
        <w:spacing w:after="0" w:line="294"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Certificate of Adjustments</w:t>
      </w:r>
      <w:r>
        <w:rPr>
          <w:rFonts w:ascii="Arial" w:cs="Arial" w:eastAsia="Arial" w:hAnsi="Arial"/>
          <w:sz w:val="16"/>
          <w:szCs w:val="16"/>
          <w:color w:val="auto"/>
        </w:rPr>
        <w:t>. Whenever any adjustment is to be made pursuant to this Article V, the Company shall prepare a certificate executed by an Officer of the Company setting forth such adjustments to be mailed to each Holder, such notice to include in reasonable detail: (a) the events in respect of which the adjustment is being made, (b) the computation of any adjustments, and (c) the Exercise Price and the number of shares or the cash or other securities or property purchasable upon exercise of each Warrant after giving effect to such adjustment. Such notice shall be given promptly after the events in respect of which the adjustment is being made have occurred.</w:t>
      </w:r>
    </w:p>
    <w:p>
      <w:pPr>
        <w:spacing w:after="0" w:line="116" w:lineRule="exact"/>
        <w:rPr>
          <w:sz w:val="20"/>
          <w:szCs w:val="20"/>
          <w:color w:val="auto"/>
        </w:rPr>
      </w:pPr>
    </w:p>
    <w:p>
      <w:pPr>
        <w:ind w:right="80" w:firstLine="913"/>
        <w:spacing w:after="0" w:line="298"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Warrant Certificate Amendments</w:t>
      </w:r>
      <w:r>
        <w:rPr>
          <w:rFonts w:ascii="Arial" w:cs="Arial" w:eastAsia="Arial" w:hAnsi="Arial"/>
          <w:sz w:val="16"/>
          <w:szCs w:val="16"/>
          <w:color w:val="auto"/>
        </w:rPr>
        <w:t xml:space="preserve">. Irrespective of any adjustments pursuant to this Article V, Warrant Certificates theretofore or thereafter issued need not be amended or replaced, but certificates thereafter issued shall bear an appropriate legend or other notice of any adjustments;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at its option, issue new Warrant Certificates evidencing Warrants in such form as may be approved by the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reflect any adjustment in the Exercise Price and number of Warrant Shares purchasable under the Warrants.</w:t>
      </w:r>
    </w:p>
    <w:p>
      <w:pPr>
        <w:spacing w:after="0" w:line="11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 fractional shares of Common Stock will be issued in connection with any exercise hereunder. In lieu of any remaining fractional share that may exist after aggregating all fractional shares for any Holder, the Company may pay an amount of cash to such Holder equal to the fraction multiplied by the Fair Market Value of a share of Common Stock.</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165" w:lineRule="exact"/>
        <w:rPr>
          <w:sz w:val="20"/>
          <w:szCs w:val="20"/>
          <w:color w:val="auto"/>
        </w:rPr>
      </w:pPr>
    </w:p>
    <w:p>
      <w:pPr>
        <w:ind w:right="320" w:firstLine="913"/>
        <w:spacing w:after="0" w:line="335" w:lineRule="auto"/>
        <w:rPr>
          <w:sz w:val="20"/>
          <w:szCs w:val="20"/>
          <w:color w:val="auto"/>
        </w:rPr>
      </w:pPr>
      <w:r>
        <w:rPr>
          <w:rFonts w:ascii="Arial" w:cs="Arial" w:eastAsia="Arial" w:hAnsi="Arial"/>
          <w:sz w:val="15"/>
          <w:szCs w:val="15"/>
          <w:color w:val="auto"/>
        </w:rPr>
        <w:t xml:space="preserve">SECTION 6.01. </w:t>
      </w:r>
      <w:r>
        <w:rPr>
          <w:rFonts w:ascii="Arial" w:cs="Arial" w:eastAsia="Arial" w:hAnsi="Arial"/>
          <w:sz w:val="15"/>
          <w:szCs w:val="15"/>
          <w:u w:val="single" w:color="auto"/>
          <w:color w:val="auto"/>
        </w:rPr>
        <w:t>Payment of Taxes and Charges</w:t>
      </w:r>
      <w:r>
        <w:rPr>
          <w:rFonts w:ascii="Arial" w:cs="Arial" w:eastAsia="Arial" w:hAnsi="Arial"/>
          <w:sz w:val="15"/>
          <w:szCs w:val="15"/>
          <w:color w:val="auto"/>
        </w:rPr>
        <w:t>. The applicable Holder will pay all taxes and other government charges in connection with the issuance or delivery of the Warrants and the issuance or delivery of Warrant Shares upon the exercise of any Warrants and payment of the Exercise Price. The Company shall not pay any income taxes or transfer taxes in connection with the subsequent transfer of Warrants or any transfer involved in the issuance and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80" w:right="259" w:bottom="1440" w:gutter="0" w:footer="0" w:header="0"/>
        </w:sectPr>
      </w:pPr>
    </w:p>
    <w:bookmarkStart w:id="365" w:name="page366"/>
    <w:bookmarkEnd w:id="365"/>
    <w:p>
      <w:pPr>
        <w:ind w:right="1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Warrant Shares in a name other than the name in which the Warrants to which such issuance relates were registered, and, if any such tax would otherwise be payable by the Company, no such issuance or delivery shall be made unless and until the Person requesting such issuance has paid to the Company the amount of any such tax, or it is established to the reasonable satisfaction of the Company that any such tax has been paid.</w:t>
      </w:r>
    </w:p>
    <w:p>
      <w:pPr>
        <w:spacing w:after="0" w:line="10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Periodic Information Requests</w:t>
      </w:r>
      <w:r>
        <w:rPr>
          <w:rFonts w:ascii="Arial" w:cs="Arial" w:eastAsia="Arial" w:hAnsi="Arial"/>
          <w:sz w:val="16"/>
          <w:szCs w:val="16"/>
          <w:color w:val="auto"/>
        </w:rPr>
        <w:t>. For so long as the Warrants are outstanding, and until such time or the Company has consummated an Initial Public Offering, the Company shall prepare and furnish to the Holders: (i) on an annual basis within one hundred and twenty (120) days following the end of each fiscal year, audited consolidated financial statements of the Company for such fiscal year and the budget and financial plan of the Company approved by the Board of Directors for the following fiscal year, including projected financial statements, (ii) on a quarterly basis within forty five (45) days following the end of each fiscal quarter, quarterly consolidated financial statements for such fiscal quarter and budgets and cash flow projections used in the normal management of the Company’s affairs and (iii) such other management and financial information as any Holder may reasonably request.</w:t>
      </w:r>
    </w:p>
    <w:p>
      <w:pPr>
        <w:spacing w:after="0" w:line="120"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xml:space="preserve">. The Warrant Shares issuable upon exercise of the Warrants shall have registration rights identified as applicable to Bayer in an Investors’ Rights Agreement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32" w:lineRule="exact"/>
        <w:rPr>
          <w:sz w:val="20"/>
          <w:szCs w:val="20"/>
          <w:color w:val="auto"/>
        </w:rPr>
      </w:pPr>
    </w:p>
    <w:p>
      <w:pPr>
        <w:ind w:right="160" w:firstLine="913"/>
        <w:spacing w:after="0" w:line="332"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each Warrant Certificate issued hereunder shall be governed by the laws of the State of New York without regard to principles of conflicts of laws thereof, except to the extent that the laws of the State of Delaware may be mandatorily applicable.</w:t>
      </w:r>
    </w:p>
    <w:p>
      <w:pPr>
        <w:spacing w:after="0" w:line="8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Jurisdiction; Waiver of Jury Trial</w:t>
      </w:r>
      <w:r>
        <w:rPr>
          <w:rFonts w:ascii="Arial" w:cs="Arial" w:eastAsia="Arial" w:hAnsi="Arial"/>
          <w:sz w:val="16"/>
          <w:szCs w:val="16"/>
          <w:color w:val="auto"/>
        </w:rPr>
        <w:t>. (a) Each of the parties hereto irrevocably submits to the jurisdiction of (i) the Supreme Court of the State of New York, New York County, and (ii) the United States District Court for the Southern District of New York, for the purposes of any suit, action or other proceeding arising out of this Agreement, any agreement entered into in connection with this Agreement or any transaction contemplated hereby or thereby. Each of the parties hereto agrees to commence any action, suit or proceeding relating hereto in the United States District Court for the Southern District of New York or, if such suit, action or other proceeding may not be brought in such court for jurisdictional reasons, in the Supreme Court of the State of New York, New York County. Each of the parties hereto further agrees that service of any process, summons, notice or document by U.S. registered mail to such party’s respective address set forth in Section 6.10 hereof shall be effective service of process for any action, suit or proceeding in New York with respect to any matters to which it has submitted to jurisdiction in this clause. Each of the parties hereto irrevocably and unconditionally waives any objection to the laying of venue of any action, suit or proceeding arising out of this Agreement, any agreement entered into in connection with this Agreement or the transactions contemplated hereby or thereby in (x) the Supreme Court of New York, New York County, or (y) the United States District Court for the Southern District of New York, and hereby and thereby further irrevocably and unconditionally waives and agrees not to plead or claim in any such court that any such action, suit or proceeding brought in any such court has been brought in an inconvenient forum.</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9" w:right="259" w:bottom="1440" w:gutter="0" w:footer="0" w:header="0"/>
        </w:sectPr>
      </w:pPr>
    </w:p>
    <w:bookmarkStart w:id="366" w:name="page367"/>
    <w:bookmarkEnd w:id="366"/>
    <w:p>
      <w:pPr>
        <w:ind w:firstLine="921"/>
        <w:spacing w:after="0" w:line="298" w:lineRule="auto"/>
        <w:tabs>
          <w:tab w:leader="none" w:pos="1162" w:val="left"/>
        </w:tabs>
        <w:numPr>
          <w:ilvl w:val="0"/>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party waives, to the fullest extent permitted by applicable law, any right it may have to a trial by jury in respect of any litigation arising out of or relating to this Agreement. Each party (i) certifies that no representative, agent or attorney of another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set forth above in this Section 6.05.</w:t>
      </w:r>
    </w:p>
    <w:p>
      <w:pPr>
        <w:spacing w:after="0" w:line="113"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u w:val="single" w:color="auto"/>
          <w:color w:val="auto"/>
        </w:rPr>
        <w:t>No Rights or Liabilities as Shareholder</w:t>
      </w:r>
      <w:r>
        <w:rPr>
          <w:rFonts w:ascii="Arial" w:cs="Arial" w:eastAsia="Arial" w:hAnsi="Arial"/>
          <w:sz w:val="16"/>
          <w:szCs w:val="16"/>
          <w:color w:val="auto"/>
        </w:rPr>
        <w:t>. Nothing contained in this Agreement shall be construed as conferring upon any Holder any rights as a shareholder of the Company or as imposing any obligation on any Holder to purchase any securities or as imposing any liabilities on any Holder as a shareholder of the Company, whether such obligation or liabilities are asserted by the Company or by creditors of the Company.</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Successor and Assigns</w:t>
      </w:r>
      <w:r>
        <w:rPr>
          <w:rFonts w:ascii="Arial" w:cs="Arial" w:eastAsia="Arial" w:hAnsi="Arial"/>
          <w:sz w:val="18"/>
          <w:szCs w:val="18"/>
          <w:color w:val="auto"/>
        </w:rPr>
        <w:t>. This Agreement and the rights and duties of the parties hereto shall be binding upon and shall inure to the benefit of the parties hereto and their respective executors, administrators, heirs, successors and permitted assigns.</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Descriptive Headings</w:t>
      </w:r>
      <w:r>
        <w:rPr>
          <w:rFonts w:ascii="Arial" w:cs="Arial" w:eastAsia="Arial" w:hAnsi="Arial"/>
          <w:sz w:val="18"/>
          <w:szCs w:val="18"/>
          <w:color w:val="auto"/>
        </w:rPr>
        <w:t>. The headings in this Agreement are for convenience of reference only and shall not limit or otherwise affect the meaning of terms contained herein.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only by a written instrument signed by the Company and Bayer.</w:t>
      </w:r>
    </w:p>
    <w:p>
      <w:pPr>
        <w:spacing w:after="0" w:line="17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herein shall be dated and in writing and shall be deemed to have been duly given when sent by nationally recognized express courier or registered or certified mail, return receipt requested, postage prepaid and when received, if delivered personally or otherwise, to the Party to whom it is directed at its address indicated below:</w:t>
      </w:r>
    </w:p>
    <w:p>
      <w:pPr>
        <w:sectPr>
          <w:pgSz w:w="11900" w:h="16838" w:orient="portrait"/>
          <w:cols w:equalWidth="0" w:num="1">
            <w:col w:w="11400"/>
          </w:cols>
          <w:pgMar w:left="240" w:top="279" w:right="259" w:bottom="1440" w:gutter="0" w:footer="0" w:header="0"/>
        </w:sectPr>
      </w:pPr>
    </w:p>
    <w:p>
      <w:pPr>
        <w:spacing w:after="0" w:line="5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If to Bayer: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Bayer Schering Pharma AG</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Muellerstrasse 178, D-13342</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Berlin, 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Legal Department</w:t>
      </w:r>
    </w:p>
    <w:p>
      <w:pPr>
        <w:spacing w:after="0" w:line="124" w:lineRule="exact"/>
        <w:rPr>
          <w:sz w:val="20"/>
          <w:szCs w:val="20"/>
          <w:color w:val="auto"/>
        </w:rPr>
      </w:pPr>
    </w:p>
    <w:p>
      <w:pPr>
        <w:sectPr>
          <w:pgSz w:w="11900" w:h="16838" w:orient="portrait"/>
          <w:cols w:equalWidth="0" w:num="2">
            <w:col w:w="2720" w:space="720"/>
            <w:col w:w="7960"/>
          </w:cols>
          <w:pgMar w:left="240" w:top="279" w:right="25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Berlex,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340 Changebridge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Pine Brook, NJ 07058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Berlex Pharmaceuticals Legal Department</w:t>
      </w:r>
    </w:p>
    <w:p>
      <w:pPr>
        <w:spacing w:after="0" w:line="147" w:lineRule="exact"/>
        <w:rPr>
          <w:sz w:val="20"/>
          <w:szCs w:val="20"/>
          <w:color w:val="auto"/>
        </w:rPr>
      </w:pPr>
    </w:p>
    <w:p>
      <w:pPr>
        <w:sectPr>
          <w:pgSz w:w="11900" w:h="16838" w:orient="portrait"/>
          <w:cols w:equalWidth="0" w:num="2">
            <w:col w:w="2720" w:space="720"/>
            <w:col w:w="7960"/>
          </w:cols>
          <w:pgMar w:left="240" w:top="279" w:right="259" w:bottom="1440" w:gutter="0" w:footer="0" w:header="0"/>
          <w:type w:val="continuous"/>
        </w:sectPr>
      </w:pPr>
    </w:p>
    <w:p>
      <w:pPr>
        <w:ind w:left="3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Berlex, Inc.</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340 Changebridge Road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Pine Brook, NJ 07058</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5"/>
          <w:szCs w:val="15"/>
          <w:color w:val="auto"/>
        </w:rPr>
        <w:t>Attn: Corporate Business Development</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9" w:right="259" w:bottom="1440" w:gutter="0" w:footer="0" w:header="0"/>
          <w:type w:val="continuous"/>
        </w:sectPr>
      </w:pPr>
    </w:p>
    <w:bookmarkStart w:id="367" w:name="page368"/>
    <w:bookmarkEnd w:id="367"/>
    <w:p>
      <w:pPr>
        <w:ind w:left="3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Cravath, Swaine &amp; Moore LLP</w:t>
      </w:r>
    </w:p>
    <w:p>
      <w:pPr>
        <w:spacing w:after="0" w:line="3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Attention: Peter S. Wilson, Esq.</w:t>
      </w:r>
    </w:p>
    <w:p>
      <w:pPr>
        <w:sectPr>
          <w:pgSz w:w="11900" w:h="16838" w:orient="portrait"/>
          <w:cols w:equalWidth="0" w:num="1">
            <w:col w:w="11420"/>
          </w:cols>
          <w:pgMar w:left="240" w:top="280" w:right="239" w:bottom="1440" w:gutter="0" w:footer="0" w:header="0"/>
        </w:sectPr>
      </w:pP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If to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12481 High Bluff Drive, Suite 150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President &amp; CEO</w:t>
      </w:r>
    </w:p>
    <w:p>
      <w:pPr>
        <w:spacing w:after="0" w:line="124" w:lineRule="exact"/>
        <w:rPr>
          <w:sz w:val="20"/>
          <w:szCs w:val="20"/>
          <w:color w:val="auto"/>
        </w:rPr>
      </w:pPr>
    </w:p>
    <w:p>
      <w:pPr>
        <w:sectPr>
          <w:pgSz w:w="11900" w:h="16838" w:orient="portrait"/>
          <w:cols w:equalWidth="0" w:num="2">
            <w:col w:w="2720" w:space="720"/>
            <w:col w:w="7980"/>
          </w:cols>
          <w:pgMar w:left="240" w:top="280" w:right="23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Reed Smith,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1901 Avenue of the Stars, Suite 700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Sanders, Esq.</w:t>
      </w:r>
    </w:p>
    <w:p>
      <w:pPr>
        <w:spacing w:after="0" w:line="178" w:lineRule="exact"/>
        <w:rPr>
          <w:sz w:val="20"/>
          <w:szCs w:val="20"/>
          <w:color w:val="auto"/>
        </w:rPr>
      </w:pPr>
    </w:p>
    <w:p>
      <w:pPr>
        <w:sectPr>
          <w:pgSz w:w="11900" w:h="16838" w:orient="portrait"/>
          <w:cols w:equalWidth="0" w:num="2">
            <w:col w:w="2720" w:space="720"/>
            <w:col w:w="7980"/>
          </w:cols>
          <w:pgMar w:left="240" w:top="280" w:right="23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 xml:space="preserve">or at such other address as may have been specified by notice in writing to the other parties;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of change of address shall be deemed to have been duly given only when actually received.</w:t>
      </w:r>
    </w:p>
    <w:p>
      <w:pPr>
        <w:spacing w:after="0" w:line="132" w:lineRule="exact"/>
        <w:rPr>
          <w:sz w:val="20"/>
          <w:szCs w:val="20"/>
          <w:color w:val="auto"/>
        </w:rPr>
      </w:pPr>
    </w:p>
    <w:p>
      <w:pPr>
        <w:ind w:right="140" w:firstLine="913"/>
        <w:spacing w:after="0" w:line="306"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u w:val="single" w:color="auto"/>
          <w:color w:val="auto"/>
        </w:rPr>
        <w:t>Defects in Notice</w:t>
      </w:r>
      <w:r>
        <w:rPr>
          <w:rFonts w:ascii="Arial" w:cs="Arial" w:eastAsia="Arial" w:hAnsi="Arial"/>
          <w:sz w:val="16"/>
          <w:szCs w:val="16"/>
          <w:color w:val="auto"/>
        </w:rPr>
        <w:t>. Failure to file any certificate or notice or to mail any notice, or any defect in any certificate or notice pursuant to this Agreement shall not affect in any way the rights of any Holder or the legality or validity of any adjustment made pursuant to Article V hereof, or any transaction giving rise to any such adjustment, or the legality or validity of any action taken or to be taken by the Company.</w:t>
      </w:r>
    </w:p>
    <w:p>
      <w:pPr>
        <w:spacing w:after="0" w:line="107" w:lineRule="exact"/>
        <w:rPr>
          <w:sz w:val="20"/>
          <w:szCs w:val="20"/>
          <w:color w:val="auto"/>
        </w:rPr>
      </w:pPr>
    </w:p>
    <w:p>
      <w:pPr>
        <w:ind w:right="260" w:firstLine="913"/>
        <w:spacing w:after="0" w:line="268"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when taken together, shall constitute one and the same Agreement.</w:t>
      </w:r>
    </w:p>
    <w:p>
      <w:pPr>
        <w:spacing w:after="0" w:line="132"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(or any portion thereof) or the application of any such provision (or any portion thereof) to any Person or circumstance shall be held invalid, illegal or unenforceable in any respect by a court of competent jurisdiction, such invalidity, illegality or unenforceability shall not affect any other provision hereof (or the remaining portion thereof) or the application of such provision to any other Persons or circumstances.</w:t>
      </w:r>
    </w:p>
    <w:p>
      <w:pPr>
        <w:spacing w:after="0" w:line="143" w:lineRule="exact"/>
        <w:rPr>
          <w:sz w:val="20"/>
          <w:szCs w:val="20"/>
          <w:color w:val="auto"/>
        </w:rPr>
      </w:pPr>
    </w:p>
    <w:p>
      <w:pPr>
        <w:jc w:val="both"/>
        <w:ind w:right="280" w:firstLine="913"/>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exhibits hereto which form a part hereof contain the entire understanding of the parties with respect to the subject matter hereof. This Agreement supersedes all prior agreements and understandings between the parties with respect to the subject matter hereof.</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 * signature page follows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type w:val="continuous"/>
        </w:sectPr>
      </w:pPr>
    </w:p>
    <w:bookmarkStart w:id="368" w:name="page369"/>
    <w:bookmarkEnd w:id="36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Warrant Agreement has been duly executed by the parties as of the day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BAYER SCHERING PHARMA AG</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SYNDAX PHARMACEUTICALS, INC.</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Ulrich Grohé</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By:  /s/ Joanna C. Horobin</w:t>
            </w:r>
          </w:p>
        </w:tc>
      </w:tr>
      <w:tr>
        <w:trPr>
          <w:trHeight w:val="190"/>
        </w:trPr>
        <w:tc>
          <w:tcPr>
            <w:tcW w:w="260" w:type="dxa"/>
            <w:vAlign w:val="bottom"/>
          </w:tcPr>
          <w:p>
            <w:pPr>
              <w:spacing w:after="0"/>
              <w:rPr>
                <w:sz w:val="20"/>
                <w:szCs w:val="20"/>
                <w:color w:val="auto"/>
              </w:rPr>
            </w:pPr>
            <w:r>
              <w:rPr>
                <w:rFonts w:ascii="Arial" w:cs="Arial" w:eastAsia="Arial" w:hAnsi="Arial"/>
                <w:sz w:val="16"/>
                <w:szCs w:val="16"/>
                <w:color w:val="auto"/>
                <w:w w:val="72"/>
              </w:rPr>
              <w:t>Print</w:t>
            </w:r>
          </w:p>
        </w:tc>
        <w:tc>
          <w:tcPr>
            <w:tcW w:w="5120" w:type="dxa"/>
            <w:vAlign w:val="bottom"/>
            <w:tcBorders>
              <w:top w:val="single" w:sz="8" w:color="auto"/>
            </w:tcBorders>
          </w:tcPr>
          <w:p>
            <w:pPr>
              <w:ind w:left="140"/>
              <w:spacing w:after="0" w:line="190" w:lineRule="exact"/>
              <w:rPr>
                <w:sz w:val="20"/>
                <w:szCs w:val="20"/>
                <w:color w:val="auto"/>
              </w:rPr>
            </w:pPr>
            <w:r>
              <w:rPr>
                <w:rFonts w:ascii="Arial" w:cs="Arial" w:eastAsia="Arial" w:hAnsi="Arial"/>
                <w:sz w:val="18"/>
                <w:szCs w:val="18"/>
                <w:color w:val="auto"/>
              </w:rPr>
              <w:t>Name: Ulrich Grohé</w:t>
            </w:r>
          </w:p>
        </w:tc>
        <w:tc>
          <w:tcPr>
            <w:tcW w:w="920" w:type="dxa"/>
            <w:vAlign w:val="bottom"/>
          </w:tcPr>
          <w:p>
            <w:pPr>
              <w:ind w:left="660"/>
              <w:spacing w:after="0"/>
              <w:rPr>
                <w:sz w:val="20"/>
                <w:szCs w:val="20"/>
                <w:color w:val="auto"/>
              </w:rPr>
            </w:pPr>
            <w:r>
              <w:rPr>
                <w:rFonts w:ascii="Arial" w:cs="Arial" w:eastAsia="Arial" w:hAnsi="Arial"/>
                <w:sz w:val="16"/>
                <w:szCs w:val="16"/>
                <w:color w:val="auto"/>
                <w:w w:val="72"/>
              </w:rPr>
              <w:t>Print</w:t>
            </w:r>
          </w:p>
        </w:tc>
        <w:tc>
          <w:tcPr>
            <w:tcW w:w="5120" w:type="dxa"/>
            <w:vAlign w:val="bottom"/>
            <w:tcBorders>
              <w:top w:val="single" w:sz="8" w:color="auto"/>
            </w:tcBorders>
          </w:tcPr>
          <w:p>
            <w:pPr>
              <w:ind w:left="140"/>
              <w:spacing w:after="0" w:line="190" w:lineRule="exact"/>
              <w:rPr>
                <w:sz w:val="20"/>
                <w:szCs w:val="20"/>
                <w:color w:val="auto"/>
              </w:rPr>
            </w:pPr>
            <w:r>
              <w:rPr>
                <w:rFonts w:ascii="Arial" w:cs="Arial" w:eastAsia="Arial" w:hAnsi="Arial"/>
                <w:sz w:val="18"/>
                <w:szCs w:val="18"/>
                <w:color w:val="auto"/>
              </w:rPr>
              <w:t>Name: Joanna C. Horobin</w:t>
            </w: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General Counsel</w:t>
            </w:r>
          </w:p>
        </w:tc>
        <w:tc>
          <w:tcPr>
            <w:tcW w:w="6040" w:type="dxa"/>
            <w:vAlign w:val="bottom"/>
            <w:gridSpan w:val="2"/>
          </w:tcPr>
          <w:p>
            <w:pPr>
              <w:ind w:left="660"/>
              <w:spacing w:after="0"/>
              <w:rPr>
                <w:sz w:val="20"/>
                <w:szCs w:val="20"/>
                <w:color w:val="auto"/>
              </w:rPr>
            </w:pPr>
            <w:r>
              <w:rPr>
                <w:rFonts w:ascii="Arial" w:cs="Arial" w:eastAsia="Arial" w:hAnsi="Arial"/>
                <w:sz w:val="18"/>
                <w:szCs w:val="18"/>
                <w:color w:val="auto"/>
              </w:rPr>
              <w:t>Title: President &amp; CEO</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By:  /s/ Ulrich Köstlin</w:t>
            </w:r>
          </w:p>
        </w:tc>
        <w:tc>
          <w:tcPr>
            <w:tcW w:w="92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90"/>
        </w:trPr>
        <w:tc>
          <w:tcPr>
            <w:tcW w:w="260" w:type="dxa"/>
            <w:vAlign w:val="bottom"/>
          </w:tcPr>
          <w:p>
            <w:pPr>
              <w:spacing w:after="0"/>
              <w:rPr>
                <w:sz w:val="20"/>
                <w:szCs w:val="20"/>
                <w:color w:val="auto"/>
              </w:rPr>
            </w:pPr>
            <w:r>
              <w:rPr>
                <w:rFonts w:ascii="Arial" w:cs="Arial" w:eastAsia="Arial" w:hAnsi="Arial"/>
                <w:sz w:val="16"/>
                <w:szCs w:val="16"/>
                <w:color w:val="auto"/>
                <w:w w:val="72"/>
              </w:rPr>
              <w:t>Print</w:t>
            </w:r>
          </w:p>
        </w:tc>
        <w:tc>
          <w:tcPr>
            <w:tcW w:w="5120" w:type="dxa"/>
            <w:vAlign w:val="bottom"/>
            <w:tcBorders>
              <w:top w:val="single" w:sz="8" w:color="auto"/>
            </w:tcBorders>
          </w:tcPr>
          <w:p>
            <w:pPr>
              <w:ind w:left="140"/>
              <w:spacing w:after="0" w:line="190" w:lineRule="exact"/>
              <w:rPr>
                <w:sz w:val="20"/>
                <w:szCs w:val="20"/>
                <w:color w:val="auto"/>
              </w:rPr>
            </w:pPr>
            <w:r>
              <w:rPr>
                <w:rFonts w:ascii="Arial" w:cs="Arial" w:eastAsia="Arial" w:hAnsi="Arial"/>
                <w:sz w:val="18"/>
                <w:szCs w:val="18"/>
                <w:color w:val="auto"/>
              </w:rPr>
              <w:t>Name: Dr. Ulrich Köstlin</w:t>
            </w:r>
          </w:p>
        </w:tc>
        <w:tc>
          <w:tcPr>
            <w:tcW w:w="920" w:type="dxa"/>
            <w:vAlign w:val="bottom"/>
          </w:tcPr>
          <w:p>
            <w:pPr>
              <w:spacing w:after="0"/>
              <w:rPr>
                <w:sz w:val="16"/>
                <w:szCs w:val="16"/>
                <w:color w:val="auto"/>
              </w:rPr>
            </w:pPr>
          </w:p>
        </w:tc>
        <w:tc>
          <w:tcPr>
            <w:tcW w:w="5120" w:type="dxa"/>
            <w:vAlign w:val="bottom"/>
          </w:tcPr>
          <w:p>
            <w:pPr>
              <w:spacing w:after="0"/>
              <w:rPr>
                <w:sz w:val="16"/>
                <w:szCs w:val="16"/>
                <w:color w:val="auto"/>
              </w:rPr>
            </w:pPr>
          </w:p>
        </w:tc>
      </w:tr>
      <w:tr>
        <w:trPr>
          <w:trHeight w:val="222"/>
        </w:trPr>
        <w:tc>
          <w:tcPr>
            <w:tcW w:w="5380" w:type="dxa"/>
            <w:vAlign w:val="bottom"/>
            <w:gridSpan w:val="2"/>
          </w:tcPr>
          <w:p>
            <w:pPr>
              <w:spacing w:after="0"/>
              <w:rPr>
                <w:sz w:val="20"/>
                <w:szCs w:val="20"/>
                <w:color w:val="auto"/>
              </w:rPr>
            </w:pPr>
            <w:r>
              <w:rPr>
                <w:rFonts w:ascii="Arial" w:cs="Arial" w:eastAsia="Arial" w:hAnsi="Arial"/>
                <w:sz w:val="18"/>
                <w:szCs w:val="18"/>
                <w:color w:val="auto"/>
              </w:rPr>
              <w:t>Title: Member of the Executive Board</w:t>
            </w:r>
          </w:p>
        </w:tc>
        <w:tc>
          <w:tcPr>
            <w:tcW w:w="920" w:type="dxa"/>
            <w:vAlign w:val="bottom"/>
          </w:tcPr>
          <w:p>
            <w:pPr>
              <w:spacing w:after="0"/>
              <w:rPr>
                <w:sz w:val="19"/>
                <w:szCs w:val="19"/>
                <w:color w:val="auto"/>
              </w:rPr>
            </w:pPr>
          </w:p>
        </w:tc>
        <w:tc>
          <w:tcPr>
            <w:tcW w:w="5120" w:type="dxa"/>
            <w:vAlign w:val="bottom"/>
          </w:tcPr>
          <w:p>
            <w:pPr>
              <w:spacing w:after="0"/>
              <w:rPr>
                <w:sz w:val="19"/>
                <w:szCs w:val="19"/>
                <w:color w:val="auto"/>
              </w:rPr>
            </w:pPr>
          </w:p>
        </w:tc>
      </w:tr>
      <w:tr>
        <w:trPr>
          <w:trHeight w:val="365"/>
        </w:trPr>
        <w:tc>
          <w:tcPr>
            <w:tcW w:w="2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15</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Certificate</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NEITHER THE SECURITY REPRESENTED BY THIS CERTIFICATE NOR THE SECURITIES ISSUABLE UPON EXERCISE HEREOF HAVE BEEN REGISTERED UNDER THE SECURITIES ACT OF 1933, AS AMENDED (THE “ACT”), OR THE SECURITIES LAWS OF ANY JURISDICTION. THIS SECURITY AND THE SECURITIES ISSUABLE UPON ITS EXERCISE MAY NOT BE OFFERED, SOLD, TRANSFERRED, PLEDGED, ASSIGNED, ENCUMBERED, HYPOTHECATED OR OTHERWISE DISPOSED OF EXCEPT PURSUANT TO (I) A REGISTRATION STATEMENT WITH RESPECT TO SUCH SECURITIES THAT IS EFFECTIVE UNDER SUCH ACT OR APPLICABLE STATE SECURITIES LAW, OR (II) ANY EXEMPTION FROM REGISTRATION UNDER SUCH ACT, OR APPLICABLE STATE SECURITIES LAW, RELATING TO THE DISPOSITION OF SECURITIES, INCLUDING RULE 144, AND, IF REQUESTED BY THE COMPANY, AN OPINION OF COUNSEL REASONABLY SATISFACTORY TO THE COMPANY OPINING AS TO SUCH EXEMPTION.</w:t>
      </w:r>
    </w:p>
    <w:p>
      <w:pPr>
        <w:spacing w:after="0" w:line="145" w:lineRule="exact"/>
        <w:rPr>
          <w:sz w:val="20"/>
          <w:szCs w:val="20"/>
          <w:color w:val="auto"/>
        </w:rPr>
      </w:pPr>
    </w:p>
    <w:p>
      <w:pPr>
        <w:ind w:right="700"/>
        <w:spacing w:after="0" w:line="259" w:lineRule="auto"/>
        <w:rPr>
          <w:sz w:val="20"/>
          <w:szCs w:val="20"/>
          <w:color w:val="auto"/>
        </w:rPr>
      </w:pPr>
      <w:r>
        <w:rPr>
          <w:rFonts w:ascii="Arial" w:cs="Arial" w:eastAsia="Arial" w:hAnsi="Arial"/>
          <w:sz w:val="18"/>
          <w:szCs w:val="18"/>
          <w:color w:val="auto"/>
        </w:rPr>
        <w:t>THIS SECURITY IS SUBJECT TO THE PROVISIONS OF THE WARRANT AGREEMENT, DATED AS OF MARCH 26, 2007, BETWEEN THE COMPANY AND BAYER SCHERING PHARMA AG. A COPY OF SUCH WARRANT AGREEMENT IS AVAILABLE AT THE OFFICES OF THE COMPANY.</w:t>
      </w:r>
    </w:p>
    <w:p>
      <w:pPr>
        <w:spacing w:after="0" w:line="181" w:lineRule="exact"/>
        <w:rPr>
          <w:sz w:val="20"/>
          <w:szCs w:val="20"/>
          <w:color w:val="auto"/>
        </w:rPr>
      </w:pPr>
    </w:p>
    <w:p>
      <w:pPr>
        <w:spacing w:after="0"/>
        <w:tabs>
          <w:tab w:leader="none" w:pos="77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Exercise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-13970</wp:posOffset>
            </wp:positionV>
            <wp:extent cx="136588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6588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-13970</wp:posOffset>
            </wp:positionV>
            <wp:extent cx="136588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SYNDAX PHARMACEUTICALS,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 CERTIFICATE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THIS CERTIFIES that Bayer Schering Pharma AG or its registered assigns is the registered holder (the “</w:t>
      </w:r>
      <w:r>
        <w:rPr>
          <w:rFonts w:ascii="Arial" w:cs="Arial" w:eastAsia="Arial" w:hAnsi="Arial"/>
          <w:sz w:val="16"/>
          <w:szCs w:val="16"/>
          <w:u w:val="single" w:color="auto"/>
          <w:color w:val="auto"/>
        </w:rPr>
        <w:t>Registered Holder</w:t>
      </w:r>
      <w:r>
        <w:rPr>
          <w:rFonts w:ascii="Arial" w:cs="Arial" w:eastAsia="Arial" w:hAnsi="Arial"/>
          <w:sz w:val="16"/>
          <w:szCs w:val="16"/>
          <w:color w:val="auto"/>
        </w:rPr>
        <w:t>”) of a Warrant representing the right to purchase the number, as determined below, of fully paid and nonassessable shares of common stock, par value $0.0001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Syndax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a corporation organized under the laws of the State of Delaware at the Exercise Price at the times specified in the Warrant Agreement (as hereinafter defined), by surrendering this Warrant Certificate, with the form of Election to Purchase attached hereto duly executed together with the Investment Representation Statement annexed to the Warrant Agreement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by paying in full the Exercise Price for the number of shares of Common Stock equal to the Exercise Amount. Payment of the Exercise Price shall be made as set forth in the Warrant Agreement. Upon initial issuance this Warrant Certificate represents the right to acquire, upon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80" w:right="239" w:bottom="1440" w:gutter="0" w:footer="0" w:header="0"/>
        </w:sectPr>
      </w:pPr>
    </w:p>
    <w:bookmarkStart w:id="370" w:name="page371"/>
    <w:bookmarkEnd w:id="3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in full, such number of shares of Common Stock as is issuable upon an exercise of the Warrant as to the Exercise Percentage specified herein.</w:t>
      </w:r>
      <w:r>
        <w:rPr>
          <w:rFonts w:ascii="Arial" w:cs="Arial" w:eastAsia="Arial" w:hAnsi="Arial"/>
          <w:sz w:val="10"/>
          <w:szCs w:val="10"/>
          <w:color w:val="auto"/>
        </w:rPr>
        <w:t>1</w:t>
      </w:r>
    </w:p>
    <w:p>
      <w:pPr>
        <w:spacing w:after="0" w:line="194"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No Warrant may be exercised after the Expiration Date. The Warrant evidenced hereby shall thereafter become void, subject to the terms of the Warrant Agreement.</w:t>
      </w:r>
    </w:p>
    <w:p>
      <w:pPr>
        <w:spacing w:after="0" w:line="1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Prior to the Expiration Date, subject to Section 3.05 of the Warrant Agreement and any applicable laws, rules or regulations restricting transferability and to any restriction on transferability that may appear on this Warrant Certificate and in accordance with the terms of the Warrant Agreement, the Registered Holder shall be entitled to transfer this Warrant Certificate, in whole or in part, upon surrender of this Warrant Certificate at the principal office of the Company with the form of assignment set forth hereon duly executed;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for transfers made to a Person other than an Affiliate, written notice is given to the Company at least 10 Business Days before the transfer and the transferor shall provide, at the Company’s request, an opinion of counsel reasonably satisfactory to the Company that such transfer does not require registration under the Securities Act, (ii) the transfer shall be for a portion of this Warrant Certificate not less than the Minimum Exercise Threshold, (iii) the Holder shall provide written notice to the Company of any transfer to an Affiliate within 10 Business Days after the transfer, and (iv) the transferee shall agree to be bound by the terms of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for purposes of this proviso, Affiliate shall not include any Person which is an individual. Written notice given under this paragraph shall include without limitation the name of the transferee, the Exercise Percentage transferred to such transferee, the date of the transfer and the transferee’s address for notice purposes. Upon any such transfer, a new Warrant Certificate or Warrant Certificates will be issued to (x) the transferee representing a Warrant for the Exercise Percentage specified in the foregoing written notice in accordance with instructions in the form of assignment and (y) the transferor representing a Warrant for the remaining Exercise Percentage not transferred, if any.</w:t>
      </w:r>
    </w:p>
    <w:p>
      <w:pPr>
        <w:spacing w:after="0" w:line="34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Upon the exercise of a Warrant for less than all of the Exercise Percentage evidenced by this Warrant Certificate, there shall be issued to the Registered Holder a new Warrant Certificate in respect of the portion of the Exercise Percentage not exercised.</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Prior to the Expiration Date, the Registered Holder shall be entitled to exchange this Warrant Certificate, with or without other Warrant Certificates, for another Warrant Certificate or Warrant Certificates for a Warrant or Warrants for the same aggregate Exercise Percentage upon surrender of this Warrant Certificate at the principal office of the Company, subject to the terms of the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220" w:right="180" w:hanging="212"/>
        <w:spacing w:after="0" w:line="243" w:lineRule="auto"/>
        <w:tabs>
          <w:tab w:leader="none" w:pos="220" w:val="left"/>
        </w:tabs>
        <w:numPr>
          <w:ilvl w:val="0"/>
          <w:numId w:val="192"/>
        </w:numPr>
        <w:rPr>
          <w:rFonts w:ascii="Arial" w:cs="Arial" w:eastAsia="Arial" w:hAnsi="Arial"/>
          <w:sz w:val="22"/>
          <w:szCs w:val="22"/>
          <w:color w:val="auto"/>
          <w:vertAlign w:val="superscript"/>
        </w:rPr>
      </w:pPr>
      <w:r>
        <w:rPr>
          <w:rFonts w:ascii="Arial" w:cs="Arial" w:eastAsia="Arial" w:hAnsi="Arial"/>
          <w:sz w:val="18"/>
          <w:szCs w:val="18"/>
          <w:color w:val="auto"/>
        </w:rPr>
        <w:t>(i) In the case of a Warrant Certificate issued after a partial exercise, replace the Exercise Percentage specified herein with the amount equal to the Exercise Percentage specified herein minus the Exercise Percentage being exercised; (ii) in the case of Warrant Certificates issued on transfer, (x) use the transferred Exercise Percentage for the transferee and (y) replace the Exercise Percentage specified herein with the remaining Exercise Percentage for the transferor and (iii) in the case of Warrant Certificates issued after a transfer and a subsequent partial exercise, replace the Exercise Percentage specified herein with the Exercise Percentage of the Warrant Certificate immediately after the transfer reduced by the percentage of the Exercise Percentage exercised in the partial exercise.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9" w:right="259" w:bottom="1440" w:gutter="0" w:footer="0" w:header="0"/>
        </w:sectPr>
      </w:pPr>
    </w:p>
    <w:bookmarkStart w:id="371" w:name="page372"/>
    <w:bookmarkEnd w:id="371"/>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certain events provided for in the Warrant Agreement, the Exercise Price and the shares of Common Stock issuable upon the exercise of each Warrant shall be adjusted as provided in the Warrant Agreement.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Warrant Certificate is issued under and in accordance with the Warrant Agreement dated as of March 26, 2007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 between the Company and Bayer Schering Pharma AG and is subject to the terms and provisions contained in the Warrant Agreement. All capitalized terms not defined herein shall have the meanings given such terms as set forth in the Warrant Agreement.</w:t>
      </w:r>
    </w:p>
    <w:p>
      <w:pPr>
        <w:spacing w:after="0" w:line="14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This Warrant Certificate shall not entitle the Registered Holder to any of the rights of a stockholder of the Company, including, without limitation, the right to vote, to receive dividends and other distributions, or to attend or receive any notice of meetings of stockholders or any other proceedings of the Company.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Warrant Certificate to be duly executed as of the date set forth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-13970</wp:posOffset>
            </wp:positionV>
            <wp:extent cx="55753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9" w:right="259" w:bottom="1440" w:gutter="0" w:footer="0" w:header="0"/>
        </w:sectPr>
      </w:pPr>
    </w:p>
    <w:bookmarkStart w:id="372" w:name="page373"/>
    <w:bookmarkEnd w:id="37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Assignment]</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VALUE RECEIVED, the undersigned hereby irrevocably sells, assigns and transfers unto the Assignee named below all of the rights of the undersigned represented by the within Warrant Certificate, with respect to the number of Warrant Shares issuable upon exercise of the Warrant for the Exercise Percentage set forth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spacing w:after="0"/>
              <w:rPr>
                <w:sz w:val="20"/>
                <w:szCs w:val="20"/>
                <w:color w:val="auto"/>
              </w:rPr>
            </w:pPr>
            <w:r>
              <w:rPr>
                <w:rFonts w:ascii="Arial" w:cs="Arial" w:eastAsia="Arial" w:hAnsi="Arial"/>
                <w:sz w:val="18"/>
                <w:szCs w:val="18"/>
                <w:color w:val="auto"/>
              </w:rPr>
              <w:t>Name of Assignee</w:t>
            </w:r>
          </w:p>
        </w:tc>
        <w:tc>
          <w:tcPr>
            <w:tcW w:w="2660" w:type="dxa"/>
            <w:vAlign w:val="bottom"/>
            <w:gridSpan w:val="2"/>
          </w:tcPr>
          <w:p>
            <w:pPr>
              <w:ind w:left="480"/>
              <w:spacing w:after="0"/>
              <w:rPr>
                <w:sz w:val="20"/>
                <w:szCs w:val="20"/>
                <w:color w:val="auto"/>
              </w:rPr>
            </w:pPr>
            <w:r>
              <w:rPr>
                <w:rFonts w:ascii="Arial" w:cs="Arial" w:eastAsia="Arial" w:hAnsi="Arial"/>
                <w:sz w:val="18"/>
                <w:szCs w:val="18"/>
                <w:color w:val="auto"/>
              </w:rPr>
              <w:t>Address</w:t>
            </w:r>
          </w:p>
        </w:tc>
        <w:tc>
          <w:tcPr>
            <w:tcW w:w="4960" w:type="dxa"/>
            <w:vAlign w:val="bottom"/>
          </w:tcPr>
          <w:p>
            <w:pPr>
              <w:ind w:left="1600"/>
              <w:spacing w:after="0"/>
              <w:rPr>
                <w:sz w:val="20"/>
                <w:szCs w:val="20"/>
                <w:color w:val="auto"/>
              </w:rPr>
            </w:pPr>
            <w:r>
              <w:rPr>
                <w:rFonts w:ascii="Arial" w:cs="Arial" w:eastAsia="Arial" w:hAnsi="Arial"/>
                <w:sz w:val="18"/>
                <w:szCs w:val="18"/>
                <w:color w:val="auto"/>
              </w:rPr>
              <w:t>Exercise Percentage</w:t>
            </w:r>
          </w:p>
        </w:tc>
      </w:tr>
      <w:tr>
        <w:trPr>
          <w:trHeight w:val="340"/>
        </w:trPr>
        <w:tc>
          <w:tcPr>
            <w:tcW w:w="3640" w:type="dxa"/>
            <w:vAlign w:val="bottom"/>
          </w:tcPr>
          <w:p>
            <w:pPr>
              <w:spacing w:after="0"/>
              <w:rPr>
                <w:sz w:val="20"/>
                <w:szCs w:val="20"/>
                <w:color w:val="auto"/>
              </w:rPr>
            </w:pPr>
            <w:r>
              <w:rPr>
                <w:rFonts w:ascii="Arial" w:cs="Arial" w:eastAsia="Arial" w:hAnsi="Arial"/>
                <w:sz w:val="18"/>
                <w:szCs w:val="18"/>
                <w:color w:val="auto"/>
                <w:w w:val="88"/>
              </w:rPr>
              <w:t>and does hereby irrevocably constitute and appoint</w:t>
            </w:r>
          </w:p>
        </w:tc>
        <w:tc>
          <w:tcPr>
            <w:tcW w:w="860" w:type="dxa"/>
            <w:vAlign w:val="bottom"/>
            <w:tcBorders>
              <w:bottom w:val="single" w:sz="8" w:color="auto"/>
            </w:tcBorders>
          </w:tcPr>
          <w:p>
            <w:pPr>
              <w:spacing w:after="0"/>
              <w:rPr>
                <w:sz w:val="24"/>
                <w:szCs w:val="24"/>
                <w:color w:val="auto"/>
              </w:rPr>
            </w:pPr>
          </w:p>
        </w:tc>
        <w:tc>
          <w:tcPr>
            <w:tcW w:w="6760" w:type="dxa"/>
            <w:vAlign w:val="bottom"/>
            <w:gridSpan w:val="2"/>
          </w:tcPr>
          <w:p>
            <w:pPr>
              <w:ind w:left="60"/>
              <w:spacing w:after="0"/>
              <w:rPr>
                <w:sz w:val="20"/>
                <w:szCs w:val="20"/>
                <w:color w:val="auto"/>
              </w:rPr>
            </w:pPr>
            <w:r>
              <w:rPr>
                <w:rFonts w:ascii="Arial" w:cs="Arial" w:eastAsia="Arial" w:hAnsi="Arial"/>
                <w:sz w:val="18"/>
                <w:szCs w:val="18"/>
                <w:color w:val="auto"/>
                <w:w w:val="88"/>
              </w:rPr>
              <w:t xml:space="preserve">true and lawful Attorney, to make such transfer on the books of </w:t>
            </w:r>
            <w:r>
              <w:rPr>
                <w:rFonts w:ascii="Arial" w:cs="Arial" w:eastAsia="Arial" w:hAnsi="Arial"/>
                <w:sz w:val="18"/>
                <w:szCs w:val="18"/>
                <w:b w:val="1"/>
                <w:bCs w:val="1"/>
                <w:color w:val="auto"/>
                <w:w w:val="88"/>
              </w:rPr>
              <w:t>Syndax Pharmaceuticals, Inc.</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maintained for that purpose, with full power of substitution in the premises.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156845</wp:posOffset>
            </wp:positionV>
            <wp:extent cx="28987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4622165</wp:posOffset>
            </wp:positionH>
            <wp:positionV relativeFrom="paragraph">
              <wp:posOffset>-13970</wp:posOffset>
            </wp:positionV>
            <wp:extent cx="5575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(Signature must conform in all respects to name of holder as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specified on the face of the Warrant Certificate.)</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20"/>
          </w:cols>
          <w:pgMar w:left="240" w:top="280" w:right="339" w:bottom="1440" w:gutter="0" w:footer="0" w:header="0"/>
        </w:sectPr>
      </w:pPr>
    </w:p>
    <w:bookmarkStart w:id="373" w:name="page374"/>
    <w:bookmarkEnd w:id="37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Election To Purchase]</w:t>
      </w:r>
    </w:p>
    <w:p>
      <w:pPr>
        <w:spacing w:after="0" w:line="171" w:lineRule="exact"/>
        <w:rPr>
          <w:sz w:val="20"/>
          <w:szCs w:val="20"/>
          <w:color w:val="auto"/>
        </w:rPr>
      </w:pPr>
    </w:p>
    <w:p>
      <w:pPr>
        <w:jc w:val="center"/>
        <w:ind w:right="80"/>
        <w:spacing w:after="0"/>
        <w:tabs>
          <w:tab w:leader="none" w:pos="200" w:val="left"/>
        </w:tabs>
        <w:rPr>
          <w:sz w:val="20"/>
          <w:szCs w:val="20"/>
          <w:color w:val="auto"/>
        </w:rPr>
      </w:pPr>
      <w:r>
        <w:rPr>
          <w:rFonts w:ascii="Arial" w:cs="Arial" w:eastAsia="Arial" w:hAnsi="Arial"/>
          <w:sz w:val="18"/>
          <w:szCs w:val="18"/>
          <w:color w:val="auto"/>
        </w:rPr>
        <w:t>The undersigned hereby irrevocably elects to exercise the Warrant represented by this Warrant Certificate as to an Exercise Percentage of</w:t>
      </w:r>
      <w:r>
        <w:rPr>
          <w:sz w:val="20"/>
          <w:szCs w:val="20"/>
          <w:color w:val="auto"/>
        </w:rPr>
        <w:tab/>
      </w:r>
      <w:r>
        <w:rPr>
          <w:rFonts w:ascii="Arial" w:cs="Arial" w:eastAsia="Arial" w:hAnsi="Arial"/>
          <w:sz w:val="15"/>
          <w:szCs w:val="15"/>
          <w:color w:val="auto"/>
        </w:rPr>
        <w:t>%</w:t>
      </w:r>
      <w:r>
        <w:rPr>
          <w:rFonts w:ascii="Arial" w:cs="Arial" w:eastAsia="Arial" w:hAnsi="Arial"/>
          <w:sz w:val="10"/>
          <w:szCs w:val="10"/>
          <w:color w:val="auto"/>
        </w:rPr>
        <w:t>2</w:t>
      </w:r>
      <w:r>
        <w:rPr>
          <w:rFonts w:ascii="Arial" w:cs="Arial" w:eastAsia="Arial" w:hAnsi="Arial"/>
          <w:sz w:val="15"/>
          <w:szCs w:val="15"/>
          <w:color w:val="auto"/>
        </w:rPr>
        <w:t>, which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6153150</wp:posOffset>
            </wp:positionH>
            <wp:positionV relativeFrom="paragraph">
              <wp:posOffset>-13970</wp:posOffset>
            </wp:positionV>
            <wp:extent cx="1117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3"/>
        </w:trPr>
        <w:tc>
          <w:tcPr>
            <w:tcW w:w="1680" w:type="dxa"/>
            <w:vAlign w:val="bottom"/>
            <w:gridSpan w:val="4"/>
          </w:tcPr>
          <w:p>
            <w:pPr>
              <w:spacing w:after="0" w:line="193" w:lineRule="exact"/>
              <w:rPr>
                <w:sz w:val="20"/>
                <w:szCs w:val="20"/>
                <w:color w:val="auto"/>
              </w:rPr>
            </w:pPr>
            <w:r>
              <w:rPr>
                <w:rFonts w:ascii="Arial" w:cs="Arial" w:eastAsia="Arial" w:hAnsi="Arial"/>
                <w:sz w:val="18"/>
                <w:szCs w:val="18"/>
                <w:color w:val="auto"/>
                <w:w w:val="91"/>
              </w:rPr>
              <w:t>an Exercise Amount of</w:t>
            </w:r>
          </w:p>
        </w:tc>
        <w:tc>
          <w:tcPr>
            <w:tcW w:w="880" w:type="dxa"/>
            <w:vAlign w:val="bottom"/>
            <w:tcBorders>
              <w:bottom w:val="single" w:sz="8" w:color="auto"/>
            </w:tcBorders>
          </w:tcPr>
          <w:p>
            <w:pPr>
              <w:spacing w:after="0"/>
              <w:rPr>
                <w:sz w:val="16"/>
                <w:szCs w:val="16"/>
                <w:color w:val="auto"/>
              </w:rPr>
            </w:pPr>
          </w:p>
        </w:tc>
        <w:tc>
          <w:tcPr>
            <w:tcW w:w="8860" w:type="dxa"/>
            <w:vAlign w:val="bottom"/>
            <w:gridSpan w:val="5"/>
          </w:tcPr>
          <w:p>
            <w:pPr>
              <w:spacing w:after="0" w:line="194" w:lineRule="exact"/>
              <w:rPr>
                <w:sz w:val="20"/>
                <w:szCs w:val="20"/>
                <w:color w:val="auto"/>
              </w:rPr>
            </w:pPr>
            <w:r>
              <w:rPr>
                <w:rFonts w:ascii="Arial" w:cs="Arial" w:eastAsia="Arial" w:hAnsi="Arial"/>
                <w:sz w:val="11"/>
                <w:szCs w:val="11"/>
                <w:color w:val="auto"/>
                <w:w w:val="95"/>
              </w:rPr>
              <w:t xml:space="preserve">3 </w:t>
            </w:r>
            <w:r>
              <w:rPr>
                <w:rFonts w:ascii="Arial" w:cs="Arial" w:eastAsia="Arial" w:hAnsi="Arial"/>
                <w:sz w:val="17"/>
                <w:szCs w:val="17"/>
                <w:color w:val="auto"/>
                <w:w w:val="95"/>
              </w:rPr>
              <w:t>shares of Common Stock of</w:t>
            </w:r>
            <w:r>
              <w:rPr>
                <w:rFonts w:ascii="Arial" w:cs="Arial" w:eastAsia="Arial" w:hAnsi="Arial"/>
                <w:sz w:val="11"/>
                <w:szCs w:val="11"/>
                <w:color w:val="auto"/>
                <w:w w:val="95"/>
              </w:rPr>
              <w:t xml:space="preserve"> </w:t>
            </w:r>
            <w:r>
              <w:rPr>
                <w:rFonts w:ascii="Arial" w:cs="Arial" w:eastAsia="Arial" w:hAnsi="Arial"/>
                <w:sz w:val="17"/>
                <w:szCs w:val="17"/>
                <w:b w:val="1"/>
                <w:bCs w:val="1"/>
                <w:color w:val="auto"/>
                <w:w w:val="95"/>
              </w:rPr>
              <w:t>Syndax Pharmaceuticals, Inc.</w:t>
            </w:r>
            <w:r>
              <w:rPr>
                <w:rFonts w:ascii="Arial" w:cs="Arial" w:eastAsia="Arial" w:hAnsi="Arial"/>
                <w:sz w:val="11"/>
                <w:szCs w:val="11"/>
                <w:color w:val="auto"/>
                <w:w w:val="95"/>
              </w:rPr>
              <w:t xml:space="preserve"> </w:t>
            </w:r>
            <w:r>
              <w:rPr>
                <w:rFonts w:ascii="Arial" w:cs="Arial" w:eastAsia="Arial" w:hAnsi="Arial"/>
                <w:sz w:val="17"/>
                <w:szCs w:val="17"/>
                <w:color w:val="auto"/>
                <w:w w:val="95"/>
              </w:rPr>
              <w:t>(the “Company”), based on the number of shares of Common</w:t>
            </w:r>
          </w:p>
        </w:tc>
      </w:tr>
      <w:tr>
        <w:trPr>
          <w:trHeight w:val="196"/>
        </w:trPr>
        <w:tc>
          <w:tcPr>
            <w:tcW w:w="3680" w:type="dxa"/>
            <w:vAlign w:val="bottom"/>
            <w:gridSpan w:val="7"/>
          </w:tcPr>
          <w:p>
            <w:pPr>
              <w:spacing w:after="0" w:line="196" w:lineRule="exact"/>
              <w:rPr>
                <w:sz w:val="20"/>
                <w:szCs w:val="20"/>
                <w:color w:val="auto"/>
              </w:rPr>
            </w:pPr>
            <w:r>
              <w:rPr>
                <w:rFonts w:ascii="Arial" w:cs="Arial" w:eastAsia="Arial" w:hAnsi="Arial"/>
                <w:sz w:val="18"/>
                <w:szCs w:val="18"/>
                <w:color w:val="auto"/>
                <w:w w:val="90"/>
              </w:rPr>
              <w:t>Stock outstanding on a Fully Diluted Basis equal to</w:t>
            </w: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880" w:type="dxa"/>
            <w:vAlign w:val="bottom"/>
          </w:tcPr>
          <w:p>
            <w:pPr>
              <w:spacing w:after="0"/>
              <w:rPr>
                <w:sz w:val="20"/>
                <w:szCs w:val="20"/>
                <w:color w:val="auto"/>
              </w:rPr>
            </w:pPr>
            <w:r>
              <w:rPr>
                <w:rFonts w:ascii="Arial" w:cs="Arial" w:eastAsia="Arial" w:hAnsi="Arial"/>
                <w:sz w:val="11"/>
                <w:szCs w:val="11"/>
                <w:color w:val="auto"/>
              </w:rPr>
              <w:t xml:space="preserve">4 </w:t>
            </w:r>
            <w:r>
              <w:rPr>
                <w:rFonts w:ascii="Arial" w:cs="Arial" w:eastAsia="Arial" w:hAnsi="Arial"/>
                <w:sz w:val="17"/>
                <w:szCs w:val="17"/>
                <w:color w:val="auto"/>
              </w:rPr>
              <w:t>shares, and requests that certificates for such shares be issued and delivered as follows:</w:t>
            </w:r>
          </w:p>
        </w:tc>
      </w:tr>
      <w:tr>
        <w:trPr>
          <w:trHeight w:val="438"/>
        </w:trPr>
        <w:tc>
          <w:tcPr>
            <w:tcW w:w="2560" w:type="dxa"/>
            <w:vAlign w:val="bottom"/>
            <w:gridSpan w:val="5"/>
          </w:tcPr>
          <w:p>
            <w:pPr>
              <w:spacing w:after="0"/>
              <w:rPr>
                <w:sz w:val="20"/>
                <w:szCs w:val="20"/>
                <w:color w:val="auto"/>
              </w:rPr>
            </w:pPr>
            <w:r>
              <w:rPr>
                <w:rFonts w:ascii="Arial" w:cs="Arial" w:eastAsia="Arial" w:hAnsi="Arial"/>
                <w:sz w:val="18"/>
                <w:szCs w:val="18"/>
                <w:color w:val="auto"/>
              </w:rPr>
              <w:t>ISSUE TO:</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17"/>
        </w:trPr>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880" w:type="dxa"/>
            <w:vAlign w:val="bottom"/>
            <w:tcBorders>
              <w:top w:val="single" w:sz="8" w:color="auto"/>
            </w:tcBorders>
          </w:tcPr>
          <w:p>
            <w:pPr>
              <w:jc w:val="center"/>
              <w:ind w:right="4443"/>
              <w:spacing w:after="0"/>
              <w:rPr>
                <w:sz w:val="20"/>
                <w:szCs w:val="20"/>
                <w:color w:val="auto"/>
              </w:rPr>
            </w:pPr>
            <w:r>
              <w:rPr>
                <w:rFonts w:ascii="Arial" w:cs="Arial" w:eastAsia="Arial" w:hAnsi="Arial"/>
                <w:sz w:val="18"/>
                <w:szCs w:val="18"/>
                <w:color w:val="auto"/>
                <w:w w:val="99"/>
              </w:rPr>
              <w:t>(NAME)</w:t>
            </w:r>
          </w:p>
        </w:tc>
      </w:tr>
      <w:tr>
        <w:trPr>
          <w:trHeight w:val="223"/>
        </w:trPr>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40" w:type="dxa"/>
            <w:vAlign w:val="bottom"/>
            <w:gridSpan w:val="2"/>
          </w:tcPr>
          <w:p>
            <w:pPr>
              <w:jc w:val="center"/>
              <w:ind w:right="3703"/>
              <w:spacing w:after="0"/>
              <w:rPr>
                <w:sz w:val="20"/>
                <w:szCs w:val="20"/>
                <w:color w:val="auto"/>
              </w:rPr>
            </w:pPr>
            <w:r>
              <w:rPr>
                <w:rFonts w:ascii="Arial" w:cs="Arial" w:eastAsia="Arial" w:hAnsi="Arial"/>
                <w:sz w:val="18"/>
                <w:szCs w:val="18"/>
                <w:color w:val="auto"/>
                <w:w w:val="94"/>
              </w:rPr>
              <w:t>(ADDRESS, INCLUDING ZIP CODE)</w:t>
            </w:r>
          </w:p>
        </w:tc>
      </w:tr>
      <w:tr>
        <w:trPr>
          <w:trHeight w:val="223"/>
        </w:trPr>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520" w:type="dxa"/>
            <w:vAlign w:val="bottom"/>
            <w:gridSpan w:val="4"/>
          </w:tcPr>
          <w:p>
            <w:pPr>
              <w:jc w:val="center"/>
              <w:ind w:right="2803"/>
              <w:spacing w:after="0"/>
              <w:rPr>
                <w:sz w:val="20"/>
                <w:szCs w:val="20"/>
                <w:color w:val="auto"/>
              </w:rPr>
            </w:pPr>
            <w:r>
              <w:rPr>
                <w:rFonts w:ascii="Arial" w:cs="Arial" w:eastAsia="Arial" w:hAnsi="Arial"/>
                <w:sz w:val="18"/>
                <w:szCs w:val="18"/>
                <w:color w:val="auto"/>
                <w:w w:val="95"/>
              </w:rPr>
              <w:t>(SOCIAL SECURITY OR OTHER IDENTIFICATION NUMBER)</w:t>
            </w:r>
          </w:p>
        </w:tc>
      </w:tr>
      <w:tr>
        <w:trPr>
          <w:trHeight w:val="425"/>
        </w:trPr>
        <w:tc>
          <w:tcPr>
            <w:tcW w:w="2560" w:type="dxa"/>
            <w:vAlign w:val="bottom"/>
            <w:gridSpan w:val="5"/>
          </w:tcPr>
          <w:p>
            <w:pPr>
              <w:spacing w:after="0"/>
              <w:rPr>
                <w:sz w:val="20"/>
                <w:szCs w:val="20"/>
                <w:color w:val="auto"/>
              </w:rPr>
            </w:pPr>
            <w:r>
              <w:rPr>
                <w:rFonts w:ascii="Arial" w:cs="Arial" w:eastAsia="Arial" w:hAnsi="Arial"/>
                <w:sz w:val="18"/>
                <w:szCs w:val="18"/>
                <w:color w:val="auto"/>
              </w:rPr>
              <w:t>DELIVER TO:</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17"/>
        </w:trPr>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880" w:type="dxa"/>
            <w:vAlign w:val="bottom"/>
            <w:tcBorders>
              <w:top w:val="single" w:sz="8" w:color="auto"/>
            </w:tcBorders>
          </w:tcPr>
          <w:p>
            <w:pPr>
              <w:jc w:val="center"/>
              <w:ind w:right="4443"/>
              <w:spacing w:after="0"/>
              <w:rPr>
                <w:sz w:val="20"/>
                <w:szCs w:val="20"/>
                <w:color w:val="auto"/>
              </w:rPr>
            </w:pPr>
            <w:r>
              <w:rPr>
                <w:rFonts w:ascii="Arial" w:cs="Arial" w:eastAsia="Arial" w:hAnsi="Arial"/>
                <w:sz w:val="18"/>
                <w:szCs w:val="18"/>
                <w:color w:val="auto"/>
                <w:w w:val="99"/>
              </w:rPr>
              <w:t>(NAME)</w:t>
            </w:r>
          </w:p>
        </w:tc>
      </w:tr>
      <w:tr>
        <w:trPr>
          <w:trHeight w:val="411"/>
        </w:trPr>
        <w:tc>
          <w:tcPr>
            <w:tcW w:w="2560" w:type="dxa"/>
            <w:vAlign w:val="bottom"/>
            <w:gridSpan w:val="5"/>
          </w:tcPr>
          <w:p>
            <w:pPr>
              <w:spacing w:after="0"/>
              <w:rPr>
                <w:sz w:val="20"/>
                <w:szCs w:val="20"/>
                <w:color w:val="auto"/>
              </w:rPr>
            </w:pPr>
            <w:r>
              <w:rPr>
                <w:rFonts w:ascii="Arial" w:cs="Arial" w:eastAsia="Arial" w:hAnsi="Arial"/>
                <w:sz w:val="18"/>
                <w:szCs w:val="18"/>
                <w:color w:val="auto"/>
              </w:rPr>
              <w:t>at</w:t>
            </w: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17"/>
        </w:trPr>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40" w:type="dxa"/>
            <w:vAlign w:val="bottom"/>
            <w:tcBorders>
              <w:top w:val="single" w:sz="8" w:color="auto"/>
            </w:tcBorders>
            <w:gridSpan w:val="2"/>
          </w:tcPr>
          <w:p>
            <w:pPr>
              <w:jc w:val="center"/>
              <w:ind w:right="3703"/>
              <w:spacing w:after="0"/>
              <w:rPr>
                <w:sz w:val="20"/>
                <w:szCs w:val="20"/>
                <w:color w:val="auto"/>
              </w:rPr>
            </w:pPr>
            <w:r>
              <w:rPr>
                <w:rFonts w:ascii="Arial" w:cs="Arial" w:eastAsia="Arial" w:hAnsi="Arial"/>
                <w:sz w:val="18"/>
                <w:szCs w:val="18"/>
                <w:color w:val="auto"/>
                <w:w w:val="94"/>
              </w:rPr>
              <w:t>(ADDRESS, INCLUDING ZIP CODE)</w:t>
            </w:r>
          </w:p>
        </w:tc>
      </w:tr>
      <w:tr>
        <w:trPr>
          <w:trHeight w:val="356"/>
        </w:trPr>
        <w:tc>
          <w:tcPr>
            <w:tcW w:w="11420" w:type="dxa"/>
            <w:vAlign w:val="bottom"/>
            <w:gridSpan w:val="10"/>
          </w:tcPr>
          <w:p>
            <w:pPr>
              <w:spacing w:after="0"/>
              <w:rPr>
                <w:sz w:val="20"/>
                <w:szCs w:val="20"/>
                <w:color w:val="auto"/>
              </w:rPr>
            </w:pPr>
            <w:r>
              <w:rPr>
                <w:rFonts w:ascii="Arial" w:cs="Arial" w:eastAsia="Arial" w:hAnsi="Arial"/>
                <w:sz w:val="18"/>
                <w:szCs w:val="18"/>
                <w:color w:val="auto"/>
              </w:rPr>
              <w:t>In full payment of the purchase price with respect to the exercise of Warrants, the undersigned:</w:t>
            </w:r>
          </w:p>
        </w:tc>
      </w:tr>
      <w:tr>
        <w:trPr>
          <w:trHeight w:val="259"/>
        </w:trPr>
        <w:tc>
          <w:tcPr>
            <w:tcW w:w="180" w:type="dxa"/>
            <w:vAlign w:val="bottom"/>
          </w:tcPr>
          <w:p>
            <w:pPr>
              <w:spacing w:after="0"/>
              <w:rPr>
                <w:sz w:val="22"/>
                <w:szCs w:val="22"/>
                <w:color w:val="auto"/>
              </w:rPr>
            </w:pPr>
          </w:p>
        </w:tc>
        <w:tc>
          <w:tcPr>
            <w:tcW w:w="3500" w:type="dxa"/>
            <w:vAlign w:val="bottom"/>
            <w:gridSpan w:val="6"/>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hereby tenders payment of $</w:t>
            </w:r>
          </w:p>
        </w:tc>
        <w:tc>
          <w:tcPr>
            <w:tcW w:w="100" w:type="dxa"/>
            <w:vAlign w:val="bottom"/>
          </w:tcPr>
          <w:p>
            <w:pPr>
              <w:spacing w:after="0"/>
              <w:rPr>
                <w:sz w:val="22"/>
                <w:szCs w:val="22"/>
                <w:color w:val="auto"/>
              </w:rPr>
            </w:pPr>
          </w:p>
        </w:tc>
        <w:tc>
          <w:tcPr>
            <w:tcW w:w="7640" w:type="dxa"/>
            <w:vAlign w:val="bottom"/>
            <w:gridSpan w:val="2"/>
          </w:tcPr>
          <w:p>
            <w:pPr>
              <w:ind w:left="40"/>
              <w:spacing w:after="0"/>
              <w:rPr>
                <w:sz w:val="20"/>
                <w:szCs w:val="20"/>
                <w:color w:val="auto"/>
              </w:rPr>
            </w:pPr>
            <w:r>
              <w:rPr>
                <w:rFonts w:ascii="Arial" w:cs="Arial" w:eastAsia="Arial" w:hAnsi="Arial"/>
                <w:sz w:val="18"/>
                <w:szCs w:val="18"/>
                <w:color w:val="auto"/>
                <w:w w:val="90"/>
              </w:rPr>
              <w:t>by cash, certified check, cashier’s check or money order payable in United States currency to the order of</w:t>
            </w:r>
          </w:p>
        </w:tc>
      </w:tr>
      <w:tr>
        <w:trPr>
          <w:trHeight w:val="235"/>
        </w:trPr>
        <w:tc>
          <w:tcPr>
            <w:tcW w:w="180" w:type="dxa"/>
            <w:vAlign w:val="bottom"/>
          </w:tcPr>
          <w:p>
            <w:pPr>
              <w:spacing w:after="0"/>
              <w:rPr>
                <w:sz w:val="20"/>
                <w:szCs w:val="20"/>
                <w:color w:val="auto"/>
              </w:rPr>
            </w:pPr>
          </w:p>
        </w:tc>
        <w:tc>
          <w:tcPr>
            <w:tcW w:w="2380" w:type="dxa"/>
            <w:vAlign w:val="bottom"/>
            <w:gridSpan w:val="4"/>
          </w:tcPr>
          <w:p>
            <w:pPr>
              <w:ind w:left="720"/>
              <w:spacing w:after="0"/>
              <w:rPr>
                <w:sz w:val="20"/>
                <w:szCs w:val="20"/>
                <w:color w:val="auto"/>
              </w:rPr>
            </w:pPr>
            <w:r>
              <w:rPr>
                <w:rFonts w:ascii="Arial" w:cs="Arial" w:eastAsia="Arial" w:hAnsi="Arial"/>
                <w:sz w:val="18"/>
                <w:szCs w:val="18"/>
                <w:color w:val="auto"/>
              </w:rPr>
              <w:t>the Company; or</w:t>
            </w:r>
          </w:p>
        </w:tc>
        <w:tc>
          <w:tcPr>
            <w:tcW w:w="3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6880" w:type="dxa"/>
            <w:vAlign w:val="bottom"/>
          </w:tcPr>
          <w:p>
            <w:pPr>
              <w:spacing w:after="0"/>
              <w:rPr>
                <w:sz w:val="20"/>
                <w:szCs w:val="20"/>
                <w:color w:val="auto"/>
              </w:rPr>
            </w:pPr>
          </w:p>
        </w:tc>
      </w:tr>
    </w:tbl>
    <w:p>
      <w:pPr>
        <w:spacing w:after="0" w:line="75" w:lineRule="exact"/>
        <w:rPr>
          <w:sz w:val="20"/>
          <w:szCs w:val="20"/>
          <w:color w:val="auto"/>
        </w:rPr>
      </w:pP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ind w:left="446" w:right="140" w:hanging="446"/>
        <w:spacing w:after="0" w:line="256" w:lineRule="auto"/>
        <w:tabs>
          <w:tab w:leader="none" w:pos="446" w:val="left"/>
        </w:tabs>
        <w:numPr>
          <w:ilvl w:val="0"/>
          <w:numId w:val="193"/>
        </w:numPr>
        <w:rPr>
          <w:rFonts w:ascii="MS PGothic" w:cs="MS PGothic" w:eastAsia="MS PGothic" w:hAnsi="MS PGothic"/>
          <w:sz w:val="18"/>
          <w:szCs w:val="18"/>
          <w:color w:val="auto"/>
        </w:rPr>
      </w:pPr>
      <w:r>
        <w:rPr>
          <w:rFonts w:ascii="Arial" w:cs="Arial" w:eastAsia="Arial" w:hAnsi="Arial"/>
          <w:sz w:val="18"/>
          <w:szCs w:val="18"/>
          <w:color w:val="auto"/>
        </w:rPr>
        <w:t>hereby delivers to the Company for cancellation the portion of the Warrant representing that number of Warrant Shares otherwise issuable to the holder, such that the excess of the aggregate current Fair Market Value of such specified number of Warrant Shares on the Date of Exercise over the portion of the Exercise Price attributable to such specified number of Warrant Shares shall equal the aggregate Exercise Price attributable to the Warrant Shares being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62230</wp:posOffset>
            </wp:positionV>
            <wp:extent cx="7289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6"/>
        <w:spacing w:after="0"/>
        <w:rPr>
          <w:sz w:val="20"/>
          <w:szCs w:val="20"/>
          <w:color w:val="auto"/>
        </w:rPr>
      </w:pPr>
      <w:r>
        <w:rPr>
          <w:rFonts w:ascii="Arial" w:cs="Arial" w:eastAsia="Arial" w:hAnsi="Arial"/>
          <w:sz w:val="18"/>
          <w:szCs w:val="18"/>
          <w:color w:val="auto"/>
        </w:rPr>
        <w:t>Holder shall fill in the applicable permitted Exercise Percentage.</w:t>
      </w:r>
    </w:p>
    <w:p>
      <w:pPr>
        <w:spacing w:after="0" w:line="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Company shall fill in the Exercise Amount.</w:t>
      </w:r>
    </w:p>
    <w:p>
      <w:pPr>
        <w:spacing w:after="0" w:line="9" w:lineRule="exact"/>
        <w:rPr>
          <w:sz w:val="20"/>
          <w:szCs w:val="20"/>
          <w:color w:val="auto"/>
        </w:rPr>
      </w:pPr>
    </w:p>
    <w:p>
      <w:pPr>
        <w:jc w:val="center"/>
        <w:ind w:left="6" w:right="514"/>
        <w:spacing w:after="0" w:line="433" w:lineRule="auto"/>
        <w:rPr>
          <w:sz w:val="20"/>
          <w:szCs w:val="20"/>
          <w:color w:val="auto"/>
        </w:rPr>
      </w:pPr>
      <w:r>
        <w:rPr>
          <w:rFonts w:ascii="Arial" w:cs="Arial" w:eastAsia="Arial" w:hAnsi="Arial"/>
          <w:sz w:val="18"/>
          <w:szCs w:val="18"/>
          <w:color w:val="auto"/>
        </w:rPr>
        <w:t>The Company shall fill in the number of outstanding shares of Common Stock on a Fully Diluted Basis (which shall become fixed on the IPO Date). A-5</w:t>
      </w:r>
    </w:p>
    <w:p>
      <w:pPr>
        <w:sectPr>
          <w:pgSz w:w="11900" w:h="16838" w:orient="portrait"/>
          <w:cols w:equalWidth="0" w:num="2">
            <w:col w:w="60" w:space="394"/>
            <w:col w:w="10966"/>
          </w:cols>
          <w:pgMar w:left="240" w:top="280" w:right="239" w:bottom="1440" w:gutter="0" w:footer="0" w:header="0"/>
          <w:type w:val="continuous"/>
        </w:sectPr>
      </w:pPr>
    </w:p>
    <w:bookmarkStart w:id="374" w:name="page375"/>
    <w:bookmarkEnd w:id="37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Warrant hereby exercised is less than the whole Warrant represented by this Warrant Certificate, the undersigned requests that a new Warrant Certificate representing the portion of the Warrant not exercised be issued and delivered as follows: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27940</wp:posOffset>
            </wp:positionV>
            <wp:extent cx="666369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(ADDRESS, INCLUDING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(SOCIAL SECURITY OR OTHER IDENTIFICATION NUMBER)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DELIVER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27940</wp:posOffset>
            </wp:positionV>
            <wp:extent cx="650049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500495" cy="8890"/>
                    </a:xfrm>
                    <a:prstGeom prst="rect">
                      <a:avLst/>
                    </a:prstGeom>
                    <a:noFill/>
                  </pic:spPr>
                </pic:pic>
              </a:graphicData>
            </a:graphic>
          </wp:anchor>
        </w:drawing>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(NAME)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27940</wp:posOffset>
            </wp:positionV>
            <wp:extent cx="71005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(ADDRESS, INCLUDING ZIP CODE)</w:t>
      </w:r>
    </w:p>
    <w:p>
      <w:pPr>
        <w:spacing w:after="0" w:line="17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139700</wp:posOffset>
            </wp:positionV>
            <wp:extent cx="289877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274320</wp:posOffset>
            </wp:positionH>
            <wp:positionV relativeFrom="paragraph">
              <wp:posOffset>-13970</wp:posOffset>
            </wp:positionV>
            <wp:extent cx="8642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(Signature must conform in all respects to name of holder as</w:t>
      </w:r>
    </w:p>
    <w:p>
      <w:pPr>
        <w:spacing w:after="0" w:line="5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specified on the face of the Warrant Certificate.)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PLEASE INSERT SOCIAL SECURITY OR TAX I.D.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NUMBER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238760</wp:posOffset>
            </wp:positionV>
            <wp:extent cx="289877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240" w:top="280" w:right="559" w:bottom="1440" w:gutter="0" w:footer="0" w:header="0"/>
        </w:sectPr>
      </w:pPr>
    </w:p>
    <w:bookmarkStart w:id="375" w:name="page376"/>
    <w:bookmarkEnd w:id="3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INVESTMENT REPRESENTATION STATEMENT</w:t>
      </w:r>
    </w:p>
    <w:p>
      <w:pPr>
        <w:spacing w:after="0" w:line="21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Shares of Common Stock</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of Syndax Pharmaceuticals,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purchase of the above-listed securities the undersigned hereby represents to Syndax Pharmaceuticals, Inc. (the “Company”) as follows:</w:t>
      </w:r>
    </w:p>
    <w:p>
      <w:pPr>
        <w:spacing w:after="0" w:line="113" w:lineRule="exact"/>
        <w:rPr>
          <w:sz w:val="20"/>
          <w:szCs w:val="20"/>
          <w:color w:val="auto"/>
        </w:rPr>
      </w:pPr>
    </w:p>
    <w:p>
      <w:pPr>
        <w:ind w:right="420" w:firstLine="464"/>
        <w:spacing w:after="0" w:line="332" w:lineRule="auto"/>
        <w:tabs>
          <w:tab w:leader="none" w:pos="632"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Receipt of Information</w:t>
      </w:r>
      <w:r>
        <w:rPr>
          <w:rFonts w:ascii="Arial" w:cs="Arial" w:eastAsia="Arial" w:hAnsi="Arial"/>
          <w:sz w:val="16"/>
          <w:szCs w:val="16"/>
          <w:color w:val="auto"/>
        </w:rPr>
        <w:t>. The undersigned has received all the information it considers necessary or appropriate for deciding whether to purchase the Common Stock issuable upon exercise of the Warrant (the “Warrant”) issued by the Company to the undersigned.</w:t>
      </w:r>
    </w:p>
    <w:p>
      <w:pPr>
        <w:spacing w:after="0" w:line="85" w:lineRule="exact"/>
        <w:rPr>
          <w:rFonts w:ascii="Arial" w:cs="Arial" w:eastAsia="Arial" w:hAnsi="Arial"/>
          <w:sz w:val="16"/>
          <w:szCs w:val="16"/>
          <w:color w:val="auto"/>
        </w:rPr>
      </w:pPr>
    </w:p>
    <w:p>
      <w:pPr>
        <w:ind w:left="640" w:hanging="176"/>
        <w:spacing w:after="0"/>
        <w:tabs>
          <w:tab w:leader="none" w:pos="640"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right="20" w:firstLine="921"/>
        <w:spacing w:after="0" w:line="335" w:lineRule="auto"/>
        <w:tabs>
          <w:tab w:leader="none" w:pos="1152" w:val="left"/>
        </w:tabs>
        <w:numPr>
          <w:ilvl w:val="2"/>
          <w:numId w:val="194"/>
        </w:numPr>
        <w:rPr>
          <w:rFonts w:ascii="Arial" w:cs="Arial" w:eastAsia="Arial" w:hAnsi="Arial"/>
          <w:sz w:val="15"/>
          <w:szCs w:val="15"/>
          <w:color w:val="auto"/>
        </w:rPr>
      </w:pPr>
      <w:r>
        <w:rPr>
          <w:rFonts w:ascii="Arial" w:cs="Arial" w:eastAsia="Arial" w:hAnsi="Arial"/>
          <w:sz w:val="15"/>
          <w:szCs w:val="15"/>
          <w:color w:val="auto"/>
        </w:rPr>
        <w:t>The shares of stock to be received upon the exercise of the Warrant (the “Securities”) will be acquired for investment for its own account, not as a nominee or agent, and not with a view to the sale or distribution of any part thereof, and the undersigned has no present intention of selling, granting participation in or otherwise distributing the same, but subject, nevertheless, to any requirement of law that the disposition of its property shall at all times be within its control.</w:t>
      </w:r>
    </w:p>
    <w:p>
      <w:pPr>
        <w:spacing w:after="0" w:line="88" w:lineRule="exact"/>
        <w:rPr>
          <w:rFonts w:ascii="Arial" w:cs="Arial" w:eastAsia="Arial" w:hAnsi="Arial"/>
          <w:sz w:val="15"/>
          <w:szCs w:val="15"/>
          <w:color w:val="auto"/>
        </w:rPr>
      </w:pPr>
    </w:p>
    <w:p>
      <w:pPr>
        <w:ind w:right="340" w:firstLine="921"/>
        <w:spacing w:after="0" w:line="298" w:lineRule="auto"/>
        <w:tabs>
          <w:tab w:leader="none" w:pos="1162" w:val="left"/>
        </w:tabs>
        <w:numPr>
          <w:ilvl w:val="2"/>
          <w:numId w:val="194"/>
        </w:numPr>
        <w:rPr>
          <w:rFonts w:ascii="Arial" w:cs="Arial" w:eastAsia="Arial" w:hAnsi="Arial"/>
          <w:sz w:val="16"/>
          <w:szCs w:val="16"/>
          <w:color w:val="auto"/>
        </w:rPr>
      </w:pPr>
      <w:r>
        <w:rPr>
          <w:rFonts w:ascii="Arial" w:cs="Arial" w:eastAsia="Arial" w:hAnsi="Arial"/>
          <w:sz w:val="16"/>
          <w:szCs w:val="16"/>
          <w:color w:val="auto"/>
        </w:rPr>
        <w:t>The undersigned understands that the Securities issuable upon exercise of the Warrant at the time of issuance may not be registered under the Securities Act of 1933, as amended (the “Act”), and applicable state securities laws, on the ground that the issuance of such securities is exempt pursuant to Section 4(2) of the Act and state law exemptions relating to offers and sales not by means of a public offering, and that the Company’s reliance on such exemptions is predicated in part on the undersigned’s representations set forth herein.</w:t>
      </w:r>
    </w:p>
    <w:p>
      <w:pPr>
        <w:spacing w:after="0" w:line="112" w:lineRule="exact"/>
        <w:rPr>
          <w:rFonts w:ascii="Arial" w:cs="Arial" w:eastAsia="Arial" w:hAnsi="Arial"/>
          <w:sz w:val="16"/>
          <w:szCs w:val="16"/>
          <w:color w:val="auto"/>
        </w:rPr>
      </w:pPr>
    </w:p>
    <w:p>
      <w:pPr>
        <w:ind w:right="340" w:firstLine="921"/>
        <w:spacing w:after="0" w:line="305" w:lineRule="auto"/>
        <w:tabs>
          <w:tab w:leader="none" w:pos="1152" w:val="left"/>
        </w:tabs>
        <w:numPr>
          <w:ilvl w:val="2"/>
          <w:numId w:val="194"/>
        </w:numPr>
        <w:rPr>
          <w:rFonts w:ascii="Arial" w:cs="Arial" w:eastAsia="Arial" w:hAnsi="Arial"/>
          <w:sz w:val="15"/>
          <w:szCs w:val="15"/>
          <w:color w:val="auto"/>
        </w:rPr>
      </w:pPr>
      <w:r>
        <w:rPr>
          <w:rFonts w:ascii="Arial" w:cs="Arial" w:eastAsia="Arial" w:hAnsi="Arial"/>
          <w:sz w:val="15"/>
          <w:szCs w:val="15"/>
          <w:color w:val="auto"/>
        </w:rPr>
        <w:t>The undersigned agrees that in no event will it make a disposition of any Securities acquired upon the exercise of the Warrant (other than pursuant to Rule 144 or Rule 144A promulgated by the Securities and Exchange Commission under the Act or any similar or analogous rule) unless and until</w:t>
      </w:r>
    </w:p>
    <w:p>
      <w:pPr>
        <w:ind w:right="80" w:firstLine="8"/>
        <w:spacing w:after="0" w:line="300" w:lineRule="auto"/>
        <w:tabs>
          <w:tab w:leader="none" w:pos="249" w:val="left"/>
        </w:tabs>
        <w:numPr>
          <w:ilvl w:val="0"/>
          <w:numId w:val="195"/>
        </w:numPr>
        <w:rPr>
          <w:rFonts w:ascii="Arial" w:cs="Arial" w:eastAsia="Arial" w:hAnsi="Arial"/>
          <w:sz w:val="15"/>
          <w:szCs w:val="15"/>
          <w:color w:val="auto"/>
        </w:rPr>
      </w:pPr>
      <w:r>
        <w:rPr>
          <w:rFonts w:ascii="Arial" w:cs="Arial" w:eastAsia="Arial" w:hAnsi="Arial"/>
          <w:sz w:val="15"/>
          <w:szCs w:val="15"/>
          <w:color w:val="auto"/>
        </w:rPr>
        <w:t>for dispositions made to a Person other than an Affiliate of the Holder, (i) it shall have notified the Company of the proposed disposition and (if requested by the Company) shall have furnished the Company with a statement of the circumstances surrounding the proposed disposition, and (ii) it shall have furnished the Company with an opinion of counsel satisfactory to the company and the Company’s counsel to the effect that (A) appropriate action necessary for compliance with the Act and any applicable state securities laws has been taken or an exemption from the registration requirements of the Act and such laws is available, and</w:t>
      </w:r>
    </w:p>
    <w:p>
      <w:pPr>
        <w:spacing w:after="0" w:line="1" w:lineRule="exact"/>
        <w:rPr>
          <w:rFonts w:ascii="Arial" w:cs="Arial" w:eastAsia="Arial" w:hAnsi="Arial"/>
          <w:sz w:val="15"/>
          <w:szCs w:val="15"/>
          <w:color w:val="auto"/>
        </w:rPr>
      </w:pPr>
    </w:p>
    <w:p>
      <w:pPr>
        <w:ind w:right="260"/>
        <w:spacing w:after="0" w:line="323" w:lineRule="auto"/>
        <w:rPr>
          <w:rFonts w:ascii="Arial" w:cs="Arial" w:eastAsia="Arial" w:hAnsi="Arial"/>
          <w:sz w:val="15"/>
          <w:szCs w:val="15"/>
          <w:color w:val="auto"/>
        </w:rPr>
      </w:pPr>
      <w:r>
        <w:rPr>
          <w:rFonts w:ascii="Arial" w:cs="Arial" w:eastAsia="Arial" w:hAnsi="Arial"/>
          <w:sz w:val="16"/>
          <w:szCs w:val="16"/>
          <w:color w:val="auto"/>
        </w:rPr>
        <w:t>(B) that the proposed transfer will not violate any of said laws and (y) for dispositions made to an Affiliate of the Holder, it shall have notified the Company of the disposition within 10 Business Days after the disposition. For purposes of Section 2(c), Affiliate shall not include any Person which is an individual.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9" w:right="239" w:bottom="1440" w:gutter="0" w:footer="0" w:header="0"/>
        </w:sectPr>
      </w:pPr>
    </w:p>
    <w:bookmarkStart w:id="376" w:name="page377"/>
    <w:bookmarkEnd w:id="376"/>
    <w:p>
      <w:pPr>
        <w:ind w:firstLine="921"/>
        <w:spacing w:after="0" w:line="268" w:lineRule="auto"/>
        <w:tabs>
          <w:tab w:leader="none" w:pos="1162" w:val="left"/>
        </w:tabs>
        <w:numPr>
          <w:ilvl w:val="0"/>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represents that it has such knowledge and experience in financial and business matters as to be capable of evaluating the merits and risks of its investments.</w:t>
      </w:r>
    </w:p>
    <w:p>
      <w:pPr>
        <w:spacing w:after="0" w:line="131" w:lineRule="exact"/>
        <w:rPr>
          <w:rFonts w:ascii="Arial" w:cs="Arial" w:eastAsia="Arial" w:hAnsi="Arial"/>
          <w:sz w:val="18"/>
          <w:szCs w:val="18"/>
          <w:color w:val="auto"/>
        </w:rPr>
      </w:pPr>
    </w:p>
    <w:p>
      <w:pPr>
        <w:ind w:firstLine="921"/>
        <w:spacing w:after="0" w:line="256" w:lineRule="auto"/>
        <w:tabs>
          <w:tab w:leader="none" w:pos="1152"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undersigned acknowledges that the Securities issuable upon exercise of the Warrant must be held indefinitely unless subsequently registered under the Act or an exemption from such registration is available. The undersigned is aware of the provisions of Rule 144 promulgated under the Act which permit limited resale of shares purchased in a private placement subject to the satisfaction of certain conditions. The undersigned is aware that the conditions for resale set forth in Rule 144 may not have been satisfied.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302895</wp:posOffset>
            </wp:positionV>
            <wp:extent cx="289877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-13970</wp:posOffset>
            </wp:positionV>
            <wp:extent cx="55753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(Typed or 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289877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320"/>
          </w:cols>
          <w:pgMar w:left="240" w:top="280" w:right="3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EXAMPLES OF CALCULATION OF WARRANT SHARES BEING EXERCISED ON 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GIVEN EXERCISE DATE AND WARRANT SHARES REMAINING THEREAFTER</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Example 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Assuming that:</w:t>
      </w:r>
    </w:p>
    <w:p>
      <w:pPr>
        <w:spacing w:after="0" w:line="90"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number of shares of Common Stock outstanding on a fully diluted basis, </w:t>
      </w:r>
      <w:r>
        <w:rPr>
          <w:rFonts w:ascii="Arial" w:cs="Arial" w:eastAsia="Arial" w:hAnsi="Arial"/>
          <w:sz w:val="16"/>
          <w:szCs w:val="16"/>
          <w:b w:val="1"/>
          <w:bCs w:val="1"/>
          <w:i w:val="1"/>
          <w:iCs w:val="1"/>
          <w:color w:val="auto"/>
        </w:rPr>
        <w:t>not</w:t>
      </w:r>
      <w:r>
        <w:rPr>
          <w:rFonts w:ascii="Arial" w:cs="Arial" w:eastAsia="Arial" w:hAnsi="Arial"/>
          <w:sz w:val="16"/>
          <w:szCs w:val="16"/>
          <w:color w:val="auto"/>
        </w:rPr>
        <w:t xml:space="preserve"> including the Warrant Shares, as of 15-Jan-07 = 100,000,000</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 IPO has not been consummated as of 15-Dec-07;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Bayer determines to exercise the Warrants in full on January 15,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Amount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 * E * 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[1-1.75%*(A+R)]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E =</w:t>
      </w:r>
      <w:r>
        <w:rPr>
          <w:sz w:val="20"/>
          <w:szCs w:val="20"/>
          <w:color w:val="auto"/>
        </w:rPr>
        <w:tab/>
      </w:r>
      <w:r>
        <w:rPr>
          <w:rFonts w:ascii="Arial" w:cs="Arial" w:eastAsia="Arial" w:hAnsi="Arial"/>
          <w:sz w:val="15"/>
          <w:szCs w:val="15"/>
          <w:color w:val="auto"/>
        </w:rPr>
        <w:t>Exercise Percentage being exercised by Holder</w:t>
      </w:r>
    </w:p>
    <w:p>
      <w:pPr>
        <w:spacing w:after="0" w:line="90"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N =</w:t>
        <w:tab/>
        <w:t>Number of shares of Common Stock outstanding on a Fully Diluted Basis before exercise of the Warrant, not including outstanding Warrants issued hereunder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 xml:space="preserve">Aggregate Exercise Percentage held by exercising Holder </w:t>
      </w:r>
      <w:r>
        <w:rPr>
          <w:rFonts w:ascii="Arial" w:cs="Arial" w:eastAsia="Arial" w:hAnsi="Arial"/>
          <w:sz w:val="15"/>
          <w:szCs w:val="15"/>
          <w:i w:val="1"/>
          <w:iCs w:val="1"/>
          <w:color w:val="auto"/>
        </w:rPr>
        <w:t>before</w:t>
      </w:r>
      <w:r>
        <w:rPr>
          <w:rFonts w:ascii="Arial" w:cs="Arial" w:eastAsia="Arial" w:hAnsi="Arial"/>
          <w:sz w:val="15"/>
          <w:szCs w:val="15"/>
          <w:color w:val="auto"/>
        </w:rPr>
        <w:t xml:space="preserve"> exercise of the Warrant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 =</w:t>
      </w:r>
      <w:r>
        <w:rPr>
          <w:sz w:val="20"/>
          <w:szCs w:val="20"/>
          <w:color w:val="auto"/>
        </w:rPr>
        <w:tab/>
      </w:r>
      <w:r>
        <w:rPr>
          <w:rFonts w:ascii="Arial" w:cs="Arial" w:eastAsia="Arial" w:hAnsi="Arial"/>
          <w:sz w:val="16"/>
          <w:szCs w:val="16"/>
          <w:color w:val="auto"/>
        </w:rPr>
        <w:t>Remaining Exercise Percentage held by all other Holders (not including the exercising Holder)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Multiplied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 = 100%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 = 100,000,000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 100%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[(0.0175*1.00*100,000,000)/(1-0.0175*(1.00+0))] = 1,781,170.48</w:t>
      </w:r>
    </w:p>
    <w:p>
      <w:pPr>
        <w:spacing w:after="0" w:line="16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1,781,170 shares of Common Stock</w:t>
      </w:r>
      <w:r>
        <w:rPr>
          <w:rFonts w:ascii="Arial" w:cs="Arial" w:eastAsia="Arial" w:hAnsi="Arial"/>
          <w:sz w:val="18"/>
          <w:szCs w:val="18"/>
          <w:color w:val="auto"/>
        </w:rPr>
        <w:t>, the number of shares of Common Stock outstanding on a Fully Diluted Basis following the exercise of the Warrant would be equal to 101,781,170 there would be no remaining unexercised portion of the Grant Percentage and no remaining Warrant Shares issuable.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9" w:right="23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 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Assuming that:</w:t>
      </w:r>
    </w:p>
    <w:p>
      <w:pPr>
        <w:spacing w:after="0" w:line="90" w:lineRule="exact"/>
        <w:rPr>
          <w:sz w:val="20"/>
          <w:szCs w:val="20"/>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outstanding on a fully diluted basis,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including the Warrant Shares, as of: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15-Jan-07 = 100,000,000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15-Mar-07 = 110,000,000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15-Aug-07 = 120,000,000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15-Dec-07 = 130,000,000;</w:t>
      </w:r>
    </w:p>
    <w:p>
      <w:pPr>
        <w:spacing w:after="0" w:line="84"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 IPO has not been consummated as of 15-Dec-07;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Bayer determines to exercise the Warrants as to an Exercise Percentage of 25% on each of the following dates: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15-Jan-07</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15-Mar-07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15-Aug-07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15-Dec-07;</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Then:</w:t>
      </w:r>
    </w:p>
    <w:p>
      <w:pPr>
        <w:spacing w:after="0" w:line="1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Exercise Amount =</w:t>
      </w:r>
    </w:p>
    <w:p>
      <w:pPr>
        <w:spacing w:after="0" w:line="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 * E * 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Divided by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[1-1.75%*(A+R)]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E =</w:t>
      </w:r>
      <w:r>
        <w:rPr>
          <w:sz w:val="20"/>
          <w:szCs w:val="20"/>
          <w:color w:val="auto"/>
        </w:rPr>
        <w:tab/>
      </w:r>
      <w:r>
        <w:rPr>
          <w:rFonts w:ascii="Arial" w:cs="Arial" w:eastAsia="Arial" w:hAnsi="Arial"/>
          <w:sz w:val="15"/>
          <w:szCs w:val="15"/>
          <w:color w:val="auto"/>
        </w:rPr>
        <w:t>Exercise Percentage being exercised by Holder</w:t>
      </w:r>
    </w:p>
    <w:p>
      <w:pPr>
        <w:spacing w:after="0" w:line="90" w:lineRule="exact"/>
        <w:rPr>
          <w:sz w:val="20"/>
          <w:szCs w:val="20"/>
          <w:color w:val="auto"/>
        </w:rPr>
      </w:pPr>
    </w:p>
    <w:p>
      <w:pPr>
        <w:ind w:left="460" w:right="380" w:hanging="445"/>
        <w:spacing w:after="0" w:line="268" w:lineRule="auto"/>
        <w:tabs>
          <w:tab w:leader="none" w:pos="440" w:val="left"/>
        </w:tabs>
        <w:rPr>
          <w:sz w:val="20"/>
          <w:szCs w:val="20"/>
          <w:color w:val="auto"/>
        </w:rPr>
      </w:pPr>
      <w:r>
        <w:rPr>
          <w:rFonts w:ascii="Arial" w:cs="Arial" w:eastAsia="Arial" w:hAnsi="Arial"/>
          <w:sz w:val="18"/>
          <w:szCs w:val="18"/>
          <w:color w:val="auto"/>
        </w:rPr>
        <w:t>N =</w:t>
        <w:tab/>
        <w:t>Number of shares of Common Stock outstanding on a Fully Diluted Basis before exercise of the Warrant, not including outstanding Warrants issued hereunder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 xml:space="preserve">Aggregate Exercise Percentage held by exercising Holder </w:t>
      </w:r>
      <w:r>
        <w:rPr>
          <w:rFonts w:ascii="Arial" w:cs="Arial" w:eastAsia="Arial" w:hAnsi="Arial"/>
          <w:sz w:val="15"/>
          <w:szCs w:val="15"/>
          <w:i w:val="1"/>
          <w:iCs w:val="1"/>
          <w:color w:val="auto"/>
        </w:rPr>
        <w:t>before</w:t>
      </w:r>
      <w:r>
        <w:rPr>
          <w:rFonts w:ascii="Arial" w:cs="Arial" w:eastAsia="Arial" w:hAnsi="Arial"/>
          <w:sz w:val="15"/>
          <w:szCs w:val="15"/>
          <w:color w:val="auto"/>
        </w:rPr>
        <w:t xml:space="preserve"> exercise of the Warrant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 =</w:t>
      </w:r>
      <w:r>
        <w:rPr>
          <w:sz w:val="20"/>
          <w:szCs w:val="20"/>
          <w:color w:val="auto"/>
        </w:rPr>
        <w:tab/>
      </w:r>
      <w:r>
        <w:rPr>
          <w:rFonts w:ascii="Arial" w:cs="Arial" w:eastAsia="Arial" w:hAnsi="Arial"/>
          <w:sz w:val="16"/>
          <w:szCs w:val="16"/>
          <w:color w:val="auto"/>
        </w:rPr>
        <w:t>Remaining Exercise Percentage held by all other Holders (not including the exercising Holder)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Multiplied by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15-Jan-07, where</w:t>
      </w:r>
    </w:p>
    <w:p>
      <w:pPr>
        <w:spacing w:after="0" w:line="90" w:lineRule="exact"/>
        <w:rPr>
          <w:sz w:val="20"/>
          <w:szCs w:val="20"/>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 = 100,000,000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 100%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[(0.0175*.25*100,000,000)/(1-0.0175*(1.00+0))] = 445,292.61</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445,292 shares of Common Stock</w:t>
      </w:r>
      <w:r>
        <w:rPr>
          <w:rFonts w:ascii="Arial" w:cs="Arial" w:eastAsia="Arial" w:hAnsi="Arial"/>
          <w:sz w:val="18"/>
          <w:szCs w:val="18"/>
          <w:color w:val="auto"/>
        </w:rPr>
        <w:t xml:space="preserve"> as of 15-Jan-07, the remaining aggregate exercise percentage held by all Holders would equal 75% and Warrant Shares remain issuable.</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240" w:top="274" w:right="41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15-Mar-07</w:t>
      </w:r>
    </w:p>
    <w:p>
      <w:pPr>
        <w:spacing w:after="0" w:line="90"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 = 110,000,000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 = 75%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[(0.0175*.25*110,000,000)/(1-0.0175*(.75+0))] = 487,650.41</w:t>
      </w:r>
    </w:p>
    <w:p>
      <w:pPr>
        <w:spacing w:after="0" w:line="16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487,650 shares of Common Stock</w:t>
      </w:r>
      <w:r>
        <w:rPr>
          <w:rFonts w:ascii="Arial" w:cs="Arial" w:eastAsia="Arial" w:hAnsi="Arial"/>
          <w:sz w:val="18"/>
          <w:szCs w:val="18"/>
          <w:color w:val="auto"/>
        </w:rPr>
        <w:t xml:space="preserve"> as of 15-Mar-07, the remaining aggregate exercise percentage held by all Holders would equal 50% and Warrant Shares remain issuable.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15-Aug-07</w:t>
      </w:r>
    </w:p>
    <w:p>
      <w:pPr>
        <w:spacing w:after="0" w:line="90"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 = 120,000,000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 = 50%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[(0.0175*.25*120,000,000)/(1-0.0175*(.50+0))] = 529,634.30</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529,634 shares of Common Stock</w:t>
      </w:r>
      <w:r>
        <w:rPr>
          <w:rFonts w:ascii="Arial" w:cs="Arial" w:eastAsia="Arial" w:hAnsi="Arial"/>
          <w:sz w:val="18"/>
          <w:szCs w:val="18"/>
          <w:color w:val="auto"/>
        </w:rPr>
        <w:t xml:space="preserve"> as of 15-Aug-07, the remaining aggregate exercise percentage held by all Holders would equal 25% and Warrant Shares remain issuable.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15-Dec-07</w:t>
      </w:r>
    </w:p>
    <w:p>
      <w:pPr>
        <w:spacing w:after="0" w:line="90" w:lineRule="exact"/>
        <w:rPr>
          <w:sz w:val="20"/>
          <w:szCs w:val="20"/>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 = 130,000,000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[(0.0175*.25*130,000,000)/(1-0.0175*(.25+0))] = 571,249.22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571,249 shares of Common Stock</w:t>
      </w:r>
      <w:r>
        <w:rPr>
          <w:rFonts w:ascii="Arial" w:cs="Arial" w:eastAsia="Arial" w:hAnsi="Arial"/>
          <w:sz w:val="18"/>
          <w:szCs w:val="18"/>
          <w:color w:val="auto"/>
        </w:rPr>
        <w:t xml:space="preserve"> as of 15-Dec-07 and no Warrant Shares remain issuable.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total, at the end of all such exercises, Bayer would be issued 2,033,825 shares of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20"/>
          </w:cols>
          <w:pgMar w:left="240" w:top="280" w:right="339" w:bottom="1440" w:gutter="0" w:footer="0" w:header="0"/>
        </w:sectPr>
      </w:pPr>
    </w:p>
    <w:bookmarkStart w:id="380" w:name="page381"/>
    <w:bookmarkEnd w:id="3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 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Assuming that:</w:t>
      </w:r>
    </w:p>
    <w:p>
      <w:pPr>
        <w:spacing w:after="0" w:line="90"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outstanding on a fully diluted basis,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including the Warrant Shares, as of: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15-Jan-07 = 100,000,000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15-Aug-07 = 120,000,000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15-Dec-07 = 120,000,000;</w:t>
      </w:r>
    </w:p>
    <w:p>
      <w:pPr>
        <w:spacing w:after="0" w:line="78"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an IPO is consummated on 15-Aug-07</w:t>
      </w:r>
      <w:r>
        <w:rPr>
          <w:rFonts w:ascii="Arial" w:cs="Arial" w:eastAsia="Arial" w:hAnsi="Arial"/>
          <w:sz w:val="18"/>
          <w:szCs w:val="18"/>
          <w:color w:val="auto"/>
        </w:rPr>
        <w:t>; and</w:t>
      </w:r>
    </w:p>
    <w:p>
      <w:pPr>
        <w:spacing w:after="0" w:line="96" w:lineRule="exact"/>
        <w:rPr>
          <w:rFonts w:ascii="Arial" w:cs="Arial" w:eastAsia="Arial" w:hAnsi="Arial"/>
          <w:sz w:val="18"/>
          <w:szCs w:val="18"/>
          <w:color w:val="auto"/>
        </w:rPr>
      </w:pPr>
    </w:p>
    <w:p>
      <w:pPr>
        <w:ind w:left="460" w:hanging="452"/>
        <w:spacing w:after="0"/>
        <w:tabs>
          <w:tab w:leader="none" w:pos="4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Bayer determines to exercise the Warrants as to an Exercise Percentage of 33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on each of the following dates: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15-Jan-07</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15-Dec-07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01-Jan-09;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Then “</w:t>
      </w:r>
      <w:r>
        <w:rPr>
          <w:rFonts w:ascii="Arial" w:cs="Arial" w:eastAsia="Arial" w:hAnsi="Arial"/>
          <w:sz w:val="18"/>
          <w:szCs w:val="18"/>
          <w:u w:val="single" w:color="auto"/>
          <w:color w:val="auto"/>
        </w:rPr>
        <w:t>Exercise Amount</w:t>
      </w:r>
      <w:r>
        <w:rPr>
          <w:rFonts w:ascii="Arial" w:cs="Arial" w:eastAsia="Arial" w:hAnsi="Arial"/>
          <w:sz w:val="18"/>
          <w:szCs w:val="18"/>
          <w:color w:val="auto"/>
        </w:rPr>
        <w:t>” shall mean...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Exercise Amount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 * E * 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[1-1.75%*(A+R)]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E =</w:t>
      </w:r>
      <w:r>
        <w:rPr>
          <w:sz w:val="20"/>
          <w:szCs w:val="20"/>
          <w:color w:val="auto"/>
        </w:rPr>
        <w:tab/>
      </w:r>
      <w:r>
        <w:rPr>
          <w:rFonts w:ascii="Arial" w:cs="Arial" w:eastAsia="Arial" w:hAnsi="Arial"/>
          <w:sz w:val="15"/>
          <w:szCs w:val="15"/>
          <w:color w:val="auto"/>
        </w:rPr>
        <w:t>Exercise Percentage being exercised by Holder</w:t>
      </w:r>
    </w:p>
    <w:p>
      <w:pPr>
        <w:spacing w:after="0" w:line="90"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N =</w:t>
        <w:tab/>
        <w:t>Number of shares of Common Stock outstanding on a Fully Diluted Basis before exercise of the Warrant, not including outstanding Warrants issued hereunder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 xml:space="preserve">Aggregate Exercise Percentage held by exercising Holder </w:t>
      </w:r>
      <w:r>
        <w:rPr>
          <w:rFonts w:ascii="Arial" w:cs="Arial" w:eastAsia="Arial" w:hAnsi="Arial"/>
          <w:sz w:val="15"/>
          <w:szCs w:val="15"/>
          <w:i w:val="1"/>
          <w:iCs w:val="1"/>
          <w:color w:val="auto"/>
        </w:rPr>
        <w:t>before</w:t>
      </w:r>
      <w:r>
        <w:rPr>
          <w:rFonts w:ascii="Arial" w:cs="Arial" w:eastAsia="Arial" w:hAnsi="Arial"/>
          <w:sz w:val="15"/>
          <w:szCs w:val="15"/>
          <w:color w:val="auto"/>
        </w:rPr>
        <w:t xml:space="preserve"> exercise of the Warrant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 =</w:t>
      </w:r>
      <w:r>
        <w:rPr>
          <w:sz w:val="20"/>
          <w:szCs w:val="20"/>
          <w:color w:val="auto"/>
        </w:rPr>
        <w:tab/>
      </w:r>
      <w:r>
        <w:rPr>
          <w:rFonts w:ascii="Arial" w:cs="Arial" w:eastAsia="Arial" w:hAnsi="Arial"/>
          <w:sz w:val="16"/>
          <w:szCs w:val="16"/>
          <w:color w:val="auto"/>
        </w:rPr>
        <w:t>Remaining Exercise Percentage held by all other Holders (not including the exercising Holder)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Multiplied by</w:t>
      </w:r>
    </w:p>
    <w:p>
      <w:pPr>
        <w:spacing w:after="0" w:line="171" w:lineRule="exact"/>
        <w:rPr>
          <w:sz w:val="20"/>
          <w:szCs w:val="20"/>
          <w:color w:val="auto"/>
        </w:rPr>
      </w:pPr>
    </w:p>
    <w:p>
      <w:pPr>
        <w:ind w:firstLine="8"/>
        <w:spacing w:after="0" w:line="268" w:lineRule="auto"/>
        <w:tabs>
          <w:tab w:leader="none" w:pos="93"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number of shares of Common Stock outstanding on a Fully Diluted Basis before exercise of the Warrant, not including outstanding Warrants issued hereunder and (ii) the summation of (A + R), each shall become fixed as of the IPO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for the 15-Jan-07,</w:t>
      </w:r>
    </w:p>
    <w:p>
      <w:pPr>
        <w:spacing w:after="0" w:line="90"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 = 33.33%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 = 100,000,000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 = 100%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[(0.0175*.3333*100,000,000)/(1-0.0175*(1.00+0))]= 593,664.12</w:t>
      </w:r>
    </w:p>
    <w:p>
      <w:pPr>
        <w:spacing w:after="0" w:line="16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 xml:space="preserve">Accordingly Bayer would be issued </w:t>
      </w:r>
      <w:r>
        <w:rPr>
          <w:rFonts w:ascii="Arial" w:cs="Arial" w:eastAsia="Arial" w:hAnsi="Arial"/>
          <w:sz w:val="18"/>
          <w:szCs w:val="18"/>
          <w:b w:val="1"/>
          <w:bCs w:val="1"/>
          <w:color w:val="auto"/>
        </w:rPr>
        <w:t>593,664 shares of Common Stock</w:t>
      </w:r>
      <w:r>
        <w:rPr>
          <w:rFonts w:ascii="Arial" w:cs="Arial" w:eastAsia="Arial" w:hAnsi="Arial"/>
          <w:sz w:val="18"/>
          <w:szCs w:val="18"/>
          <w:color w:val="auto"/>
        </w:rPr>
        <w:t xml:space="preserve"> as of 15-Jan-07, the remaining aggregate exercise percentage held by all Holders would equal 66.67% and Warrant Shares remain issuable.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273" w:right="239" w:bottom="1440" w:gutter="0" w:footer="0" w:header="0"/>
        </w:sectPr>
      </w:pPr>
    </w:p>
    <w:bookmarkStart w:id="381" w:name="page382"/>
    <w:bookmarkEnd w:id="3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15-Aug-07, the IPO Date</w:t>
      </w:r>
    </w:p>
    <w:p>
      <w:pPr>
        <w:spacing w:after="0" w:line="90"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 = 120,000,000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 66.67%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 = 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The denominator of the calculation of Exercise Amount is fixed on the IPO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15-Dec-07</w:t>
      </w:r>
    </w:p>
    <w:p>
      <w:pPr>
        <w:spacing w:after="0" w:line="90"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 = 33.34%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 = 120,000,000 (Fixed on the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 = 66.67% (Fixed on the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 = 0% (Fixed on the IPO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[(0.0175*.3334*120,000,000)/(1-0.0175*(.6667+0))]= 708,298.90</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Accordingly Bayer would be issued </w:t>
      </w:r>
      <w:r>
        <w:rPr>
          <w:rFonts w:ascii="Arial" w:cs="Arial" w:eastAsia="Arial" w:hAnsi="Arial"/>
          <w:sz w:val="15"/>
          <w:szCs w:val="15"/>
          <w:b w:val="1"/>
          <w:bCs w:val="1"/>
          <w:color w:val="auto"/>
        </w:rPr>
        <w:t>708,298 shares of Common Stock</w:t>
      </w:r>
      <w:r>
        <w:rPr>
          <w:rFonts w:ascii="Arial" w:cs="Arial" w:eastAsia="Arial" w:hAnsi="Arial"/>
          <w:sz w:val="15"/>
          <w:szCs w:val="15"/>
          <w:color w:val="auto"/>
        </w:rPr>
        <w:t xml:space="preserve"> as of 15-Dec-07, and there would be 708,298 Warrant Shares remaining issuable.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01-Jan-09</w:t>
      </w:r>
    </w:p>
    <w:p>
      <w:pPr>
        <w:spacing w:after="0" w:line="90" w:lineRule="exact"/>
        <w:rPr>
          <w:sz w:val="20"/>
          <w:szCs w:val="20"/>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 = 33.34%</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N = 120,000,000 (Fixed on the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 = 66.67% (Fixed on the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 = 0% (Fixed on the IPO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[(0.0175*.3334*120,000,000)/(1-0.0175*(.6667+0))]= 708,298.90</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Accordingly Bayer would be issued </w:t>
      </w:r>
      <w:r>
        <w:rPr>
          <w:rFonts w:ascii="Arial" w:cs="Arial" w:eastAsia="Arial" w:hAnsi="Arial"/>
          <w:sz w:val="16"/>
          <w:szCs w:val="16"/>
          <w:b w:val="1"/>
          <w:bCs w:val="1"/>
          <w:color w:val="auto"/>
        </w:rPr>
        <w:t>708,298 shares of Common Stock</w:t>
      </w:r>
      <w:r>
        <w:rPr>
          <w:rFonts w:ascii="Arial" w:cs="Arial" w:eastAsia="Arial" w:hAnsi="Arial"/>
          <w:sz w:val="16"/>
          <w:szCs w:val="16"/>
          <w:color w:val="auto"/>
        </w:rPr>
        <w:t xml:space="preserve"> as of 01-Jan-09, and there would be no Warrant Shares remaining issuable.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In total, at the end of all such exercises, Bayer would be issued 2,010,260 shares of Common Stock.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800"/>
          </w:cols>
          <w:pgMar w:left="240" w:top="280" w:right="859"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 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Assuming that:</w:t>
      </w:r>
    </w:p>
    <w:p>
      <w:pPr>
        <w:spacing w:after="0" w:line="90" w:lineRule="exact"/>
        <w:rPr>
          <w:sz w:val="20"/>
          <w:szCs w:val="20"/>
          <w:color w:val="auto"/>
        </w:rPr>
      </w:pPr>
    </w:p>
    <w:p>
      <w:pPr>
        <w:ind w:left="460" w:hanging="452"/>
        <w:spacing w:after="0"/>
        <w:tabs>
          <w:tab w:leader="none" w:pos="4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number of shares of Common Stock outstanding on a fully diluted basis, </w:t>
      </w:r>
      <w:r>
        <w:rPr>
          <w:rFonts w:ascii="Arial" w:cs="Arial" w:eastAsia="Arial" w:hAnsi="Arial"/>
          <w:sz w:val="18"/>
          <w:szCs w:val="18"/>
          <w:b w:val="1"/>
          <w:bCs w:val="1"/>
          <w:i w:val="1"/>
          <w:iCs w:val="1"/>
          <w:color w:val="auto"/>
        </w:rPr>
        <w:t>not</w:t>
      </w:r>
      <w:r>
        <w:rPr>
          <w:rFonts w:ascii="Arial" w:cs="Arial" w:eastAsia="Arial" w:hAnsi="Arial"/>
          <w:sz w:val="18"/>
          <w:szCs w:val="18"/>
          <w:color w:val="auto"/>
        </w:rPr>
        <w:t xml:space="preserve"> including the Warrant Shares, as of: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15-Jan-07 = 100,000,000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15-Aug-07 = 120,000,000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15-Dec-07 = 130,000,000;</w:t>
      </w:r>
    </w:p>
    <w:p>
      <w:pPr>
        <w:spacing w:after="0" w:line="84"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IPO is consummated on 15-Aug-07;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Bayer determines to:</w:t>
      </w:r>
    </w:p>
    <w:p>
      <w:pPr>
        <w:spacing w:after="0" w:line="90" w:lineRule="exact"/>
        <w:rPr>
          <w:sz w:val="20"/>
          <w:szCs w:val="20"/>
          <w:color w:val="auto"/>
        </w:rPr>
      </w:pPr>
    </w:p>
    <w:p>
      <w:pPr>
        <w:ind w:left="920" w:right="80"/>
        <w:spacing w:after="0" w:line="268" w:lineRule="auto"/>
        <w:rPr>
          <w:sz w:val="20"/>
          <w:szCs w:val="20"/>
          <w:color w:val="auto"/>
        </w:rPr>
      </w:pPr>
      <w:r>
        <w:rPr>
          <w:rFonts w:ascii="Arial" w:cs="Arial" w:eastAsia="Arial" w:hAnsi="Arial"/>
          <w:sz w:val="18"/>
          <w:szCs w:val="18"/>
          <w:color w:val="auto"/>
        </w:rPr>
        <w:t>transfer 50% of the Warrants to an Affiliate on 14-Jan-07, which then determines to exercises its Warrants in 2 approximately equal parts on 15-Jan-07 and 15-Dec-07; and Bayer exercises its remaining Warrants in full on 15-Dec-07;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Then “</w:t>
      </w:r>
      <w:r>
        <w:rPr>
          <w:rFonts w:ascii="Arial" w:cs="Arial" w:eastAsia="Arial" w:hAnsi="Arial"/>
          <w:sz w:val="18"/>
          <w:szCs w:val="18"/>
          <w:u w:val="single" w:color="auto"/>
          <w:color w:val="auto"/>
        </w:rPr>
        <w:t>Exercise Amount</w:t>
      </w:r>
      <w:r>
        <w:rPr>
          <w:rFonts w:ascii="Arial" w:cs="Arial" w:eastAsia="Arial" w:hAnsi="Arial"/>
          <w:sz w:val="18"/>
          <w:szCs w:val="18"/>
          <w:color w:val="auto"/>
        </w:rPr>
        <w:t>” shall mean...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Exercise Amount =</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 * E * 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Divided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[1-1.75%*(A+R)]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E =</w:t>
      </w:r>
      <w:r>
        <w:rPr>
          <w:sz w:val="20"/>
          <w:szCs w:val="20"/>
          <w:color w:val="auto"/>
        </w:rPr>
        <w:tab/>
      </w:r>
      <w:r>
        <w:rPr>
          <w:rFonts w:ascii="Arial" w:cs="Arial" w:eastAsia="Arial" w:hAnsi="Arial"/>
          <w:sz w:val="15"/>
          <w:szCs w:val="15"/>
          <w:color w:val="auto"/>
        </w:rPr>
        <w:t>Exercise Percentage being exercised by Holder</w:t>
      </w:r>
    </w:p>
    <w:p>
      <w:pPr>
        <w:spacing w:after="0" w:line="90" w:lineRule="exact"/>
        <w:rPr>
          <w:sz w:val="20"/>
          <w:szCs w:val="20"/>
          <w:color w:val="auto"/>
        </w:rPr>
      </w:pPr>
    </w:p>
    <w:p>
      <w:pPr>
        <w:ind w:left="460" w:right="560" w:hanging="445"/>
        <w:spacing w:after="0" w:line="268" w:lineRule="auto"/>
        <w:tabs>
          <w:tab w:leader="none" w:pos="440" w:val="left"/>
        </w:tabs>
        <w:rPr>
          <w:sz w:val="20"/>
          <w:szCs w:val="20"/>
          <w:color w:val="auto"/>
        </w:rPr>
      </w:pPr>
      <w:r>
        <w:rPr>
          <w:rFonts w:ascii="Arial" w:cs="Arial" w:eastAsia="Arial" w:hAnsi="Arial"/>
          <w:sz w:val="18"/>
          <w:szCs w:val="18"/>
          <w:color w:val="auto"/>
        </w:rPr>
        <w:t>N =</w:t>
        <w:tab/>
        <w:t>Number of shares of Common Stock outstanding on a Fully Diluted Basis before exercise of the Warrant, not including outstanding Warrants issued hereunder</w:t>
      </w:r>
    </w:p>
    <w:p>
      <w:pPr>
        <w:spacing w:after="0" w:line="5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 =</w:t>
      </w:r>
      <w:r>
        <w:rPr>
          <w:sz w:val="20"/>
          <w:szCs w:val="20"/>
          <w:color w:val="auto"/>
        </w:rPr>
        <w:tab/>
      </w:r>
      <w:r>
        <w:rPr>
          <w:rFonts w:ascii="Arial" w:cs="Arial" w:eastAsia="Arial" w:hAnsi="Arial"/>
          <w:sz w:val="15"/>
          <w:szCs w:val="15"/>
          <w:color w:val="auto"/>
        </w:rPr>
        <w:t xml:space="preserve">Aggregate Exercise Percentage held by exercising Holder </w:t>
      </w:r>
      <w:r>
        <w:rPr>
          <w:rFonts w:ascii="Arial" w:cs="Arial" w:eastAsia="Arial" w:hAnsi="Arial"/>
          <w:sz w:val="15"/>
          <w:szCs w:val="15"/>
          <w:i w:val="1"/>
          <w:iCs w:val="1"/>
          <w:color w:val="auto"/>
        </w:rPr>
        <w:t>before</w:t>
      </w:r>
      <w:r>
        <w:rPr>
          <w:rFonts w:ascii="Arial" w:cs="Arial" w:eastAsia="Arial" w:hAnsi="Arial"/>
          <w:sz w:val="15"/>
          <w:szCs w:val="15"/>
          <w:color w:val="auto"/>
        </w:rPr>
        <w:t xml:space="preserve"> exercise of the Warrant</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 =</w:t>
      </w:r>
      <w:r>
        <w:rPr>
          <w:sz w:val="20"/>
          <w:szCs w:val="20"/>
          <w:color w:val="auto"/>
        </w:rPr>
        <w:tab/>
      </w:r>
      <w:r>
        <w:rPr>
          <w:rFonts w:ascii="Arial" w:cs="Arial" w:eastAsia="Arial" w:hAnsi="Arial"/>
          <w:sz w:val="16"/>
          <w:szCs w:val="16"/>
          <w:color w:val="auto"/>
        </w:rPr>
        <w:t>Remaining Exercise Percentage held by all other Holders (not including the exercising Holder)</w:t>
      </w:r>
    </w:p>
    <w:p>
      <w:pPr>
        <w:spacing w:after="0" w:line="9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Multiplied by</w:t>
      </w:r>
    </w:p>
    <w:p>
      <w:pPr>
        <w:spacing w:after="0" w:line="171" w:lineRule="exact"/>
        <w:rPr>
          <w:sz w:val="20"/>
          <w:szCs w:val="20"/>
          <w:color w:val="auto"/>
        </w:rPr>
      </w:pPr>
    </w:p>
    <w:p>
      <w:pPr>
        <w:ind w:firstLine="8"/>
        <w:spacing w:after="0" w:line="268" w:lineRule="auto"/>
        <w:tabs>
          <w:tab w:leader="none" w:pos="9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number of shares of Common Stock outstanding on a Fully Diluted Basis before exercise of the Warrant, not including outstanding Warrants issued hereunder and (ii) the summation of (A + R), each shall become fixed as of the IPO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where on 15-Jan-07 the Transferee’s</w:t>
      </w:r>
    </w:p>
    <w:p>
      <w:pPr>
        <w:spacing w:after="0" w:line="90"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N = 100,000,000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 = 50%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 = 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[(0.0175*.25*100,000,000)/(1-0.0175*(.50+.50))]= 445,292.61</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 xml:space="preserve">Accordingly the Transferee would be issued </w:t>
      </w:r>
      <w:r>
        <w:rPr>
          <w:rFonts w:ascii="Arial" w:cs="Arial" w:eastAsia="Arial" w:hAnsi="Arial"/>
          <w:sz w:val="18"/>
          <w:szCs w:val="18"/>
          <w:b w:val="1"/>
          <w:bCs w:val="1"/>
          <w:color w:val="auto"/>
        </w:rPr>
        <w:t>445,292 shares of Common Stock</w:t>
      </w:r>
      <w:r>
        <w:rPr>
          <w:rFonts w:ascii="Arial" w:cs="Arial" w:eastAsia="Arial" w:hAnsi="Arial"/>
          <w:sz w:val="18"/>
          <w:szCs w:val="18"/>
          <w:color w:val="auto"/>
        </w:rPr>
        <w:t xml:space="preserve"> as of 15-Jan-07, Bayer’s remaining Exercise Percentage would equal 50% while Transferee’s would be 25% and Warrant Shares remain issuable.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3" w:right="239" w:bottom="1440" w:gutter="0" w:footer="0" w:header="0"/>
        </w:sectPr>
      </w:pPr>
    </w:p>
    <w:bookmarkStart w:id="383" w:name="page384"/>
    <w:bookmarkEnd w:id="3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15-Aug-07, the IPO Date</w:t>
      </w:r>
    </w:p>
    <w:p>
      <w:pPr>
        <w:spacing w:after="0" w:line="90"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 = 120,000,000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 = 50%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on 15-Dec-07 for Transferee’s exercise</w:t>
      </w:r>
    </w:p>
    <w:p>
      <w:pPr>
        <w:spacing w:after="0" w:line="90"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E = 25%</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 = 120,000,000 (Fixed at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 = 25% (Fixed at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 = 50% (Fixed at IPO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[(0.0175*.25*120,000,000)/(1-0.0175*(.25+.50))]= 531,982.26</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Accordingly the Holder would be issued </w:t>
      </w:r>
      <w:r>
        <w:rPr>
          <w:rFonts w:ascii="Arial" w:cs="Arial" w:eastAsia="Arial" w:hAnsi="Arial"/>
          <w:sz w:val="15"/>
          <w:szCs w:val="15"/>
          <w:b w:val="1"/>
          <w:bCs w:val="1"/>
          <w:color w:val="auto"/>
        </w:rPr>
        <w:t>531,982 shares of Common Stock</w:t>
      </w:r>
      <w:r>
        <w:rPr>
          <w:rFonts w:ascii="Arial" w:cs="Arial" w:eastAsia="Arial" w:hAnsi="Arial"/>
          <w:sz w:val="15"/>
          <w:szCs w:val="15"/>
          <w:color w:val="auto"/>
        </w:rPr>
        <w:t xml:space="preserve"> as of 15-Dec-07.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on 15-Dec-07 for Bayer’s exercise</w:t>
      </w:r>
    </w:p>
    <w:p>
      <w:pPr>
        <w:spacing w:after="0" w:line="90"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 = 50%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 = 120,000,000 (Fixed at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 = 25% (Fixed at IPO Date)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 = 50% (Fixed at IPO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Exercise Amount calculated as follows: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[(0.0175*.50*120,000,000)/(1-0.0175*(.25+.50))]= 1,063,964.53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Accordingly Bayer would be issued </w:t>
      </w:r>
      <w:r>
        <w:rPr>
          <w:rFonts w:ascii="Arial" w:cs="Arial" w:eastAsia="Arial" w:hAnsi="Arial"/>
          <w:sz w:val="16"/>
          <w:szCs w:val="16"/>
          <w:b w:val="1"/>
          <w:bCs w:val="1"/>
          <w:color w:val="auto"/>
        </w:rPr>
        <w:t>1,063,964 shares of Common Stock</w:t>
      </w:r>
      <w:r>
        <w:rPr>
          <w:rFonts w:ascii="Arial" w:cs="Arial" w:eastAsia="Arial" w:hAnsi="Arial"/>
          <w:sz w:val="16"/>
          <w:szCs w:val="16"/>
          <w:color w:val="auto"/>
        </w:rPr>
        <w:t xml:space="preserve"> as of 15-Dec-07.</w:t>
      </w:r>
    </w:p>
    <w:p>
      <w:pPr>
        <w:spacing w:after="0" w:line="1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219"/>
          </w:cols>
          <w:pgMar w:left="240" w:top="280" w:right="1440" w:bottom="1440" w:gutter="0" w:footer="0" w:header="0"/>
        </w:sectPr>
      </w:pPr>
    </w:p>
    <w:bookmarkStart w:id="384" w:name="page385"/>
    <w:bookmarkEnd w:id="3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Form of Investors’ Rights Agreement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220"/>
          </w:cols>
          <w:pgMar w:left="1440" w:top="280" w:right="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ind w:right="200" w:firstLine="464"/>
        <w:spacing w:after="0" w:line="258" w:lineRule="auto"/>
        <w:tabs>
          <w:tab w:leader="none" w:pos="636"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Purposes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purposes of this 2007 Stock Plan are to attract and retain the best available personnel for positions of substantial</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and interpretations promulgated thereunder. Stock purchase rights may also be granted under the Plan.</w:t>
      </w:r>
    </w:p>
    <w:p>
      <w:pPr>
        <w:spacing w:after="0" w:line="183" w:lineRule="exact"/>
        <w:rPr>
          <w:rFonts w:ascii="Arial" w:cs="Arial" w:eastAsia="Arial" w:hAnsi="Arial"/>
          <w:sz w:val="18"/>
          <w:szCs w:val="18"/>
          <w:color w:val="auto"/>
        </w:rPr>
      </w:pPr>
    </w:p>
    <w:p>
      <w:pPr>
        <w:ind w:left="640" w:hanging="176"/>
        <w:spacing w:after="0"/>
        <w:tabs>
          <w:tab w:leader="none" w:pos="640" w:val="left"/>
        </w:tabs>
        <w:numPr>
          <w:ilvl w:val="0"/>
          <w:numId w:val="21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herein, the following definitions shall apply:</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or its Committee appointed pursuant to Section 4 of the Plan.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1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Affiliate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entity other than a Subsidiary (as defined below) which, together with the Company, is under common control of a third</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person or entity.</w:t>
      </w:r>
    </w:p>
    <w:p>
      <w:pPr>
        <w:spacing w:after="0" w:line="206" w:lineRule="exact"/>
        <w:rPr>
          <w:rFonts w:ascii="Arial" w:cs="Arial" w:eastAsia="Arial" w:hAnsi="Arial"/>
          <w:sz w:val="16"/>
          <w:szCs w:val="16"/>
          <w:color w:val="auto"/>
        </w:rPr>
      </w:pPr>
    </w:p>
    <w:p>
      <w:pPr>
        <w:ind w:right="60" w:firstLine="921"/>
        <w:spacing w:after="0" w:line="281" w:lineRule="auto"/>
        <w:tabs>
          <w:tab w:leader="none" w:pos="1157" w:val="left"/>
        </w:tabs>
        <w:numPr>
          <w:ilvl w:val="1"/>
          <w:numId w:val="219"/>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Applicable Laws</w:t>
      </w:r>
      <w:r>
        <w:rPr>
          <w:rFonts w:ascii="Arial" w:cs="Arial" w:eastAsia="Arial" w:hAnsi="Arial"/>
          <w:sz w:val="17"/>
          <w:szCs w:val="17"/>
          <w:b w:val="1"/>
          <w:bCs w:val="1"/>
          <w:color w:val="auto"/>
        </w:rPr>
        <w:t xml:space="preserve">” </w:t>
      </w:r>
      <w:r>
        <w:rPr>
          <w:rFonts w:ascii="Arial" w:cs="Arial" w:eastAsia="Arial" w:hAnsi="Arial"/>
          <w:sz w:val="17"/>
          <w:szCs w:val="17"/>
          <w:color w:val="auto"/>
        </w:rPr>
        <w:t>means the legal requirements relating to the administration of stock option and restricted stock purchase plans,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U.S. state corporate laws, U.S. federal and applicable state securities laws, other U.S. federal and state laws, the Code, any Stock Exchange rules or regulations and the applicable laws, rules and regulations of any other country or jurisdiction where Options or Stock Purchase Rights are granted under the Plan, as such laws, rules, regulations and requirements shall be in place from time to time.</w:t>
      </w:r>
    </w:p>
    <w:p>
      <w:pPr>
        <w:spacing w:after="0" w:line="164" w:lineRule="exact"/>
        <w:rPr>
          <w:rFonts w:ascii="Arial" w:cs="Arial" w:eastAsia="Arial" w:hAnsi="Arial"/>
          <w:sz w:val="17"/>
          <w:szCs w:val="17"/>
          <w:color w:val="auto"/>
        </w:rPr>
      </w:pPr>
    </w:p>
    <w:p>
      <w:pPr>
        <w:ind w:left="1180" w:hanging="259"/>
        <w:spacing w:after="0"/>
        <w:tabs>
          <w:tab w:leader="none" w:pos="1180"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Board</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Board of Directors of the Company.</w:t>
      </w:r>
    </w:p>
    <w:p>
      <w:pPr>
        <w:spacing w:after="0" w:line="225" w:lineRule="exact"/>
        <w:rPr>
          <w:rFonts w:ascii="Arial" w:cs="Arial" w:eastAsia="Arial" w:hAnsi="Arial"/>
          <w:sz w:val="18"/>
          <w:szCs w:val="18"/>
          <w:color w:val="auto"/>
        </w:rPr>
      </w:pPr>
    </w:p>
    <w:p>
      <w:pPr>
        <w:ind w:right="100" w:firstLine="921"/>
        <w:spacing w:after="0" w:line="292" w:lineRule="auto"/>
        <w:tabs>
          <w:tab w:leader="none" w:pos="1157" w:val="left"/>
        </w:tabs>
        <w:numPr>
          <w:ilvl w:val="1"/>
          <w:numId w:val="219"/>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Change of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(1) a sale of all or substantially all of the Company’s assets, or (2) any merger, consolidation or other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transaction of the Company with or into another corporation, entity or person, other than a transaction in which the holders of at least a majority of the shares of voting capital stock of the Company outstanding immediately prior to such transaction continue to hold (either by such shares remaining outstanding or by their being converted into shares of voting capital stock of the surviving entity) a majority of the total voting power represented by the shares of voting capital stock of the Company (or the surviving entity) outstanding immediately after such transaction, or (3)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161" w:lineRule="exact"/>
        <w:rPr>
          <w:rFonts w:ascii="Arial" w:cs="Arial" w:eastAsia="Arial" w:hAnsi="Arial"/>
          <w:sz w:val="16"/>
          <w:szCs w:val="16"/>
          <w:color w:val="auto"/>
        </w:rPr>
      </w:pPr>
    </w:p>
    <w:p>
      <w:pPr>
        <w:ind w:left="1140" w:hanging="219"/>
        <w:spacing w:after="0"/>
        <w:tabs>
          <w:tab w:leader="none" w:pos="1140"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Internal Revenue Code of 1986, as amended.</w:t>
      </w:r>
    </w:p>
    <w:p>
      <w:pPr>
        <w:spacing w:after="0" w:line="225" w:lineRule="exact"/>
        <w:rPr>
          <w:rFonts w:ascii="Arial" w:cs="Arial" w:eastAsia="Arial" w:hAnsi="Arial"/>
          <w:sz w:val="18"/>
          <w:szCs w:val="18"/>
          <w:color w:val="auto"/>
        </w:rPr>
      </w:pPr>
    </w:p>
    <w:p>
      <w:pPr>
        <w:ind w:right="260" w:firstLine="921"/>
        <w:spacing w:after="0" w:line="282" w:lineRule="auto"/>
        <w:tabs>
          <w:tab w:leader="none" w:pos="1168" w:val="left"/>
        </w:tabs>
        <w:numPr>
          <w:ilvl w:val="1"/>
          <w:numId w:val="219"/>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one or more committees or subcommittees of the Board appointed by the Board to administer the Plan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 below.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86" w:name="page387"/>
    <w:bookmarkEnd w:id="386"/>
    <w:p>
      <w:pPr>
        <w:ind w:left="1180" w:hanging="259"/>
        <w:spacing w:after="0"/>
        <w:tabs>
          <w:tab w:leader="none" w:pos="118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u w:val="single" w:color="auto"/>
          <w:color w:val="auto"/>
        </w:rPr>
        <w:t>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Common Stock of the Company.</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means Syndax Pharmaceuticals, Inc., a Delaware corporation.</w:t>
      </w:r>
    </w:p>
    <w:p>
      <w:pPr>
        <w:spacing w:after="0" w:line="225" w:lineRule="exact"/>
        <w:rPr>
          <w:rFonts w:ascii="Arial" w:cs="Arial" w:eastAsia="Arial" w:hAnsi="Arial"/>
          <w:sz w:val="18"/>
          <w:szCs w:val="18"/>
          <w:color w:val="auto"/>
        </w:rPr>
      </w:pPr>
    </w:p>
    <w:p>
      <w:pPr>
        <w:ind w:right="540" w:firstLine="921"/>
        <w:spacing w:after="0" w:line="313" w:lineRule="auto"/>
        <w:tabs>
          <w:tab w:leader="none" w:pos="1128"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person, including an advisor, who is engaged by the Company or any Parent, Subsidiary or Affiliate to render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is compensated for such services, and any director of the Company whether compensated for such services or not.</w:t>
      </w:r>
    </w:p>
    <w:p>
      <w:pPr>
        <w:spacing w:after="0" w:line="138" w:lineRule="exact"/>
        <w:rPr>
          <w:rFonts w:ascii="Arial" w:cs="Arial" w:eastAsia="Arial" w:hAnsi="Arial"/>
          <w:sz w:val="17"/>
          <w:szCs w:val="17"/>
          <w:color w:val="auto"/>
        </w:rPr>
      </w:pPr>
    </w:p>
    <w:p>
      <w:pPr>
        <w:ind w:right="180" w:firstLine="921"/>
        <w:spacing w:after="0" w:line="295" w:lineRule="auto"/>
        <w:tabs>
          <w:tab w:leader="none" w:pos="1168"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Continuous Service Status</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absence of any interruption or termination of service as an Employee or Consultant. Continuous</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Status as an Employee or Consultant shall not be considered interrupted in the case of: (i) sick leave; (ii) military leave; (iii) any other leave of absence approved by the Administrator, provided that such leave is for a period of not more than ninety (90) days, unless reemployment upon the expiration of such leave is guaranteed by contract or statute, or unless provided otherwise pursuant to Company policy adopted from time to time; or (iv) in the case of transfers between locations of the Company or between the Company, its Parents, Subsidiaries, Affiliates or their respective successors. A change in status from an Employee to a Consultant or from a Consultant to an Employee will not constitute an interruption of Continuous Service Status.</w:t>
      </w:r>
    </w:p>
    <w:p>
      <w:pPr>
        <w:spacing w:after="0" w:line="155" w:lineRule="exact"/>
        <w:rPr>
          <w:rFonts w:ascii="Arial" w:cs="Arial" w:eastAsia="Arial" w:hAnsi="Arial"/>
          <w:sz w:val="16"/>
          <w:szCs w:val="16"/>
          <w:color w:val="auto"/>
        </w:rPr>
      </w:pPr>
    </w:p>
    <w:p>
      <w:pPr>
        <w:ind w:right="400" w:firstLine="921"/>
        <w:spacing w:after="0" w:line="303" w:lineRule="auto"/>
        <w:tabs>
          <w:tab w:leader="none" w:pos="1128"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Corporate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sale of all or substantially all of the Company’s assets, or a merger, consolidation or other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reorganization or business combination transaction of the Company with or into another corporation, entity or person, or the direct or indirect acquisition (including by way of a tender or exchange offer) by any person, or persons acting as a group, of beneficial ownership or a right to acquire beneficial ownership of shares representing a majority of the voting power of the then outstanding shares of capital stock of the Company.</w:t>
      </w:r>
    </w:p>
    <w:p>
      <w:pPr>
        <w:spacing w:after="0" w:line="151" w:lineRule="exact"/>
        <w:rPr>
          <w:rFonts w:ascii="Arial" w:cs="Arial" w:eastAsia="Arial" w:hAnsi="Arial"/>
          <w:sz w:val="16"/>
          <w:szCs w:val="16"/>
          <w:color w:val="auto"/>
        </w:rPr>
      </w:pPr>
    </w:p>
    <w:p>
      <w:pPr>
        <w:ind w:left="1220" w:hanging="299"/>
        <w:spacing w:after="0"/>
        <w:tabs>
          <w:tab w:leader="none" w:pos="122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member of the Board.</w:t>
      </w:r>
    </w:p>
    <w:p>
      <w:pPr>
        <w:spacing w:after="0" w:line="225" w:lineRule="exact"/>
        <w:rPr>
          <w:rFonts w:ascii="Arial" w:cs="Arial" w:eastAsia="Arial" w:hAnsi="Arial"/>
          <w:sz w:val="18"/>
          <w:szCs w:val="18"/>
          <w:color w:val="auto"/>
        </w:rPr>
      </w:pPr>
    </w:p>
    <w:p>
      <w:pPr>
        <w:ind w:firstLine="921"/>
        <w:spacing w:after="0" w:line="314" w:lineRule="auto"/>
        <w:tabs>
          <w:tab w:leader="none" w:pos="1168"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person employed by the Company or any Parent, Subsidiary or Affiliate, with the status of employment determined</w:t>
      </w:r>
      <w:r>
        <w:rPr>
          <w:rFonts w:ascii="Arial" w:cs="Arial" w:eastAsia="Arial" w:hAnsi="Arial"/>
          <w:sz w:val="16"/>
          <w:szCs w:val="16"/>
          <w:b w:val="1"/>
          <w:bCs w:val="1"/>
          <w:color w:val="auto"/>
        </w:rPr>
        <w:t xml:space="preserve"> </w:t>
      </w:r>
      <w:r>
        <w:rPr>
          <w:rFonts w:ascii="Arial" w:cs="Arial" w:eastAsia="Arial" w:hAnsi="Arial"/>
          <w:sz w:val="16"/>
          <w:szCs w:val="16"/>
          <w:color w:val="auto"/>
        </w:rPr>
        <w:t>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142" w:lineRule="exact"/>
        <w:rPr>
          <w:rFonts w:ascii="Arial" w:cs="Arial" w:eastAsia="Arial" w:hAnsi="Arial"/>
          <w:sz w:val="16"/>
          <w:szCs w:val="16"/>
          <w:color w:val="auto"/>
        </w:rPr>
      </w:pPr>
    </w:p>
    <w:p>
      <w:pPr>
        <w:ind w:left="1180" w:hanging="259"/>
        <w:spacing w:after="0"/>
        <w:tabs>
          <w:tab w:leader="none" w:pos="118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Securities Exchange Act of 1934, as amended.</w:t>
      </w:r>
    </w:p>
    <w:p>
      <w:pPr>
        <w:spacing w:after="0" w:line="225" w:lineRule="exact"/>
        <w:rPr>
          <w:rFonts w:ascii="Arial" w:cs="Arial" w:eastAsia="Arial" w:hAnsi="Arial"/>
          <w:sz w:val="18"/>
          <w:szCs w:val="18"/>
          <w:color w:val="auto"/>
        </w:rPr>
      </w:pPr>
    </w:p>
    <w:p>
      <w:pPr>
        <w:jc w:val="both"/>
        <w:ind w:right="200" w:firstLine="921"/>
        <w:spacing w:after="0" w:line="289" w:lineRule="auto"/>
        <w:tabs>
          <w:tab w:leader="none" w:pos="1168"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Fair Market Value</w:t>
      </w:r>
      <w:r>
        <w:rPr>
          <w:rFonts w:ascii="Arial" w:cs="Arial" w:eastAsia="Arial" w:hAnsi="Arial"/>
          <w:sz w:val="17"/>
          <w:szCs w:val="17"/>
          <w:b w:val="1"/>
          <w:bCs w:val="1"/>
          <w:color w:val="auto"/>
        </w:rPr>
        <w:t xml:space="preserve">” </w:t>
      </w:r>
      <w:r>
        <w:rPr>
          <w:rFonts w:ascii="Arial" w:cs="Arial" w:eastAsia="Arial" w:hAnsi="Arial"/>
          <w:sz w:val="17"/>
          <w:szCs w:val="17"/>
          <w:color w:val="auto"/>
        </w:rPr>
        <w:t>means, as of any date, the fair market value of the Common Stock, as determined by the Administrator in good faith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such basis as it deems appropriate and applied consistently with respect to Participants. Whenever possible, the determination of Fair Market Value shall be based upon the closing price for the Shares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for the applicable date.</w:t>
      </w:r>
    </w:p>
    <w:p>
      <w:pPr>
        <w:spacing w:after="0" w:line="158" w:lineRule="exact"/>
        <w:rPr>
          <w:rFonts w:ascii="Arial" w:cs="Arial" w:eastAsia="Arial" w:hAnsi="Arial"/>
          <w:sz w:val="17"/>
          <w:szCs w:val="17"/>
          <w:color w:val="auto"/>
        </w:rPr>
      </w:pPr>
    </w:p>
    <w:p>
      <w:pPr>
        <w:ind w:right="120" w:firstLine="921"/>
        <w:spacing w:after="0" w:line="282" w:lineRule="auto"/>
        <w:tabs>
          <w:tab w:leader="none" w:pos="1168"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Option intended to qualify as an incentive stock option within the meaning of Section 422 of the Code,</w:t>
      </w:r>
      <w:r>
        <w:rPr>
          <w:rFonts w:ascii="Arial" w:cs="Arial" w:eastAsia="Arial" w:hAnsi="Arial"/>
          <w:sz w:val="18"/>
          <w:szCs w:val="18"/>
          <w:b w:val="1"/>
          <w:bCs w:val="1"/>
          <w:color w:val="auto"/>
        </w:rPr>
        <w:t xml:space="preserve"> </w:t>
      </w:r>
      <w:r>
        <w:rPr>
          <w:rFonts w:ascii="Arial" w:cs="Arial" w:eastAsia="Arial" w:hAnsi="Arial"/>
          <w:sz w:val="18"/>
          <w:szCs w:val="18"/>
          <w:color w:val="auto"/>
        </w:rPr>
        <w:t>as designated in the applicable Option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387" w:name="page388"/>
    <w:bookmarkEnd w:id="387"/>
    <w:p>
      <w:pPr>
        <w:ind w:right="80" w:firstLine="921"/>
        <w:spacing w:after="0" w:line="347" w:lineRule="auto"/>
        <w:tabs>
          <w:tab w:leader="none" w:pos="1138"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u w:val="single" w:color="auto"/>
          <w:color w:val="auto"/>
        </w:rPr>
        <w:t>Listed Security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any security of the Company that is listed or approved for listing on a national securities exchange or designated or</w:t>
      </w:r>
      <w:r>
        <w:rPr>
          <w:rFonts w:ascii="Arial" w:cs="Arial" w:eastAsia="Arial" w:hAnsi="Arial"/>
          <w:sz w:val="16"/>
          <w:szCs w:val="16"/>
          <w:b w:val="1"/>
          <w:bCs w:val="1"/>
          <w:color w:val="auto"/>
        </w:rPr>
        <w:t xml:space="preserve"> </w:t>
      </w:r>
      <w:r>
        <w:rPr>
          <w:rFonts w:ascii="Arial" w:cs="Arial" w:eastAsia="Arial" w:hAnsi="Arial"/>
          <w:sz w:val="16"/>
          <w:szCs w:val="16"/>
          <w:color w:val="auto"/>
        </w:rPr>
        <w:t>approved for designation as a national market system security on an interdealer quotation system by the National Association of Securities Dealers, Inc.</w:t>
      </w:r>
    </w:p>
    <w:p>
      <w:pPr>
        <w:spacing w:after="0" w:line="116" w:lineRule="exact"/>
        <w:rPr>
          <w:rFonts w:ascii="Arial" w:cs="Arial" w:eastAsia="Arial" w:hAnsi="Arial"/>
          <w:sz w:val="16"/>
          <w:szCs w:val="16"/>
          <w:color w:val="auto"/>
        </w:rPr>
      </w:pPr>
    </w:p>
    <w:p>
      <w:pPr>
        <w:ind w:firstLine="921"/>
        <w:spacing w:after="0" w:line="266" w:lineRule="auto"/>
        <w:tabs>
          <w:tab w:leader="none" w:pos="114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individual who, on the last day of the Company’s fiscal year, is the chief executive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(or is acting in such capacity) or among the four most highly compensated officers of the Company (other than the chief executive officer). Such officer status shall be determined pursuant to the executive compensation disclosure rules under the Exchange Act.</w:t>
      </w:r>
    </w:p>
    <w:p>
      <w:pPr>
        <w:spacing w:after="0" w:line="176" w:lineRule="exact"/>
        <w:rPr>
          <w:rFonts w:ascii="Arial" w:cs="Arial" w:eastAsia="Arial" w:hAnsi="Arial"/>
          <w:sz w:val="18"/>
          <w:szCs w:val="18"/>
          <w:color w:val="auto"/>
        </w:rPr>
      </w:pPr>
    </w:p>
    <w:p>
      <w:pPr>
        <w:ind w:left="1140" w:hanging="219"/>
        <w:spacing w:after="0"/>
        <w:tabs>
          <w:tab w:leader="none" w:pos="1140"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Nonstatutory Stock Option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Option not intended to qualify as an Incentive Stock Option, as designated in the applicable Option</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color w:val="auto"/>
        </w:rPr>
      </w:pPr>
    </w:p>
    <w:p>
      <w:pPr>
        <w:ind w:left="1180" w:hanging="259"/>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stock option granted pursuant to the Plan.</w:t>
      </w:r>
    </w:p>
    <w:p>
      <w:pPr>
        <w:spacing w:after="0" w:line="225" w:lineRule="exact"/>
        <w:rPr>
          <w:rFonts w:ascii="Arial" w:cs="Arial" w:eastAsia="Arial" w:hAnsi="Arial"/>
          <w:sz w:val="18"/>
          <w:szCs w:val="18"/>
          <w:color w:val="auto"/>
        </w:rPr>
      </w:pPr>
    </w:p>
    <w:p>
      <w:pPr>
        <w:ind w:right="40" w:firstLine="921"/>
        <w:spacing w:after="0" w:line="266" w:lineRule="auto"/>
        <w:tabs>
          <w:tab w:leader="none" w:pos="1168"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written document, the form(s) of which shall be approved from time to time by the Administrator, reflecting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an Option granted under the Plan and includes any documents attached to or incorporated into such Option Agreement, including, but not limited to, a notice of stock option grant and a form of exercise notice.</w:t>
      </w:r>
    </w:p>
    <w:p>
      <w:pPr>
        <w:spacing w:after="0" w:line="176" w:lineRule="exact"/>
        <w:rPr>
          <w:rFonts w:ascii="Arial" w:cs="Arial" w:eastAsia="Arial" w:hAnsi="Arial"/>
          <w:sz w:val="18"/>
          <w:szCs w:val="18"/>
          <w:color w:val="auto"/>
        </w:rPr>
      </w:pPr>
    </w:p>
    <w:p>
      <w:pPr>
        <w:ind w:right="280" w:firstLine="921"/>
        <w:spacing w:after="0" w:line="347" w:lineRule="auto"/>
        <w:tabs>
          <w:tab w:leader="none" w:pos="1208" w:val="left"/>
        </w:tabs>
        <w:numPr>
          <w:ilvl w:val="0"/>
          <w:numId w:val="221"/>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Option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program approved by the Administrator whereby outstanding Options are exchanged for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with a lower exercise price or are amended to decrease the exercise price as a result of a decline in the Fair Market Value of the Common Stock.</w:t>
      </w:r>
    </w:p>
    <w:p>
      <w:pPr>
        <w:spacing w:after="0" w:line="116" w:lineRule="exact"/>
        <w:rPr>
          <w:rFonts w:ascii="Arial" w:cs="Arial" w:eastAsia="Arial" w:hAnsi="Arial"/>
          <w:sz w:val="16"/>
          <w:szCs w:val="16"/>
          <w:color w:val="auto"/>
        </w:rPr>
      </w:pPr>
    </w:p>
    <w:p>
      <w:pPr>
        <w:ind w:left="1180" w:hanging="259"/>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Common Stock subject to an Option.</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Employee or Consultant who receives an Option.</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21"/>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Parent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“parent corporation,” whether now or hereafter existing, as defined in Section 424(e) of the Code, or any successor</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provision.</w:t>
      </w:r>
    </w:p>
    <w:p>
      <w:pPr>
        <w:spacing w:after="0" w:line="207" w:lineRule="exact"/>
        <w:rPr>
          <w:sz w:val="20"/>
          <w:szCs w:val="20"/>
          <w:color w:val="auto"/>
        </w:rPr>
      </w:pPr>
    </w:p>
    <w:p>
      <w:pPr>
        <w:ind w:right="260" w:firstLine="921"/>
        <w:spacing w:after="0" w:line="313" w:lineRule="auto"/>
        <w:tabs>
          <w:tab w:leader="none" w:pos="1237"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any holder of one or more Options or Stock Purchase Rights, or the Shares issuable or issued upon exercise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awards, under the Plan.</w:t>
      </w:r>
    </w:p>
    <w:p>
      <w:pPr>
        <w:spacing w:after="0" w:line="138" w:lineRule="exact"/>
        <w:rPr>
          <w:rFonts w:ascii="Arial" w:cs="Arial" w:eastAsia="Arial" w:hAnsi="Arial"/>
          <w:sz w:val="17"/>
          <w:szCs w:val="17"/>
          <w:color w:val="auto"/>
        </w:rPr>
      </w:pPr>
    </w:p>
    <w:p>
      <w:pPr>
        <w:ind w:left="1260" w:hanging="339"/>
        <w:spacing w:after="0"/>
        <w:tabs>
          <w:tab w:leader="none" w:pos="126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Plan</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this 2007 Stock Plan.</w:t>
      </w:r>
    </w:p>
    <w:p>
      <w:pPr>
        <w:spacing w:after="0" w:line="225" w:lineRule="exact"/>
        <w:rPr>
          <w:rFonts w:ascii="Arial" w:cs="Arial" w:eastAsia="Arial" w:hAnsi="Arial"/>
          <w:sz w:val="18"/>
          <w:szCs w:val="18"/>
          <w:color w:val="auto"/>
        </w:rPr>
      </w:pPr>
    </w:p>
    <w:p>
      <w:pPr>
        <w:ind w:right="160" w:firstLine="921"/>
        <w:spacing w:after="0" w:line="282" w:lineRule="auto"/>
        <w:tabs>
          <w:tab w:leader="none" w:pos="1237"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Reporting Person</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 officer, Director, or greater than ten percent stockholder of the Company within the meaning of Rule 16a-2</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Exchange Act, who is required to file reports pursuant to Rule 16a-3 under the Exchange Act.</w:t>
      </w:r>
    </w:p>
    <w:p>
      <w:pPr>
        <w:spacing w:after="0" w:line="161" w:lineRule="exact"/>
        <w:rPr>
          <w:rFonts w:ascii="Arial" w:cs="Arial" w:eastAsia="Arial" w:hAnsi="Arial"/>
          <w:sz w:val="18"/>
          <w:szCs w:val="18"/>
          <w:color w:val="auto"/>
        </w:rPr>
      </w:pPr>
    </w:p>
    <w:p>
      <w:pPr>
        <w:ind w:left="1260" w:hanging="339"/>
        <w:spacing w:after="0"/>
        <w:tabs>
          <w:tab w:leader="none" w:pos="1260"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means Shares of Common Stock acquired pursuant to a grant of a Stock Purchase Right under Section 11 below.</w:t>
      </w:r>
    </w:p>
    <w:p>
      <w:pPr>
        <w:spacing w:after="0" w:line="236" w:lineRule="exact"/>
        <w:rPr>
          <w:rFonts w:ascii="Arial" w:cs="Arial" w:eastAsia="Arial" w:hAnsi="Arial"/>
          <w:sz w:val="17"/>
          <w:szCs w:val="17"/>
          <w:color w:val="auto"/>
        </w:rPr>
      </w:pPr>
    </w:p>
    <w:p>
      <w:pPr>
        <w:ind w:right="440" w:firstLine="921"/>
        <w:spacing w:after="0" w:line="313" w:lineRule="auto"/>
        <w:tabs>
          <w:tab w:leader="none" w:pos="1237" w:val="left"/>
        </w:tabs>
        <w:numPr>
          <w:ilvl w:val="0"/>
          <w:numId w:val="22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Restricted Stock Purchase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means a written document, the form(s) of which shall be approved from time to time by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reflecting the terms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69" w:right="259" w:bottom="1440" w:gutter="0" w:footer="0" w:header="0"/>
        </w:sectPr>
      </w:pPr>
    </w:p>
    <w:bookmarkStart w:id="388" w:name="page389"/>
    <w:bookmarkEnd w:id="3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a Stock Purchase Right granted under the Plan and includes any documents attached to such agreement.</w:t>
      </w:r>
    </w:p>
    <w:p>
      <w:pPr>
        <w:spacing w:after="0" w:line="221" w:lineRule="exact"/>
        <w:rPr>
          <w:sz w:val="20"/>
          <w:szCs w:val="20"/>
          <w:color w:val="auto"/>
        </w:rPr>
      </w:pPr>
    </w:p>
    <w:p>
      <w:pPr>
        <w:ind w:left="1200" w:hanging="279"/>
        <w:spacing w:after="0"/>
        <w:tabs>
          <w:tab w:leader="none" w:pos="1200" w:val="left"/>
        </w:tabs>
        <w:numPr>
          <w:ilvl w:val="1"/>
          <w:numId w:val="22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Rule 16b-3</w:t>
      </w:r>
      <w:r>
        <w:rPr>
          <w:rFonts w:ascii="Arial" w:cs="Arial" w:eastAsia="Arial" w:hAnsi="Arial"/>
          <w:sz w:val="17"/>
          <w:szCs w:val="17"/>
          <w:b w:val="1"/>
          <w:bCs w:val="1"/>
          <w:color w:val="auto"/>
        </w:rPr>
        <w:t xml:space="preserve">” </w:t>
      </w:r>
      <w:r>
        <w:rPr>
          <w:rFonts w:ascii="Arial" w:cs="Arial" w:eastAsia="Arial" w:hAnsi="Arial"/>
          <w:sz w:val="17"/>
          <w:szCs w:val="17"/>
          <w:color w:val="auto"/>
        </w:rPr>
        <w:t>means Rule 16b-3 promulgated under the Exchange Act, as amended from time to time, or any successor provision.</w:t>
      </w:r>
    </w:p>
    <w:p>
      <w:pPr>
        <w:spacing w:after="0" w:line="236" w:lineRule="exact"/>
        <w:rPr>
          <w:rFonts w:ascii="Arial" w:cs="Arial" w:eastAsia="Arial" w:hAnsi="Arial"/>
          <w:sz w:val="17"/>
          <w:szCs w:val="17"/>
          <w:color w:val="auto"/>
        </w:rPr>
      </w:pPr>
    </w:p>
    <w:p>
      <w:pPr>
        <w:ind w:left="1260" w:hanging="339"/>
        <w:spacing w:after="0"/>
        <w:tabs>
          <w:tab w:leader="none" w:pos="1260"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Share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share of the Common Stock, as adjusted in accordance with Section 14 of the Plan.</w:t>
      </w:r>
    </w:p>
    <w:p>
      <w:pPr>
        <w:spacing w:after="0" w:line="225" w:lineRule="exact"/>
        <w:rPr>
          <w:rFonts w:ascii="Arial" w:cs="Arial" w:eastAsia="Arial" w:hAnsi="Arial"/>
          <w:sz w:val="18"/>
          <w:szCs w:val="18"/>
          <w:color w:val="auto"/>
        </w:rPr>
      </w:pPr>
    </w:p>
    <w:p>
      <w:pPr>
        <w:ind w:right="420" w:firstLine="921"/>
        <w:spacing w:after="0" w:line="282" w:lineRule="auto"/>
        <w:tabs>
          <w:tab w:leader="none" w:pos="1258"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means any stock exchange or consolidated stock price reporting system on which prices for the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quoted at any given time.</w:t>
      </w:r>
    </w:p>
    <w:p>
      <w:pPr>
        <w:spacing w:after="0" w:line="161" w:lineRule="exact"/>
        <w:rPr>
          <w:rFonts w:ascii="Arial" w:cs="Arial" w:eastAsia="Arial" w:hAnsi="Arial"/>
          <w:sz w:val="18"/>
          <w:szCs w:val="18"/>
          <w:color w:val="auto"/>
        </w:rPr>
      </w:pPr>
    </w:p>
    <w:p>
      <w:pPr>
        <w:ind w:left="1180" w:hanging="259"/>
        <w:spacing w:after="0"/>
        <w:tabs>
          <w:tab w:leader="none" w:pos="1180"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 Purchase Right</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the right to purchase Common Stock pursuant to Section 11 below.</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1"/>
          <w:numId w:val="223"/>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Subsidiary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“subsidiary corporation,” whether now or hereafter existing, as defined in Section 424(f) of the Code, or any successor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provision.</w:t>
      </w:r>
    </w:p>
    <w:p>
      <w:pPr>
        <w:spacing w:after="0" w:line="206" w:lineRule="exact"/>
        <w:rPr>
          <w:rFonts w:ascii="Arial" w:cs="Arial" w:eastAsia="Arial" w:hAnsi="Arial"/>
          <w:sz w:val="16"/>
          <w:szCs w:val="16"/>
          <w:color w:val="auto"/>
        </w:rPr>
      </w:pPr>
    </w:p>
    <w:p>
      <w:pPr>
        <w:ind w:right="40" w:firstLine="921"/>
        <w:spacing w:after="0" w:line="282" w:lineRule="auto"/>
        <w:tabs>
          <w:tab w:leader="none" w:pos="1258" w:val="left"/>
        </w:tabs>
        <w:numPr>
          <w:ilvl w:val="1"/>
          <w:numId w:val="223"/>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 Percent Holder</w:t>
      </w:r>
      <w:r>
        <w:rPr>
          <w:rFonts w:ascii="Arial" w:cs="Arial" w:eastAsia="Arial" w:hAnsi="Arial"/>
          <w:sz w:val="18"/>
          <w:szCs w:val="18"/>
          <w:b w:val="1"/>
          <w:bCs w:val="1"/>
          <w:color w:val="auto"/>
        </w:rPr>
        <w:t xml:space="preserve">” </w:t>
      </w:r>
      <w:r>
        <w:rPr>
          <w:rFonts w:ascii="Arial" w:cs="Arial" w:eastAsia="Arial" w:hAnsi="Arial"/>
          <w:sz w:val="18"/>
          <w:szCs w:val="18"/>
          <w:color w:val="auto"/>
        </w:rPr>
        <w:t>means a person who owns stock representing more than ten percent (10%) of the voting power of all classes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or any Parent or Subsidiary.</w:t>
      </w:r>
    </w:p>
    <w:p>
      <w:pPr>
        <w:spacing w:after="0" w:line="161" w:lineRule="exact"/>
        <w:rPr>
          <w:rFonts w:ascii="Arial" w:cs="Arial" w:eastAsia="Arial" w:hAnsi="Arial"/>
          <w:sz w:val="18"/>
          <w:szCs w:val="18"/>
          <w:color w:val="auto"/>
        </w:rPr>
      </w:pPr>
    </w:p>
    <w:p>
      <w:pPr>
        <w:ind w:firstLine="464"/>
        <w:spacing w:after="0" w:line="292" w:lineRule="auto"/>
        <w:tabs>
          <w:tab w:leader="none" w:pos="636" w:val="left"/>
        </w:tabs>
        <w:numPr>
          <w:ilvl w:val="0"/>
          <w:numId w:val="224"/>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 Subject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provisions of Section 14 of the Plan, the maximum aggregate number of Shares that may be sold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5,750,000.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269" w:lineRule="exact"/>
        <w:rPr>
          <w:rFonts w:ascii="Arial" w:cs="Arial" w:eastAsia="Arial" w:hAnsi="Arial"/>
          <w:sz w:val="16"/>
          <w:szCs w:val="16"/>
          <w:color w:val="auto"/>
        </w:rPr>
      </w:pPr>
    </w:p>
    <w:p>
      <w:pPr>
        <w:ind w:left="640" w:hanging="176"/>
        <w:spacing w:after="0"/>
        <w:tabs>
          <w:tab w:leader="none" w:pos="640" w:val="left"/>
        </w:tabs>
        <w:numPr>
          <w:ilvl w:val="0"/>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60" w:firstLine="921"/>
        <w:spacing w:after="0" w:line="266" w:lineRule="auto"/>
        <w:tabs>
          <w:tab w:leader="none" w:pos="1157" w:val="left"/>
        </w:tabs>
        <w:numPr>
          <w:ilvl w:val="1"/>
          <w:numId w:val="224"/>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 administered by the Board or a Committee, or a combination thereof, as determined by the Board. The Plan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administered by different administrative bodies with respect to different classes of Participants and, if permitted by the Applicable Laws, the Board may authorize one or more officers to make awards under the Plan.</w:t>
      </w:r>
    </w:p>
    <w:p>
      <w:pPr>
        <w:spacing w:after="0" w:line="176" w:lineRule="exact"/>
        <w:rPr>
          <w:rFonts w:ascii="Arial" w:cs="Arial" w:eastAsia="Arial" w:hAnsi="Arial"/>
          <w:sz w:val="18"/>
          <w:szCs w:val="18"/>
          <w:color w:val="auto"/>
        </w:rPr>
      </w:pPr>
    </w:p>
    <w:p>
      <w:pPr>
        <w:jc w:val="both"/>
        <w:ind w:right="40" w:firstLine="921"/>
        <w:spacing w:after="0" w:line="281" w:lineRule="auto"/>
        <w:tabs>
          <w:tab w:leader="none" w:pos="1168" w:val="left"/>
        </w:tabs>
        <w:numPr>
          <w:ilvl w:val="1"/>
          <w:numId w:val="224"/>
        </w:numPr>
        <w:rPr>
          <w:rFonts w:ascii="Arial" w:cs="Arial" w:eastAsia="Arial" w:hAnsi="Arial"/>
          <w:sz w:val="17"/>
          <w:szCs w:val="17"/>
          <w:color w:val="auto"/>
        </w:rPr>
      </w:pPr>
      <w:r>
        <w:rPr>
          <w:rFonts w:ascii="Arial" w:cs="Arial" w:eastAsia="Arial" w:hAnsi="Arial"/>
          <w:sz w:val="17"/>
          <w:szCs w:val="17"/>
          <w:b w:val="1"/>
          <w:bCs w:val="1"/>
          <w:u w:val="single" w:color="auto"/>
          <w:color w:val="auto"/>
        </w:rPr>
        <w:t>Committee Composition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If a Committee has been appointed pursuant to this Section 4, such Committee shall continue to serve in its</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89" w:name="page390"/>
    <w:bookmarkEnd w:id="389"/>
    <w:p>
      <w:pPr>
        <w:ind w:right="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Applicable Laws and, in the case of a Committee administering the Plan in accordance with the requirements of Rule 16b-3 or Section 162(m) of the Code, to the extent permitted or required by such provisions. The Committee shall in all events conform to any requirements of the Applicable Laws.</w:t>
      </w:r>
    </w:p>
    <w:p>
      <w:pPr>
        <w:spacing w:after="0" w:line="143" w:lineRule="exact"/>
        <w:rPr>
          <w:sz w:val="20"/>
          <w:szCs w:val="20"/>
          <w:color w:val="auto"/>
        </w:rPr>
      </w:pPr>
    </w:p>
    <w:p>
      <w:pPr>
        <w:ind w:right="460" w:firstLine="921"/>
        <w:spacing w:after="0" w:line="282" w:lineRule="auto"/>
        <w:tabs>
          <w:tab w:leader="none" w:pos="1157" w:val="left"/>
        </w:tabs>
        <w:numPr>
          <w:ilvl w:val="0"/>
          <w:numId w:val="225"/>
        </w:numPr>
        <w:rPr>
          <w:rFonts w:ascii="Arial" w:cs="Arial" w:eastAsia="Arial" w:hAnsi="Arial"/>
          <w:sz w:val="18"/>
          <w:szCs w:val="18"/>
          <w:color w:val="auto"/>
        </w:rPr>
      </w:pPr>
      <w:r>
        <w:rPr>
          <w:rFonts w:ascii="Arial" w:cs="Arial" w:eastAsia="Arial" w:hAnsi="Arial"/>
          <w:sz w:val="18"/>
          <w:szCs w:val="18"/>
          <w:b w:val="1"/>
          <w:bCs w:val="1"/>
          <w:u w:val="single" w:color="auto"/>
          <w:color w:val="auto"/>
        </w:rPr>
        <w:t>Powers of the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the Plan and in the case of a Committee, the specific duties delegated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to such Committee, the Administrator shall have the authority, in its discretion:</w:t>
      </w:r>
    </w:p>
    <w:p>
      <w:pPr>
        <w:spacing w:after="0" w:line="165" w:lineRule="exact"/>
        <w:rPr>
          <w:rFonts w:ascii="Arial" w:cs="Arial" w:eastAsia="Arial" w:hAnsi="Arial"/>
          <w:sz w:val="18"/>
          <w:szCs w:val="18"/>
          <w:color w:val="auto"/>
        </w:rPr>
      </w:pPr>
    </w:p>
    <w:p>
      <w:pPr>
        <w:ind w:right="920" w:firstLine="1492"/>
        <w:spacing w:after="0" w:line="277" w:lineRule="auto"/>
        <w:tabs>
          <w:tab w:leader="none" w:pos="169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determine the Fair Market Value of the Common Stock, in accordance with Section 2(p) of the Plan, provided that such determination shall be applied consistently with respect to Participants under the Plan;</w:t>
      </w:r>
    </w:p>
    <w:p>
      <w:pPr>
        <w:spacing w:after="0" w:line="170" w:lineRule="exact"/>
        <w:rPr>
          <w:rFonts w:ascii="Arial" w:cs="Arial" w:eastAsia="Arial" w:hAnsi="Arial"/>
          <w:sz w:val="18"/>
          <w:szCs w:val="18"/>
          <w:color w:val="auto"/>
        </w:rPr>
      </w:pPr>
    </w:p>
    <w:p>
      <w:pPr>
        <w:ind w:left="1760" w:hanging="268"/>
        <w:spacing w:after="0"/>
        <w:tabs>
          <w:tab w:leader="none" w:pos="176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select the Employees and Consultants to whom Plan awards may from time to time be granted;</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determine whether and to what extent Plan awards are granted;</w:t>
      </w:r>
    </w:p>
    <w:p>
      <w:pPr>
        <w:spacing w:after="0" w:line="225" w:lineRule="exact"/>
        <w:rPr>
          <w:rFonts w:ascii="Arial" w:cs="Arial" w:eastAsia="Arial" w:hAnsi="Arial"/>
          <w:sz w:val="18"/>
          <w:szCs w:val="18"/>
          <w:color w:val="auto"/>
        </w:rPr>
      </w:pPr>
    </w:p>
    <w:p>
      <w:pPr>
        <w:ind w:left="1800" w:hanging="308"/>
        <w:spacing w:after="0"/>
        <w:tabs>
          <w:tab w:leader="none" w:pos="180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determine the number of Shares of Common Stock to be covered by each award granted;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approve the form(s) of agreement(s) used under the Plan;</w:t>
      </w:r>
    </w:p>
    <w:p>
      <w:pPr>
        <w:spacing w:after="0" w:line="225" w:lineRule="exact"/>
        <w:rPr>
          <w:rFonts w:ascii="Arial" w:cs="Arial" w:eastAsia="Arial" w:hAnsi="Arial"/>
          <w:sz w:val="18"/>
          <w:szCs w:val="18"/>
          <w:color w:val="auto"/>
        </w:rPr>
      </w:pPr>
    </w:p>
    <w:p>
      <w:pPr>
        <w:ind w:firstLine="1492"/>
        <w:spacing w:after="0" w:line="276" w:lineRule="auto"/>
        <w:tabs>
          <w:tab w:leader="none" w:pos="178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which terms and conditions include but are not limited to the exercise or purchase price, the time or times when awards may be exercised (which may be based on performance criteria), any vesting acceleration or waiver of forfeiture restrictions, any pro rata adjustment to vesting as a result of a Participant’s transitioning from full- to part-time service (or vice versa), and any restriction or limitation regarding any Option, Optioned Stock, Stock Purchase Right or Restricted Stock, based in each case on such factors as the Administrator, in its sole discretion, shall determine;</w:t>
      </w:r>
    </w:p>
    <w:p>
      <w:pPr>
        <w:spacing w:after="0" w:line="172" w:lineRule="exact"/>
        <w:rPr>
          <w:rFonts w:ascii="Arial" w:cs="Arial" w:eastAsia="Arial" w:hAnsi="Arial"/>
          <w:sz w:val="17"/>
          <w:szCs w:val="17"/>
          <w:color w:val="auto"/>
        </w:rPr>
      </w:pPr>
    </w:p>
    <w:p>
      <w:pPr>
        <w:ind w:left="1840" w:hanging="348"/>
        <w:spacing w:after="0"/>
        <w:tabs>
          <w:tab w:leader="none" w:pos="184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to determine whether and under what circumstances an Option may be settled in cash under Section 10(c) instead of Common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Stock;</w:t>
      </w:r>
    </w:p>
    <w:p>
      <w:pPr>
        <w:spacing w:after="0" w:line="210" w:lineRule="exact"/>
        <w:rPr>
          <w:rFonts w:ascii="Arial" w:cs="Arial" w:eastAsia="Arial" w:hAnsi="Arial"/>
          <w:sz w:val="17"/>
          <w:szCs w:val="17"/>
          <w:color w:val="auto"/>
        </w:rPr>
      </w:pPr>
    </w:p>
    <w:p>
      <w:pPr>
        <w:ind w:right="60" w:firstLine="1492"/>
        <w:spacing w:after="0" w:line="264" w:lineRule="auto"/>
        <w:tabs>
          <w:tab w:leader="none" w:pos="18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implement an Option Exchange Program on such terms and conditions as the Administrator in its discretion deems appropriate, provided that no amendment or adjustment to an Option that would materially and adversely affect the rights of any Optionee shall be made without the prior written consent of the Optionee;</w:t>
      </w:r>
    </w:p>
    <w:p>
      <w:pPr>
        <w:spacing w:after="0" w:line="181" w:lineRule="exact"/>
        <w:rPr>
          <w:rFonts w:ascii="Arial" w:cs="Arial" w:eastAsia="Arial" w:hAnsi="Arial"/>
          <w:sz w:val="18"/>
          <w:szCs w:val="18"/>
          <w:color w:val="auto"/>
        </w:rPr>
      </w:pPr>
    </w:p>
    <w:p>
      <w:pPr>
        <w:ind w:right="160" w:firstLine="1492"/>
        <w:spacing w:after="0" w:line="277" w:lineRule="auto"/>
        <w:tabs>
          <w:tab w:leader="none" w:pos="178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adjust the vesting of an Option held by an Employee or Consultant as a result of a change in the terms or conditions under which such person is providing services to the Company;</w:t>
      </w:r>
    </w:p>
    <w:p>
      <w:pPr>
        <w:spacing w:after="0" w:line="170" w:lineRule="exact"/>
        <w:rPr>
          <w:rFonts w:ascii="Arial" w:cs="Arial" w:eastAsia="Arial" w:hAnsi="Arial"/>
          <w:sz w:val="18"/>
          <w:szCs w:val="18"/>
          <w:color w:val="auto"/>
        </w:rPr>
      </w:pPr>
    </w:p>
    <w:p>
      <w:pPr>
        <w:ind w:right="160" w:firstLine="1492"/>
        <w:spacing w:after="0" w:line="277" w:lineRule="auto"/>
        <w:tabs>
          <w:tab w:leader="none" w:pos="173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under the Plan, which constructions, interpretations and decisions shall be final and binding on all Participants;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90" w:name="page391"/>
    <w:bookmarkEnd w:id="390"/>
    <w:p>
      <w:pPr>
        <w:ind w:right="220" w:firstLine="1492"/>
        <w:spacing w:after="0" w:line="342" w:lineRule="auto"/>
        <w:tabs>
          <w:tab w:leader="none" w:pos="1788" w:val="left"/>
        </w:tabs>
        <w:numPr>
          <w:ilvl w:val="3"/>
          <w:numId w:val="2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fulfill the purposes of the Plan and without amending the Plan, to modify grants of Options or Stock Purchase Rights to Participants who are foreign nationals or employed outside of the United States in order to recognize differences in local law, tax policies or customs.</w:t>
      </w:r>
    </w:p>
    <w:p>
      <w:pPr>
        <w:spacing w:after="0" w:line="227" w:lineRule="exact"/>
        <w:rPr>
          <w:rFonts w:ascii="Arial" w:cs="Arial" w:eastAsia="Arial" w:hAnsi="Arial"/>
          <w:sz w:val="16"/>
          <w:szCs w:val="16"/>
          <w:color w:val="auto"/>
        </w:rPr>
      </w:pPr>
    </w:p>
    <w:p>
      <w:pPr>
        <w:ind w:left="640" w:hanging="176"/>
        <w:spacing w:after="0"/>
        <w:tabs>
          <w:tab w:leader="none" w:pos="640" w:val="left"/>
        </w:tabs>
        <w:numPr>
          <w:ilvl w:val="1"/>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347" w:lineRule="auto"/>
        <w:tabs>
          <w:tab w:leader="none" w:pos="1157" w:val="left"/>
        </w:tabs>
        <w:numPr>
          <w:ilvl w:val="2"/>
          <w:numId w:val="227"/>
        </w:numPr>
        <w:rPr>
          <w:rFonts w:ascii="Arial" w:cs="Arial" w:eastAsia="Arial" w:hAnsi="Arial"/>
          <w:sz w:val="16"/>
          <w:szCs w:val="16"/>
          <w:color w:val="auto"/>
        </w:rPr>
      </w:pPr>
      <w:r>
        <w:rPr>
          <w:rFonts w:ascii="Arial" w:cs="Arial" w:eastAsia="Arial" w:hAnsi="Arial"/>
          <w:sz w:val="16"/>
          <w:szCs w:val="16"/>
          <w:b w:val="1"/>
          <w:bCs w:val="1"/>
          <w:u w:val="single" w:color="auto"/>
          <w:color w:val="auto"/>
        </w:rPr>
        <w:t>Recipients of Grants</w:t>
      </w:r>
      <w:r>
        <w:rPr>
          <w:rFonts w:ascii="Arial" w:cs="Arial" w:eastAsia="Arial" w:hAnsi="Arial"/>
          <w:sz w:val="16"/>
          <w:szCs w:val="16"/>
          <w:b w:val="1"/>
          <w:bCs w:val="1"/>
          <w:color w:val="auto"/>
        </w:rPr>
        <w:t xml:space="preserve">. </w:t>
      </w:r>
      <w:r>
        <w:rPr>
          <w:rFonts w:ascii="Arial" w:cs="Arial" w:eastAsia="Arial" w:hAnsi="Arial"/>
          <w:sz w:val="16"/>
          <w:szCs w:val="16"/>
          <w:color w:val="auto"/>
        </w:rPr>
        <w:t>Nonstatutory Stock Options and Stock Purchase Rights may be granted to Employees and Consultants. Incentive Stock</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may be granted only to Employees, provided that Employees of Affiliates shall not be eligible to receive Incentive Stock Options.</w:t>
      </w:r>
    </w:p>
    <w:p>
      <w:pPr>
        <w:spacing w:after="0" w:line="116" w:lineRule="exact"/>
        <w:rPr>
          <w:rFonts w:ascii="Arial" w:cs="Arial" w:eastAsia="Arial" w:hAnsi="Arial"/>
          <w:sz w:val="16"/>
          <w:szCs w:val="16"/>
          <w:color w:val="auto"/>
        </w:rPr>
      </w:pPr>
    </w:p>
    <w:p>
      <w:pPr>
        <w:ind w:left="1180" w:hanging="259"/>
        <w:spacing w:after="0"/>
        <w:tabs>
          <w:tab w:leader="none" w:pos="1180" w:val="left"/>
        </w:tabs>
        <w:numPr>
          <w:ilvl w:val="2"/>
          <w:numId w:val="227"/>
        </w:numPr>
        <w:rPr>
          <w:rFonts w:ascii="Arial" w:cs="Arial" w:eastAsia="Arial" w:hAnsi="Arial"/>
          <w:sz w:val="17"/>
          <w:szCs w:val="17"/>
          <w:color w:val="auto"/>
        </w:rPr>
      </w:pPr>
      <w:r>
        <w:rPr>
          <w:rFonts w:ascii="Arial" w:cs="Arial" w:eastAsia="Arial" w:hAnsi="Arial"/>
          <w:sz w:val="17"/>
          <w:szCs w:val="17"/>
          <w:b w:val="1"/>
          <w:bCs w:val="1"/>
          <w:u w:val="single" w:color="auto"/>
          <w:color w:val="auto"/>
        </w:rPr>
        <w:t>Type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Each Option shall be designated in the Option Agreement as either an Incentive Stock Option or a Nonstatutory Stock</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06" w:lineRule="exact"/>
        <w:rPr>
          <w:rFonts w:ascii="Arial" w:cs="Arial" w:eastAsia="Arial" w:hAnsi="Arial"/>
          <w:sz w:val="17"/>
          <w:szCs w:val="17"/>
          <w:color w:val="auto"/>
        </w:rPr>
      </w:pPr>
    </w:p>
    <w:p>
      <w:pPr>
        <w:ind w:right="60" w:firstLine="921"/>
        <w:spacing w:after="0" w:line="277" w:lineRule="auto"/>
        <w:tabs>
          <w:tab w:leader="none" w:pos="1157" w:val="left"/>
        </w:tabs>
        <w:numPr>
          <w:ilvl w:val="2"/>
          <w:numId w:val="227"/>
        </w:numPr>
        <w:rPr>
          <w:rFonts w:ascii="Arial" w:cs="Arial" w:eastAsia="Arial" w:hAnsi="Arial"/>
          <w:sz w:val="17"/>
          <w:szCs w:val="17"/>
          <w:color w:val="auto"/>
        </w:rPr>
      </w:pPr>
      <w:r>
        <w:rPr>
          <w:rFonts w:ascii="Arial" w:cs="Arial" w:eastAsia="Arial" w:hAnsi="Arial"/>
          <w:sz w:val="17"/>
          <w:szCs w:val="17"/>
          <w:b w:val="1"/>
          <w:bCs w:val="1"/>
          <w:u w:val="single" w:color="auto"/>
          <w:color w:val="auto"/>
        </w:rPr>
        <w:t>ISO $100,000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designation under Section 5(b), to the extent that the aggregate Fair Market Value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5(c), Incentive Stock Options shall be taken into account in the order in which they were granted, and the Fair Market Value of the Shares subject to an Incentive Stock Option shall be determined as of the date of the grant of such Option.</w:t>
      </w:r>
    </w:p>
    <w:p>
      <w:pPr>
        <w:spacing w:after="0" w:line="168" w:lineRule="exact"/>
        <w:rPr>
          <w:rFonts w:ascii="Arial" w:cs="Arial" w:eastAsia="Arial" w:hAnsi="Arial"/>
          <w:sz w:val="17"/>
          <w:szCs w:val="17"/>
          <w:color w:val="auto"/>
        </w:rPr>
      </w:pPr>
    </w:p>
    <w:p>
      <w:pPr>
        <w:ind w:right="160" w:firstLine="921"/>
        <w:spacing w:after="0" w:line="266" w:lineRule="auto"/>
        <w:tabs>
          <w:tab w:leader="none" w:pos="1168" w:val="left"/>
        </w:tabs>
        <w:numPr>
          <w:ilvl w:val="2"/>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not confer upon any Participant any right with respect to continuation of an employment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consulting relationship with the Company, nor shall it interfere in any way with such Participant’s right or the Company’s right to terminate the employment or consulting relationship at any time for any reason.</w:t>
      </w:r>
    </w:p>
    <w:p>
      <w:pPr>
        <w:spacing w:after="0" w:line="176" w:lineRule="exact"/>
        <w:rPr>
          <w:rFonts w:ascii="Arial" w:cs="Arial" w:eastAsia="Arial" w:hAnsi="Arial"/>
          <w:sz w:val="18"/>
          <w:szCs w:val="18"/>
          <w:color w:val="auto"/>
        </w:rPr>
      </w:pPr>
    </w:p>
    <w:p>
      <w:pPr>
        <w:ind w:right="320" w:firstLine="464"/>
        <w:spacing w:after="0" w:line="282" w:lineRule="auto"/>
        <w:tabs>
          <w:tab w:leader="none" w:pos="636" w:val="left"/>
        </w:tabs>
        <w:numPr>
          <w:ilvl w:val="1"/>
          <w:numId w:val="227"/>
        </w:numPr>
        <w:rPr>
          <w:rFonts w:ascii="Arial" w:cs="Arial" w:eastAsia="Arial" w:hAnsi="Arial"/>
          <w:sz w:val="18"/>
          <w:szCs w:val="18"/>
          <w:color w:val="auto"/>
        </w:rPr>
      </w:pPr>
      <w:r>
        <w:rPr>
          <w:rFonts w:ascii="Arial" w:cs="Arial" w:eastAsia="Arial" w:hAnsi="Arial"/>
          <w:sz w:val="18"/>
          <w:szCs w:val="18"/>
          <w:b w:val="1"/>
          <w:bCs w:val="1"/>
          <w:u w:val="single" w:color="auto"/>
          <w:color w:val="auto"/>
        </w:rPr>
        <w:t>Term of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shall become effective upon its adoption by the Board of Directors. It shall continue in effect for a term of ten (10) years</w:t>
      </w:r>
      <w:r>
        <w:rPr>
          <w:rFonts w:ascii="Arial" w:cs="Arial" w:eastAsia="Arial" w:hAnsi="Arial"/>
          <w:sz w:val="18"/>
          <w:szCs w:val="18"/>
          <w:b w:val="1"/>
          <w:bCs w:val="1"/>
          <w:color w:val="auto"/>
        </w:rPr>
        <w:t xml:space="preserve"> </w:t>
      </w:r>
      <w:r>
        <w:rPr>
          <w:rFonts w:ascii="Arial" w:cs="Arial" w:eastAsia="Arial" w:hAnsi="Arial"/>
          <w:sz w:val="18"/>
          <w:szCs w:val="18"/>
          <w:color w:val="auto"/>
        </w:rPr>
        <w:t>unless sooner terminated under Section 16 of the Plan.</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1"/>
          <w:numId w:val="227"/>
        </w:numPr>
        <w:rPr>
          <w:rFonts w:ascii="Arial" w:cs="Arial" w:eastAsia="Arial" w:hAnsi="Arial"/>
          <w:sz w:val="17"/>
          <w:szCs w:val="17"/>
          <w:color w:val="auto"/>
        </w:rPr>
      </w:pPr>
      <w:r>
        <w:rPr>
          <w:rFonts w:ascii="Arial" w:cs="Arial" w:eastAsia="Arial" w:hAnsi="Arial"/>
          <w:sz w:val="17"/>
          <w:szCs w:val="17"/>
          <w:b w:val="1"/>
          <w:bCs w:val="1"/>
          <w:u w:val="single" w:color="auto"/>
          <w:color w:val="auto"/>
        </w:rPr>
        <w:t>Term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each Option shall be the term stated in the Option Agreement; provided that the term shall be no more than ten</w:t>
      </w:r>
    </w:p>
    <w:p>
      <w:pPr>
        <w:spacing w:after="0" w:line="38" w:lineRule="exact"/>
        <w:rPr>
          <w:rFonts w:ascii="Arial" w:cs="Arial" w:eastAsia="Arial" w:hAnsi="Arial"/>
          <w:sz w:val="17"/>
          <w:szCs w:val="17"/>
          <w:color w:val="auto"/>
        </w:rPr>
      </w:pPr>
    </w:p>
    <w:p>
      <w:pPr>
        <w:ind w:right="160" w:firstLine="8"/>
        <w:spacing w:after="0" w:line="255" w:lineRule="auto"/>
        <w:tabs>
          <w:tab w:leader="none" w:pos="34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186" w:lineRule="exact"/>
        <w:rPr>
          <w:rFonts w:ascii="Arial" w:cs="Arial" w:eastAsia="Arial" w:hAnsi="Arial"/>
          <w:sz w:val="18"/>
          <w:szCs w:val="18"/>
          <w:color w:val="auto"/>
        </w:rPr>
      </w:pPr>
    </w:p>
    <w:p>
      <w:pPr>
        <w:ind w:left="640" w:hanging="176"/>
        <w:spacing w:after="0"/>
        <w:tabs>
          <w:tab w:leader="none" w:pos="640" w:val="left"/>
        </w:tabs>
        <w:numPr>
          <w:ilvl w:val="1"/>
          <w:numId w:val="228"/>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333" w:lineRule="exact"/>
        <w:rPr>
          <w:rFonts w:ascii="Arial" w:cs="Arial" w:eastAsia="Arial" w:hAnsi="Arial"/>
          <w:sz w:val="18"/>
          <w:szCs w:val="18"/>
          <w:color w:val="auto"/>
        </w:rPr>
      </w:pPr>
    </w:p>
    <w:p>
      <w:pPr>
        <w:ind w:left="640" w:hanging="176"/>
        <w:spacing w:after="0"/>
        <w:tabs>
          <w:tab w:leader="none" w:pos="640" w:val="left"/>
        </w:tabs>
        <w:numPr>
          <w:ilvl w:val="1"/>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 Exercise Price and Consideration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82" w:lineRule="auto"/>
        <w:tabs>
          <w:tab w:leader="none" w:pos="1157" w:val="left"/>
        </w:tabs>
        <w:numPr>
          <w:ilvl w:val="2"/>
          <w:numId w:val="228"/>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per Share exercise price for the Shares to be issued pursuant to exercise of an Option shall be such price as is determined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Administrator and set forth in the Option Agreement, but shall be subject to the following: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91" w:name="page392"/>
    <w:bookmarkEnd w:id="391"/>
    <w:p>
      <w:pPr>
        <w:ind w:left="1640" w:hanging="208"/>
        <w:spacing w:after="0"/>
        <w:tabs>
          <w:tab w:leader="none" w:pos="16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an Incentive Stock Option</w:t>
      </w:r>
    </w:p>
    <w:p>
      <w:pPr>
        <w:spacing w:after="0" w:line="225" w:lineRule="exact"/>
        <w:rPr>
          <w:rFonts w:ascii="Arial" w:cs="Arial" w:eastAsia="Arial" w:hAnsi="Arial"/>
          <w:sz w:val="18"/>
          <w:szCs w:val="18"/>
          <w:color w:val="auto"/>
        </w:rPr>
      </w:pPr>
    </w:p>
    <w:p>
      <w:pPr>
        <w:ind w:left="-60" w:right="60" w:firstLine="1948"/>
        <w:spacing w:after="0" w:line="277" w:lineRule="auto"/>
        <w:tabs>
          <w:tab w:leader="none" w:pos="2175" w:val="left"/>
        </w:tabs>
        <w:numPr>
          <w:ilvl w:val="2"/>
          <w:numId w:val="229"/>
        </w:numPr>
        <w:rPr>
          <w:rFonts w:ascii="Arial" w:cs="Arial" w:eastAsia="Arial" w:hAnsi="Arial"/>
          <w:sz w:val="18"/>
          <w:szCs w:val="18"/>
          <w:color w:val="auto"/>
        </w:rPr>
      </w:pPr>
      <w:r>
        <w:rPr>
          <w:rFonts w:ascii="Arial" w:cs="Arial" w:eastAsia="Arial" w:hAnsi="Arial"/>
          <w:sz w:val="18"/>
          <w:szCs w:val="18"/>
          <w:color w:val="auto"/>
        </w:rPr>
        <w:t>granted to an Employee who at the time of grant is a Ten Percent Holder, the per Share exercise price shall be no less than one hundred ten percent (110%) of the Fair Market Value per Share on the date of grant; or</w:t>
      </w:r>
    </w:p>
    <w:p>
      <w:pPr>
        <w:spacing w:after="0" w:line="170" w:lineRule="exact"/>
        <w:rPr>
          <w:rFonts w:ascii="Arial" w:cs="Arial" w:eastAsia="Arial" w:hAnsi="Arial"/>
          <w:sz w:val="18"/>
          <w:szCs w:val="18"/>
          <w:color w:val="auto"/>
        </w:rPr>
      </w:pPr>
    </w:p>
    <w:p>
      <w:pPr>
        <w:ind w:left="-60" w:right="460" w:firstLine="1948"/>
        <w:spacing w:after="0" w:line="277" w:lineRule="auto"/>
        <w:tabs>
          <w:tab w:leader="none" w:pos="2165" w:val="left"/>
        </w:tabs>
        <w:numPr>
          <w:ilvl w:val="2"/>
          <w:numId w:val="229"/>
        </w:numPr>
        <w:rPr>
          <w:rFonts w:ascii="Arial" w:cs="Arial" w:eastAsia="Arial" w:hAnsi="Arial"/>
          <w:sz w:val="18"/>
          <w:szCs w:val="18"/>
          <w:color w:val="auto"/>
        </w:rPr>
      </w:pPr>
      <w:r>
        <w:rPr>
          <w:rFonts w:ascii="Arial" w:cs="Arial" w:eastAsia="Arial" w:hAnsi="Arial"/>
          <w:sz w:val="18"/>
          <w:szCs w:val="18"/>
          <w:color w:val="auto"/>
        </w:rPr>
        <w:t>granted to any other Employee, the per Share exercise price shall be no less than one hundred percent (100%) of the Fair Market Value per Share on the date of grant.</w:t>
      </w:r>
    </w:p>
    <w:p>
      <w:pPr>
        <w:spacing w:after="0" w:line="170" w:lineRule="exact"/>
        <w:rPr>
          <w:rFonts w:ascii="Arial" w:cs="Arial" w:eastAsia="Arial" w:hAnsi="Arial"/>
          <w:sz w:val="18"/>
          <w:szCs w:val="18"/>
          <w:color w:val="auto"/>
        </w:rPr>
      </w:pPr>
    </w:p>
    <w:p>
      <w:pPr>
        <w:ind w:left="1700" w:hanging="268"/>
        <w:spacing w:after="0"/>
        <w:tabs>
          <w:tab w:leader="none" w:pos="17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In the case of a Nonstatutory Stock Option</w:t>
      </w:r>
    </w:p>
    <w:p>
      <w:pPr>
        <w:spacing w:after="0" w:line="225" w:lineRule="exact"/>
        <w:rPr>
          <w:rFonts w:ascii="Arial" w:cs="Arial" w:eastAsia="Arial" w:hAnsi="Arial"/>
          <w:sz w:val="18"/>
          <w:szCs w:val="18"/>
          <w:color w:val="auto"/>
        </w:rPr>
      </w:pPr>
    </w:p>
    <w:p>
      <w:pPr>
        <w:ind w:left="-60" w:right="80" w:firstLine="1948"/>
        <w:spacing w:after="0" w:line="264" w:lineRule="auto"/>
        <w:tabs>
          <w:tab w:leader="none" w:pos="2175" w:val="left"/>
        </w:tabs>
        <w:numPr>
          <w:ilvl w:val="2"/>
          <w:numId w:val="229"/>
        </w:numPr>
        <w:rPr>
          <w:rFonts w:ascii="Arial" w:cs="Arial" w:eastAsia="Arial" w:hAnsi="Arial"/>
          <w:sz w:val="18"/>
          <w:szCs w:val="18"/>
          <w:color w:val="auto"/>
        </w:rPr>
      </w:pPr>
      <w:r>
        <w:rPr>
          <w:rFonts w:ascii="Arial" w:cs="Arial" w:eastAsia="Arial" w:hAnsi="Arial"/>
          <w:sz w:val="18"/>
          <w:szCs w:val="18"/>
          <w:color w:val="auto"/>
        </w:rPr>
        <w:t>granted on any date on which the Common Stock is not a Listed Security to a person who at the time of grant is a Ten Percent Holder, the per Share exercise price shall be no less than one hundred ten percent (110%) of the Fair Market Value per Share on the date of grant if required by the Applicable Laws and, if not so required, shall be such price as is determined by the Administrator;</w:t>
      </w:r>
    </w:p>
    <w:p>
      <w:pPr>
        <w:spacing w:after="0" w:line="181" w:lineRule="exact"/>
        <w:rPr>
          <w:rFonts w:ascii="Arial" w:cs="Arial" w:eastAsia="Arial" w:hAnsi="Arial"/>
          <w:sz w:val="18"/>
          <w:szCs w:val="18"/>
          <w:color w:val="auto"/>
        </w:rPr>
      </w:pPr>
    </w:p>
    <w:p>
      <w:pPr>
        <w:ind w:left="-60" w:right="80" w:firstLine="1948"/>
        <w:spacing w:after="0" w:line="264" w:lineRule="auto"/>
        <w:tabs>
          <w:tab w:leader="none" w:pos="2165" w:val="left"/>
        </w:tabs>
        <w:numPr>
          <w:ilvl w:val="2"/>
          <w:numId w:val="229"/>
        </w:numPr>
        <w:rPr>
          <w:rFonts w:ascii="Arial" w:cs="Arial" w:eastAsia="Arial" w:hAnsi="Arial"/>
          <w:sz w:val="18"/>
          <w:szCs w:val="18"/>
          <w:color w:val="auto"/>
        </w:rPr>
      </w:pPr>
      <w:r>
        <w:rPr>
          <w:rFonts w:ascii="Arial" w:cs="Arial" w:eastAsia="Arial" w:hAnsi="Arial"/>
          <w:sz w:val="18"/>
          <w:szCs w:val="18"/>
          <w:color w:val="auto"/>
        </w:rPr>
        <w:t>granted on any date on which the Common Stock is not a Listed Security to any other eligible person, the per Share exercise price shall be no less than eighty-five percent (85%) of the Fair Market Value per Share on the date of grant if required by the Applicable Laws and, if not so required, shall be such price as is determined by the Administrator; or</w:t>
      </w:r>
    </w:p>
    <w:p>
      <w:pPr>
        <w:spacing w:after="0" w:line="181" w:lineRule="exact"/>
        <w:rPr>
          <w:rFonts w:ascii="Arial" w:cs="Arial" w:eastAsia="Arial" w:hAnsi="Arial"/>
          <w:sz w:val="18"/>
          <w:szCs w:val="18"/>
          <w:color w:val="auto"/>
        </w:rPr>
      </w:pPr>
    </w:p>
    <w:p>
      <w:pPr>
        <w:ind w:left="-60" w:right="80" w:firstLine="1948"/>
        <w:spacing w:after="0" w:line="279" w:lineRule="auto"/>
        <w:tabs>
          <w:tab w:leader="none" w:pos="2165" w:val="left"/>
        </w:tabs>
        <w:numPr>
          <w:ilvl w:val="2"/>
          <w:numId w:val="229"/>
        </w:numPr>
        <w:rPr>
          <w:rFonts w:ascii="Arial" w:cs="Arial" w:eastAsia="Arial" w:hAnsi="Arial"/>
          <w:sz w:val="17"/>
          <w:szCs w:val="17"/>
          <w:color w:val="auto"/>
        </w:rPr>
      </w:pPr>
      <w:r>
        <w:rPr>
          <w:rFonts w:ascii="Arial" w:cs="Arial" w:eastAsia="Arial" w:hAnsi="Arial"/>
          <w:sz w:val="17"/>
          <w:szCs w:val="17"/>
          <w:color w:val="auto"/>
        </w:rPr>
        <w:t>granted on any date on which the Common Stock is a Listed Security to any eligible person, the per share Exercise Price shall be such price as determined by the Administrator provided that if such eligible person is, at the time of the grant of such Option, a Named Executive of the Company, the per share Exercise Price shall be no less than one hundred percent (100%) of the Fair Market Value on the date of grant if such Option is intended to qualify as performance-based compensation under Section 162(m) of the Code.</w:t>
      </w:r>
    </w:p>
    <w:p>
      <w:pPr>
        <w:spacing w:after="0" w:line="171" w:lineRule="exact"/>
        <w:rPr>
          <w:rFonts w:ascii="Arial" w:cs="Arial" w:eastAsia="Arial" w:hAnsi="Arial"/>
          <w:sz w:val="17"/>
          <w:szCs w:val="17"/>
          <w:color w:val="auto"/>
        </w:rPr>
      </w:pPr>
    </w:p>
    <w:p>
      <w:pPr>
        <w:ind w:left="-60" w:right="240" w:firstLine="1492"/>
        <w:spacing w:after="0" w:line="277" w:lineRule="auto"/>
        <w:tabs>
          <w:tab w:leader="none" w:pos="1738" w:val="left"/>
        </w:tabs>
        <w:numPr>
          <w:ilvl w:val="1"/>
          <w:numId w:val="229"/>
        </w:numPr>
        <w:rPr>
          <w:rFonts w:ascii="Arial" w:cs="Arial" w:eastAsia="Arial" w:hAnsi="Arial"/>
          <w:sz w:val="18"/>
          <w:szCs w:val="18"/>
          <w:color w:val="auto"/>
        </w:rPr>
      </w:pPr>
      <w:r>
        <w:rPr>
          <w:rFonts w:ascii="Arial" w:cs="Arial" w:eastAsia="Arial" w:hAnsi="Arial"/>
          <w:sz w:val="18"/>
          <w:szCs w:val="18"/>
          <w:color w:val="auto"/>
        </w:rPr>
        <w:t>Notwithstanding the foregoing, Options may be granted with a per Share exercise price other than as required above pursuant to a merger or other Corporate Transaction.</w:t>
      </w:r>
    </w:p>
    <w:p>
      <w:pPr>
        <w:spacing w:after="0" w:line="166" w:lineRule="exact"/>
        <w:rPr>
          <w:rFonts w:ascii="Arial" w:cs="Arial" w:eastAsia="Arial" w:hAnsi="Arial"/>
          <w:sz w:val="18"/>
          <w:szCs w:val="18"/>
          <w:color w:val="auto"/>
        </w:rPr>
      </w:pPr>
    </w:p>
    <w:p>
      <w:pPr>
        <w:ind w:left="-60" w:firstLine="921"/>
        <w:spacing w:after="0" w:line="291" w:lineRule="auto"/>
        <w:tabs>
          <w:tab w:leader="none" w:pos="1108" w:val="left"/>
        </w:tabs>
        <w:numPr>
          <w:ilvl w:val="0"/>
          <w:numId w:val="230"/>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Permissible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consideration to be paid for the Shares to be issued upon exercise of an Option, including the method of</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shall be determined by the Administrator (and, in the case of an Incentive Stock Option, shall be determined at the time of grant) and may consist entirely of (1) cash; (2) check; (3) subject to any requirements of the Applicable Laws (including without limitation Section 153 of the Delaware General Corporation Law), delivery of Optionee’s promissory note having such recourse, interest, security and redemption provisions as the Administrator determines to be appropriate after taking into account the potential accounting consequences of permitting an Optionee to deliver a promissory note; (4) cancellation of indebtedness; (5) other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more than six (6) months on the date of surrender (or such other period as may be required to avoid the Company’s incurring an adverse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274" w:right="279" w:bottom="1440" w:gutter="0" w:footer="0" w:header="0"/>
        </w:sectPr>
      </w:pPr>
    </w:p>
    <w:bookmarkStart w:id="392" w:name="page393"/>
    <w:bookmarkEnd w:id="392"/>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accounting charge); (6) if, as of the date of exercise of an Option the Company then is permitting employees to engage in a “same-day sale” cashless brokered exercise program involving one or more brokers, through such a program that complies with the Applicable Laws (including without limitation the requirements of Regulation T and other applicable regulations promulgated by the Federal Reserve Board) and that ensures prompt delivery to the Company of the amount required to pay the exercise price and any applicable withholding taxes; or (7) any combination of the foregoing methods of payment.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293" w:lineRule="exact"/>
        <w:rPr>
          <w:sz w:val="20"/>
          <w:szCs w:val="20"/>
          <w:color w:val="auto"/>
        </w:rPr>
      </w:pPr>
    </w:p>
    <w:p>
      <w:pPr>
        <w:ind w:left="740" w:hanging="276"/>
        <w:spacing w:after="0"/>
        <w:tabs>
          <w:tab w:leader="none" w:pos="740" w:val="left"/>
        </w:tabs>
        <w:numPr>
          <w:ilvl w:val="0"/>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160" w:hanging="239"/>
        <w:spacing w:after="0"/>
        <w:tabs>
          <w:tab w:leader="none" w:pos="1160" w:val="left"/>
        </w:tabs>
        <w:numPr>
          <w:ilvl w:val="1"/>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40" w:firstLine="1492"/>
        <w:spacing w:after="0" w:line="303" w:lineRule="auto"/>
        <w:tabs>
          <w:tab w:leader="none" w:pos="1698" w:val="left"/>
        </w:tabs>
        <w:numPr>
          <w:ilvl w:val="2"/>
          <w:numId w:val="231"/>
        </w:numPr>
        <w:rPr>
          <w:rFonts w:ascii="Arial" w:cs="Arial" w:eastAsia="Arial" w:hAnsi="Arial"/>
          <w:sz w:val="16"/>
          <w:szCs w:val="16"/>
          <w:color w:val="auto"/>
        </w:rPr>
      </w:pPr>
      <w:r>
        <w:rPr>
          <w:rFonts w:ascii="Arial" w:cs="Arial" w:eastAsia="Arial" w:hAnsi="Arial"/>
          <w:sz w:val="16"/>
          <w:szCs w:val="16"/>
          <w:b w:val="1"/>
          <w:bCs w:val="1"/>
          <w:u w:val="single" w:color="auto"/>
          <w:color w:val="auto"/>
        </w:rPr>
        <w:t>Exercisability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Any Option granted hereunder shall be exercisable at such times and under such conditions as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consistent with the term of the Plan and reflected in the Option Agreement, including vesting requirements and/or performance criteria with respect to the Company and/or the Optionee; provided however that, if required under the Applicable Laws, the Option (or Shares issued upon exercise of the Option) shall comply with the requirements of Section 260.140.41(f) and (k) of the Rules of the California Corporations Commissioner.</w:t>
      </w:r>
    </w:p>
    <w:p>
      <w:pPr>
        <w:spacing w:after="0" w:line="151" w:lineRule="exact"/>
        <w:rPr>
          <w:rFonts w:ascii="Arial" w:cs="Arial" w:eastAsia="Arial" w:hAnsi="Arial"/>
          <w:sz w:val="16"/>
          <w:szCs w:val="16"/>
          <w:color w:val="auto"/>
        </w:rPr>
      </w:pPr>
    </w:p>
    <w:p>
      <w:pPr>
        <w:ind w:right="40" w:firstLine="1492"/>
        <w:spacing w:after="0" w:line="255" w:lineRule="auto"/>
        <w:tabs>
          <w:tab w:leader="none" w:pos="1748" w:val="left"/>
        </w:tabs>
        <w:numPr>
          <w:ilvl w:val="2"/>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 of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shall have the discretion to determine whether and to what extent the vesting of Options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tolled during any unpaid leave of absence; provided, however, that in the absence of such determination, vesting of Options shall be tolled during any such unpaid leave (unless otherwise required by the Applicable Laws). In the event of military leave, vesting shall toll during any unpaid portion of such leave, provided that, upon a Participant’s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Participant continued to provide services to the Company throughout the leave on the same terms as he or she was providing services immediately prior to such leave.</w:t>
      </w:r>
    </w:p>
    <w:p>
      <w:pPr>
        <w:spacing w:after="0" w:line="189" w:lineRule="exact"/>
        <w:rPr>
          <w:rFonts w:ascii="Arial" w:cs="Arial" w:eastAsia="Arial" w:hAnsi="Arial"/>
          <w:sz w:val="18"/>
          <w:szCs w:val="18"/>
          <w:color w:val="auto"/>
        </w:rPr>
      </w:pPr>
    </w:p>
    <w:p>
      <w:pPr>
        <w:jc w:val="both"/>
        <w:ind w:right="140" w:firstLine="1492"/>
        <w:spacing w:after="0" w:line="266" w:lineRule="auto"/>
        <w:tabs>
          <w:tab w:leader="none" w:pos="1798" w:val="left"/>
        </w:tabs>
        <w:numPr>
          <w:ilvl w:val="2"/>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Minimum Exercise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may not be exercised for a fraction of a Share. The Administrator may require that</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be exercised as to a minimum number of Shares, provided that such requirement shall not prevent an Optionee from exercising the full number of Shares as to which the Option is then exercisable.</w:t>
      </w:r>
    </w:p>
    <w:p>
      <w:pPr>
        <w:spacing w:after="0" w:line="176" w:lineRule="exact"/>
        <w:rPr>
          <w:rFonts w:ascii="Arial" w:cs="Arial" w:eastAsia="Arial" w:hAnsi="Arial"/>
          <w:sz w:val="18"/>
          <w:szCs w:val="18"/>
          <w:color w:val="auto"/>
        </w:rPr>
      </w:pPr>
    </w:p>
    <w:p>
      <w:pPr>
        <w:ind w:firstLine="1492"/>
        <w:spacing w:after="0" w:line="258" w:lineRule="auto"/>
        <w:tabs>
          <w:tab w:leader="none" w:pos="1788" w:val="left"/>
        </w:tabs>
        <w:numPr>
          <w:ilvl w:val="2"/>
          <w:numId w:val="231"/>
        </w:numPr>
        <w:rPr>
          <w:rFonts w:ascii="Arial" w:cs="Arial" w:eastAsia="Arial" w:hAnsi="Arial"/>
          <w:sz w:val="18"/>
          <w:szCs w:val="18"/>
          <w:color w:val="auto"/>
        </w:rPr>
      </w:pPr>
      <w:r>
        <w:rPr>
          <w:rFonts w:ascii="Arial" w:cs="Arial" w:eastAsia="Arial" w:hAnsi="Arial"/>
          <w:sz w:val="18"/>
          <w:szCs w:val="18"/>
          <w:b w:val="1"/>
          <w:bCs w:val="1"/>
          <w:u w:val="single" w:color="auto"/>
          <w:color w:val="auto"/>
        </w:rPr>
        <w:t>Procedures for and Results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shall be deemed exercised when written notice of such exercise has been given</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in accordance with the terms of the Option by the person entitled to exercise the Option and the Company has received full payment for the Shares with respect to which the Option is exercised. Full payment may, as authorized by the Administrator, consist of any consideration and method of payment allowable under Section 9(b) of the Plan, provided that the Administrator may, in its sole discretion, refuse to accept any form of consideration at the time of any Option exercise.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393" w:name="page394"/>
    <w:bookmarkEnd w:id="39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an Option in any manner shall result in a decrease in the number of Shares that thereafter may be available, both for purposes of the Plan and for sale under the Option, by the number of Shares as to which the Option is exercised.</w:t>
      </w:r>
    </w:p>
    <w:p>
      <w:pPr>
        <w:spacing w:after="0" w:line="166" w:lineRule="exact"/>
        <w:rPr>
          <w:sz w:val="20"/>
          <w:szCs w:val="20"/>
          <w:color w:val="auto"/>
        </w:rPr>
      </w:pPr>
    </w:p>
    <w:p>
      <w:pPr>
        <w:ind w:right="80" w:firstLine="1492"/>
        <w:spacing w:after="0" w:line="261" w:lineRule="auto"/>
        <w:tabs>
          <w:tab w:leader="none" w:pos="1738" w:val="left"/>
        </w:tabs>
        <w:numPr>
          <w:ilvl w:val="1"/>
          <w:numId w:val="232"/>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the issuance of the Shares (as evidenced by the appropriate entry on the books of the Company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transfer agent of the Company), no right to vote or receive dividends or any other rights as a stockholder shall exist with respect to the Optioned Stock, notwithstanding the exercise of the Option. No adjustment will be made for a dividend or other right for which the record date is prior to the date the stock certificate is issued, except as provided in Section 14 of the Plan.</w:t>
      </w:r>
    </w:p>
    <w:p>
      <w:pPr>
        <w:spacing w:after="0" w:line="180" w:lineRule="exact"/>
        <w:rPr>
          <w:rFonts w:ascii="Arial" w:cs="Arial" w:eastAsia="Arial" w:hAnsi="Arial"/>
          <w:sz w:val="18"/>
          <w:szCs w:val="18"/>
          <w:color w:val="auto"/>
        </w:rPr>
      </w:pPr>
    </w:p>
    <w:p>
      <w:pPr>
        <w:ind w:right="40" w:firstLine="921"/>
        <w:spacing w:after="0" w:line="255" w:lineRule="auto"/>
        <w:tabs>
          <w:tab w:leader="none" w:pos="1168" w:val="left"/>
        </w:tabs>
        <w:numPr>
          <w:ilvl w:val="0"/>
          <w:numId w:val="23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 or Consulting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this Section 10(b), the Administrator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Optioned Stock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Optioned Stock underlying the unexercised portion of the Option shall revert to the Plan. In no event may any Option be exercised after the expiration of the Option term as set forth in the Option Agreement (and subject to Section 7).</w:t>
      </w:r>
    </w:p>
    <w:p>
      <w:pPr>
        <w:spacing w:after="0" w:line="189"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177" w:lineRule="exact"/>
        <w:rPr>
          <w:sz w:val="20"/>
          <w:szCs w:val="20"/>
          <w:color w:val="auto"/>
        </w:rPr>
      </w:pPr>
    </w:p>
    <w:p>
      <w:pPr>
        <w:jc w:val="both"/>
        <w:ind w:firstLine="1492"/>
        <w:spacing w:after="0" w:line="303" w:lineRule="auto"/>
        <w:tabs>
          <w:tab w:leader="none" w:pos="1698" w:val="left"/>
        </w:tabs>
        <w:numPr>
          <w:ilvl w:val="0"/>
          <w:numId w:val="23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other than Upon Disability or Death</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termination of Optionee’s Continuous Service Status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circumstances set forth in subsections (ii) and (iii) below, such Optionee may exercise an Option for thirty (30) days following such termination to the extent the Optionee was vested in the Optioned Stock as of the date of such termination. No termination shall be deemed to occur and this Section 10(b)(i) shall not apply if (i) the Optionee is a Consultant who becomes an Employee, or (ii) the Optionee is an Employee who becomes a Consultant.</w:t>
      </w:r>
    </w:p>
    <w:p>
      <w:pPr>
        <w:spacing w:after="0" w:line="151" w:lineRule="exact"/>
        <w:rPr>
          <w:rFonts w:ascii="Arial" w:cs="Arial" w:eastAsia="Arial" w:hAnsi="Arial"/>
          <w:sz w:val="16"/>
          <w:szCs w:val="16"/>
          <w:color w:val="auto"/>
        </w:rPr>
      </w:pPr>
    </w:p>
    <w:p>
      <w:pPr>
        <w:ind w:right="380" w:firstLine="1492"/>
        <w:spacing w:after="0" w:line="289" w:lineRule="auto"/>
        <w:tabs>
          <w:tab w:leader="none" w:pos="1748" w:val="left"/>
        </w:tabs>
        <w:numPr>
          <w:ilvl w:val="0"/>
          <w:numId w:val="234"/>
        </w:numPr>
        <w:rPr>
          <w:rFonts w:ascii="Arial" w:cs="Arial" w:eastAsia="Arial" w:hAnsi="Arial"/>
          <w:sz w:val="17"/>
          <w:szCs w:val="17"/>
          <w:color w:val="auto"/>
        </w:rPr>
      </w:pPr>
      <w:r>
        <w:rPr>
          <w:rFonts w:ascii="Arial" w:cs="Arial" w:eastAsia="Arial" w:hAnsi="Arial"/>
          <w:sz w:val="17"/>
          <w:szCs w:val="17"/>
          <w:b w:val="1"/>
          <w:bCs w:val="1"/>
          <w:u w:val="single" w:color="auto"/>
          <w:color w:val="auto"/>
        </w:rPr>
        <w:t>Disability of Optionee</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termination of an Optionee’s Continuous Service Status as a result of his or her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 disability within the meaning of Section 22(e)(3) of the Code), such Optionee may exercise an Option at any time within six (6) months following such termination to the extent the Optionee was vested in the Optioned Stock as of the date of such termination.</w:t>
      </w:r>
    </w:p>
    <w:p>
      <w:pPr>
        <w:spacing w:after="0" w:line="158" w:lineRule="exact"/>
        <w:rPr>
          <w:rFonts w:ascii="Arial" w:cs="Arial" w:eastAsia="Arial" w:hAnsi="Arial"/>
          <w:sz w:val="17"/>
          <w:szCs w:val="17"/>
          <w:color w:val="auto"/>
        </w:rPr>
      </w:pPr>
    </w:p>
    <w:p>
      <w:pPr>
        <w:ind w:firstLine="1492"/>
        <w:spacing w:after="0" w:line="266" w:lineRule="auto"/>
        <w:tabs>
          <w:tab w:leader="none" w:pos="1798" w:val="left"/>
        </w:tabs>
        <w:numPr>
          <w:ilvl w:val="0"/>
          <w:numId w:val="234"/>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death of an Optionee during the period of Continuous Service Status since the date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or within thirty (30) days following termination of Optionee’s Continuous Service Status, the Option may be exercised by Optionee’s estate or by a person who acquired the right to exercise the Option 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94" w:name="page395"/>
    <w:bookmarkEnd w:id="39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bequest or inheritance at any time within twelve (12) months following the date of death, but only to the extent the Optionee was vested in the Optioned Stock as of the date of death or, if earlier, the date the Optionee’s Continuous Service Status terminated.</w:t>
      </w:r>
    </w:p>
    <w:p>
      <w:pPr>
        <w:spacing w:after="0" w:line="166" w:lineRule="exact"/>
        <w:rPr>
          <w:sz w:val="20"/>
          <w:szCs w:val="20"/>
          <w:color w:val="auto"/>
        </w:rPr>
      </w:pPr>
    </w:p>
    <w:p>
      <w:pPr>
        <w:ind w:right="20" w:firstLine="1492"/>
        <w:spacing w:after="0" w:line="347" w:lineRule="auto"/>
        <w:tabs>
          <w:tab w:leader="none" w:pos="1728" w:val="left"/>
        </w:tabs>
        <w:numPr>
          <w:ilvl w:val="2"/>
          <w:numId w:val="235"/>
        </w:numPr>
        <w:rPr>
          <w:rFonts w:ascii="Arial" w:cs="Arial" w:eastAsia="Arial" w:hAnsi="Arial"/>
          <w:sz w:val="16"/>
          <w:szCs w:val="16"/>
          <w:color w:val="auto"/>
        </w:rPr>
      </w:pPr>
      <w:r>
        <w:rPr>
          <w:rFonts w:ascii="Arial" w:cs="Arial" w:eastAsia="Arial" w:hAnsi="Arial"/>
          <w:sz w:val="16"/>
          <w:szCs w:val="16"/>
          <w:b w:val="1"/>
          <w:bCs w:val="1"/>
          <w:u w:val="single" w:color="auto"/>
          <w:color w:val="auto"/>
        </w:rPr>
        <w:t>Buyout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Administrator may at any time offer to buy out for a payment in cash or Shares an Option previously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Plan based on such terms and conditions as the Administrator shall establish and communicate to the Optionee at the time that such offer is made.</w:t>
      </w:r>
    </w:p>
    <w:p>
      <w:pPr>
        <w:spacing w:after="0" w:line="224" w:lineRule="exact"/>
        <w:rPr>
          <w:rFonts w:ascii="Arial" w:cs="Arial" w:eastAsia="Arial" w:hAnsi="Arial"/>
          <w:sz w:val="16"/>
          <w:szCs w:val="16"/>
          <w:color w:val="auto"/>
        </w:rPr>
      </w:pPr>
    </w:p>
    <w:p>
      <w:pPr>
        <w:ind w:left="720" w:hanging="256"/>
        <w:spacing w:after="0"/>
        <w:tabs>
          <w:tab w:leader="none" w:pos="720" w:val="left"/>
        </w:tabs>
        <w:numPr>
          <w:ilvl w:val="0"/>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 Purchase Rights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firstLine="921"/>
        <w:spacing w:after="0" w:line="270" w:lineRule="auto"/>
        <w:tabs>
          <w:tab w:leader="none" w:pos="1157" w:val="left"/>
        </w:tabs>
        <w:numPr>
          <w:ilvl w:val="1"/>
          <w:numId w:val="236"/>
        </w:numPr>
        <w:rPr>
          <w:rFonts w:ascii="Arial" w:cs="Arial" w:eastAsia="Arial" w:hAnsi="Arial"/>
          <w:sz w:val="17"/>
          <w:szCs w:val="17"/>
          <w:color w:val="auto"/>
        </w:rPr>
      </w:pPr>
      <w:r>
        <w:rPr>
          <w:rFonts w:ascii="Arial" w:cs="Arial" w:eastAsia="Arial" w:hAnsi="Arial"/>
          <w:sz w:val="17"/>
          <w:szCs w:val="17"/>
          <w:b w:val="1"/>
          <w:bCs w:val="1"/>
          <w:u w:val="single" w:color="auto"/>
          <w:color w:val="auto"/>
        </w:rPr>
        <w:t>Rights to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When the Administrator determines that it will offer Stock Purchase Rights under the Plan, it shall advise the offeree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of the terms, conditions and restrictions related to the offer, including the number of Shares that such person shall be entitled to purchase, the price to be paid, and the time within which such person must accept such offer. In the case of a Stock Purchase Right granted prior to the date, if any, on which the Common Stock becomes a Listed Security and if required by the Applicable Laws at that time, the purchase price of Shares subject to such Stock Purchase Rights shall not be less than eighty-five percent (85%) of the Fair Market Value of the Shares as of the date of the offer, or, in the case of a Ten Percent Holder, the price shall not be less than one hundred percent (100%) of the Fair Market Value of the Shares as of the date of the offer. If the Applicable Laws do not impose the requirements set forth in the preceding sentence and with respect to any Stock Purchase Rights granted after the date, if any, on which the Common Stock becomes a Listed Security, the purchase price of Shares subject to Stock Purchase Rights shall be as determined by the Administrator. The offer to purchase Shares subject to Stock Purchase Rights shall be accepted by execution of a Restricted Stock Purchase Agreement in the form determined by the Administrator.</w:t>
      </w:r>
    </w:p>
    <w:p>
      <w:pPr>
        <w:spacing w:after="0" w:line="285" w:lineRule="exact"/>
        <w:rPr>
          <w:rFonts w:ascii="Arial" w:cs="Arial" w:eastAsia="Arial" w:hAnsi="Arial"/>
          <w:sz w:val="17"/>
          <w:szCs w:val="17"/>
          <w:color w:val="auto"/>
        </w:rPr>
      </w:pPr>
    </w:p>
    <w:p>
      <w:pPr>
        <w:ind w:left="1180" w:hanging="259"/>
        <w:spacing w:after="0"/>
        <w:tabs>
          <w:tab w:leader="none" w:pos="1180" w:val="left"/>
        </w:tabs>
        <w:numPr>
          <w:ilvl w:val="1"/>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92"/>
        <w:spacing w:after="0" w:line="256" w:lineRule="auto"/>
        <w:tabs>
          <w:tab w:leader="none" w:pos="1698" w:val="left"/>
        </w:tabs>
        <w:numPr>
          <w:ilvl w:val="2"/>
          <w:numId w:val="23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Unless the Administrator determines otherwise, the Restricted Stock Purchase Agreement shall grant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option exercisable upon the voluntary or involuntary termination of the purchaser’s Continuous Service Status with the Company for any reason (including death or disability). Subject to any requirements of the Applicable Laws (including without limitation Section 260.140.42(h) of the Rules of the California Corporations Commissioner), the terms of the Company’s repurchase option (including without limitation the price at which, and the consideration for which, it may be exercised, and the events upon which it shall lapse) shall be as determined by the Administrator in its sole discretion and reflected in the Restricted Stock Purchase Agreement.</w:t>
      </w:r>
    </w:p>
    <w:p>
      <w:pPr>
        <w:spacing w:after="0" w:line="188" w:lineRule="exact"/>
        <w:rPr>
          <w:sz w:val="20"/>
          <w:szCs w:val="20"/>
          <w:color w:val="auto"/>
        </w:rPr>
      </w:pPr>
    </w:p>
    <w:p>
      <w:pPr>
        <w:ind w:right="20" w:firstLine="1492"/>
        <w:spacing w:after="0" w:line="258" w:lineRule="auto"/>
        <w:tabs>
          <w:tab w:leader="none" w:pos="1748"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Leave of Absence</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shall have the discretion to determine whether and to what extent the lapsing of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rights shall be tolled during any unpaid leave of absence; provided, however, that in the absence of such determination, such lapsing shall be tolled during any such unpaid leave (unless otherwise required by the Applicable Laws). In the event of military leave, the lapsing of Company repurchase rights shall toll during any unpaid portion of such leave, provided that, upon a Participant’s returning from military leave (under conditions that would entitle him or her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95" w:name="page396"/>
    <w:bookmarkEnd w:id="395"/>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protection upon such return under the Uniform Services Employment and Reemployment Rights Act), he or she shall be given “vesting” credit with respect to Shares purchased pursuant to the Restricted Stock Purchase Agreement to the same extent as would have applied had the Participant continued to provide services to the Company throughout the leave on the same terms as he or she was providing services immediately prior to such leave.</w:t>
      </w:r>
    </w:p>
    <w:p>
      <w:pPr>
        <w:spacing w:after="0" w:line="143" w:lineRule="exact"/>
        <w:rPr>
          <w:sz w:val="20"/>
          <w:szCs w:val="20"/>
          <w:color w:val="auto"/>
        </w:rPr>
      </w:pPr>
    </w:p>
    <w:p>
      <w:pPr>
        <w:ind w:firstLine="921"/>
        <w:spacing w:after="0" w:line="266" w:lineRule="auto"/>
        <w:tabs>
          <w:tab w:leader="none" w:pos="1157" w:val="left"/>
        </w:tabs>
        <w:numPr>
          <w:ilvl w:val="1"/>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Restricted Stock Purchase Agreement shall contain such other terms, provisions and conditions not inconsistent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as may be determined by the Administrator in its sole discretion. In addition, the provisions of Restricted Stock Purchase Agreements need not be the same with respect to each purchaser.</w:t>
      </w:r>
    </w:p>
    <w:p>
      <w:pPr>
        <w:spacing w:after="0" w:line="176" w:lineRule="exact"/>
        <w:rPr>
          <w:rFonts w:ascii="Arial" w:cs="Arial" w:eastAsia="Arial" w:hAnsi="Arial"/>
          <w:sz w:val="18"/>
          <w:szCs w:val="18"/>
          <w:color w:val="auto"/>
        </w:rPr>
      </w:pPr>
    </w:p>
    <w:p>
      <w:pPr>
        <w:ind w:firstLine="921"/>
        <w:spacing w:after="0" w:line="261" w:lineRule="auto"/>
        <w:tabs>
          <w:tab w:leader="none" w:pos="1168" w:val="left"/>
        </w:tabs>
        <w:numPr>
          <w:ilvl w:val="1"/>
          <w:numId w:val="238"/>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Once the Stock Purchase Right is exercised, the purchaser shall have the rights equivalent to those of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a stockholder when his or her purchase is entered upon the records of the duly authorized transfer agent of the Company. No adjustment will be made for a dividend or other right for which the record date is prior to the date the Stock Purchase Right is exercised, except as provided in Section 14 of the Plan.</w:t>
      </w:r>
    </w:p>
    <w:p>
      <w:pPr>
        <w:spacing w:after="0" w:line="288" w:lineRule="exact"/>
        <w:rPr>
          <w:rFonts w:ascii="Arial" w:cs="Arial" w:eastAsia="Arial" w:hAnsi="Arial"/>
          <w:sz w:val="18"/>
          <w:szCs w:val="18"/>
          <w:color w:val="auto"/>
        </w:rPr>
      </w:pPr>
    </w:p>
    <w:p>
      <w:pPr>
        <w:ind w:left="740" w:hanging="276"/>
        <w:spacing w:after="0"/>
        <w:tabs>
          <w:tab w:leader="none" w:pos="740" w:val="left"/>
        </w:tabs>
        <w:numPr>
          <w:ilvl w:val="0"/>
          <w:numId w:val="239"/>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firstLine="921"/>
        <w:spacing w:after="0" w:line="272" w:lineRule="auto"/>
        <w:tabs>
          <w:tab w:leader="none" w:pos="1158"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As a condition of the grant, vesting or exercise of an Option or Stock Purchase Right granted under the Plan, the Participant (or in the case of the Participant’s death, the person exercising the Option or Stock Purchase Right) shall make such arrangements as the Administrator may require for the satisfaction of any applicable federal, state, local or foreign withholding tax obligations that may arise in connection with such grant, vesting or exercise of the Option or Stock Purchase Right or the issuance of Shares. The Company shall not be required to issue any Shares under the Plan until such obligations are satisfied. If the Administrator allows the withholding or surrender of Shares to satisfy a Participant’s tax withholding obligations under this Section 12 (whether pursuant to Section 12(c), (d) or (e), or otherwise), the Administrator shall not allow Shares to be withheld in an amount that exceeds the minimum statutory withholding rates for federal and state tax purposes, including payroll taxes.</w:t>
      </w:r>
    </w:p>
    <w:p>
      <w:pPr>
        <w:spacing w:after="0" w:line="177" w:lineRule="exact"/>
        <w:rPr>
          <w:rFonts w:ascii="Arial" w:cs="Arial" w:eastAsia="Arial" w:hAnsi="Arial"/>
          <w:sz w:val="17"/>
          <w:szCs w:val="17"/>
          <w:color w:val="auto"/>
        </w:rPr>
      </w:pPr>
    </w:p>
    <w:p>
      <w:pPr>
        <w:ind w:right="200" w:firstLine="921"/>
        <w:spacing w:after="0" w:line="264" w:lineRule="auto"/>
        <w:tabs>
          <w:tab w:leader="none" w:pos="116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In the case of an Employee and in the absence of any other arrangement, the Employee shall be deemed to have directed the Company to withhold or collect from his or her compensation an amount sufficient to satisfy such tax obligations from the next payroll payment otherwise payable after the date of an exercise of the Option or Stock Purchase Right.</w:t>
      </w:r>
    </w:p>
    <w:p>
      <w:pPr>
        <w:spacing w:after="0" w:line="181" w:lineRule="exact"/>
        <w:rPr>
          <w:rFonts w:ascii="Arial" w:cs="Arial" w:eastAsia="Arial" w:hAnsi="Arial"/>
          <w:sz w:val="18"/>
          <w:szCs w:val="18"/>
          <w:color w:val="auto"/>
        </w:rPr>
      </w:pPr>
    </w:p>
    <w:p>
      <w:pPr>
        <w:ind w:firstLine="921"/>
        <w:spacing w:after="0" w:line="255" w:lineRule="auto"/>
        <w:tabs>
          <w:tab w:leader="none" w:pos="1158" w:val="left"/>
        </w:tabs>
        <w:numPr>
          <w:ilvl w:val="1"/>
          <w:numId w:val="239"/>
        </w:numPr>
        <w:rPr>
          <w:rFonts w:ascii="Arial" w:cs="Arial" w:eastAsia="Arial" w:hAnsi="Arial"/>
          <w:sz w:val="18"/>
          <w:szCs w:val="18"/>
          <w:color w:val="auto"/>
        </w:rPr>
      </w:pPr>
      <w:r>
        <w:rPr>
          <w:rFonts w:ascii="Arial" w:cs="Arial" w:eastAsia="Arial" w:hAnsi="Arial"/>
          <w:sz w:val="18"/>
          <w:szCs w:val="18"/>
          <w:color w:val="auto"/>
        </w:rPr>
        <w:t>This Section 12(c) shall apply only after the date, if any, upon which the Common Stock becomes a Listed Security. In the case of a Participant other than an Employee (or in the case of an Employee where the next payroll payment is not sufficient to satisfy such tax obligations, with respect to any remaining tax obligations), in the absence of any other arrangement and to the extent permitted under the Applicable Laws, the Participant shall be deemed to have elected to have the Company withhold from the Shares to be issued upon exercise of the Option or Stock Purchase Right that number of Shares having a Fair Market Value determined as of the applicable Tax Date (as defined below) equal to the amount required to be withheld. For purposes of this Section 12, the Fair Market Value of the Shares to be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withheld shall be determined on the date that the amount of tax to be withheld is to be determined under the Applicable Laws (the “</w:t>
      </w:r>
      <w:r>
        <w:rPr>
          <w:rFonts w:ascii="Arial" w:cs="Arial" w:eastAsia="Arial" w:hAnsi="Arial"/>
          <w:sz w:val="18"/>
          <w:szCs w:val="18"/>
          <w:u w:val="single" w:color="auto"/>
          <w:color w:val="auto"/>
        </w:rPr>
        <w:t>Tax Date</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57" w:lineRule="auto"/>
        <w:tabs>
          <w:tab w:leader="none" w:pos="1168" w:val="left"/>
        </w:tabs>
        <w:numPr>
          <w:ilvl w:val="2"/>
          <w:numId w:val="240"/>
        </w:numPr>
        <w:rPr>
          <w:rFonts w:ascii="Arial" w:cs="Arial" w:eastAsia="Arial" w:hAnsi="Arial"/>
          <w:sz w:val="18"/>
          <w:szCs w:val="18"/>
          <w:color w:val="auto"/>
        </w:rPr>
      </w:pPr>
      <w:r>
        <w:rPr>
          <w:rFonts w:ascii="Arial" w:cs="Arial" w:eastAsia="Arial" w:hAnsi="Arial"/>
          <w:sz w:val="18"/>
          <w:szCs w:val="18"/>
          <w:color w:val="auto"/>
        </w:rPr>
        <w:t>If permitted by the Administrator, in its discretion, a Participant may satisfy his or her tax withholding obligations upon exercise of an Option or Stock Purchase Right by surrendering to the Company Shares that have a Fair Market Value determined as of the applicable Tax Date equal to the amount required to be withheld. In the case of shares previously acquired from the Company that are surrendered under this Section 12(d), such Shares must have been owned by the Participant for more than six (6) months on the date of surrender (or such other period of time as is required for the Company to avoid adverse accounting charges).</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Any election or deemed election by a Participant to have Shares withheld to satisfy tax withholding obligations under Section 12(c) or</w:t>
      </w:r>
    </w:p>
    <w:p>
      <w:pPr>
        <w:spacing w:after="0" w:line="34" w:lineRule="exact"/>
        <w:rPr>
          <w:rFonts w:ascii="Arial" w:cs="Arial" w:eastAsia="Arial" w:hAnsi="Arial"/>
          <w:sz w:val="17"/>
          <w:szCs w:val="17"/>
          <w:color w:val="auto"/>
        </w:rPr>
      </w:pPr>
    </w:p>
    <w:p>
      <w:pPr>
        <w:ind w:right="960" w:firstLine="8"/>
        <w:spacing w:after="0" w:line="323" w:lineRule="auto"/>
        <w:tabs>
          <w:tab w:leader="none" w:pos="25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above shall be irrevocable as to the particular Shares as to which the election is made and shall be subject to the consent or disapproval of the Administrator. Any election by a Participant under Section 12(d) above must be made on or prior to the applicable Tax Date.</w:t>
      </w:r>
    </w:p>
    <w:p>
      <w:pPr>
        <w:spacing w:after="0" w:line="138" w:lineRule="exact"/>
        <w:rPr>
          <w:rFonts w:ascii="Arial" w:cs="Arial" w:eastAsia="Arial" w:hAnsi="Arial"/>
          <w:sz w:val="16"/>
          <w:szCs w:val="16"/>
          <w:color w:val="auto"/>
        </w:rPr>
      </w:pPr>
    </w:p>
    <w:p>
      <w:pPr>
        <w:ind w:firstLine="921"/>
        <w:spacing w:after="0" w:line="312" w:lineRule="auto"/>
        <w:tabs>
          <w:tab w:leader="none" w:pos="1138" w:val="left"/>
        </w:tabs>
        <w:numPr>
          <w:ilvl w:val="2"/>
          <w:numId w:val="241"/>
        </w:numPr>
        <w:rPr>
          <w:rFonts w:ascii="Arial" w:cs="Arial" w:eastAsia="Arial" w:hAnsi="Arial"/>
          <w:sz w:val="16"/>
          <w:szCs w:val="16"/>
          <w:color w:val="auto"/>
        </w:rPr>
      </w:pPr>
      <w:r>
        <w:rPr>
          <w:rFonts w:ascii="Arial" w:cs="Arial" w:eastAsia="Arial" w:hAnsi="Arial"/>
          <w:sz w:val="16"/>
          <w:szCs w:val="16"/>
          <w:color w:val="auto"/>
        </w:rPr>
        <w:t>In the event an election to have Shares withheld is made by a Participant and the Tax Date is deferred under Section 83 of the Code because no election is filed under Section 83(b) of the Code, the Participant shall receive the full number of Shares with respect to which the Option or Stock Purchase Right is exercised but such Participant shall be unconditionally obligated to tender back to the Company the proper number of Shares on the Tax Date.</w:t>
      </w:r>
    </w:p>
    <w:p>
      <w:pPr>
        <w:spacing w:after="0" w:line="250" w:lineRule="exact"/>
        <w:rPr>
          <w:rFonts w:ascii="Arial" w:cs="Arial" w:eastAsia="Arial" w:hAnsi="Arial"/>
          <w:sz w:val="16"/>
          <w:szCs w:val="16"/>
          <w:color w:val="auto"/>
        </w:rPr>
      </w:pPr>
    </w:p>
    <w:p>
      <w:pPr>
        <w:ind w:left="740" w:hanging="276"/>
        <w:spacing w:after="0"/>
        <w:tabs>
          <w:tab w:leader="none" w:pos="740" w:val="left"/>
        </w:tabs>
        <w:numPr>
          <w:ilvl w:val="1"/>
          <w:numId w:val="241"/>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Options and Stock Purchase Rights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right="80" w:firstLine="921"/>
        <w:spacing w:after="0" w:line="261" w:lineRule="auto"/>
        <w:tabs>
          <w:tab w:leader="none" w:pos="1157" w:val="left"/>
        </w:tabs>
        <w:numPr>
          <w:ilvl w:val="2"/>
          <w:numId w:val="24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 this Section 13, Options and Stock Purchase Rights may not be sold, pledged, assigned, hypothecated,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disposed of in any manner other than by will or by the laws of descent or distribution. The designation of a beneficiary by an Optionee will not constitute a transfer. An Option or Stock Purchase Right may be exercised, during the lifetime of the holder of an Option or Stock Purchase Right, only by such holder or a transferee permitted by this Section 13.</w:t>
      </w:r>
    </w:p>
    <w:p>
      <w:pPr>
        <w:spacing w:after="0" w:line="180" w:lineRule="exact"/>
        <w:rPr>
          <w:rFonts w:ascii="Arial" w:cs="Arial" w:eastAsia="Arial" w:hAnsi="Arial"/>
          <w:sz w:val="18"/>
          <w:szCs w:val="18"/>
          <w:color w:val="auto"/>
        </w:rPr>
      </w:pPr>
    </w:p>
    <w:p>
      <w:pPr>
        <w:ind w:firstLine="921"/>
        <w:spacing w:after="0" w:line="273" w:lineRule="auto"/>
        <w:tabs>
          <w:tab w:leader="none" w:pos="1168" w:val="left"/>
        </w:tabs>
        <w:numPr>
          <w:ilvl w:val="2"/>
          <w:numId w:val="242"/>
        </w:numPr>
        <w:rPr>
          <w:rFonts w:ascii="Arial" w:cs="Arial" w:eastAsia="Arial" w:hAnsi="Arial"/>
          <w:sz w:val="17"/>
          <w:szCs w:val="17"/>
          <w:color w:val="auto"/>
        </w:rPr>
      </w:pPr>
      <w:r>
        <w:rPr>
          <w:rFonts w:ascii="Arial" w:cs="Arial" w:eastAsia="Arial" w:hAnsi="Arial"/>
          <w:sz w:val="17"/>
          <w:szCs w:val="17"/>
          <w:b w:val="1"/>
          <w:bCs w:val="1"/>
          <w:u w:val="single" w:color="auto"/>
          <w:color w:val="auto"/>
        </w:rPr>
        <w:t>Limited Transferability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else in this Section 13, the Administrator may in its discretion grant Nonstatutory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Options that may be transferred by instrument to an inter vivos or testamentary trust in which the Options are to be passed to beneficiaries upon the death of the trustor (settlor) or by gift or pursuant to domestic relations orders to “Immediate Family Members” (as defined below) of the Optionee. </w:t>
      </w:r>
      <w:r>
        <w:rPr>
          <w:rFonts w:ascii="Arial" w:cs="Arial" w:eastAsia="Arial" w:hAnsi="Arial"/>
          <w:sz w:val="17"/>
          <w:szCs w:val="17"/>
          <w:u w:val="single" w:color="auto"/>
          <w:color w:val="auto"/>
        </w:rPr>
        <w:t>“Immediate Family Member”</w:t>
      </w:r>
      <w:r>
        <w:rPr>
          <w:rFonts w:ascii="Arial" w:cs="Arial" w:eastAsia="Arial" w:hAnsi="Arial"/>
          <w:sz w:val="17"/>
          <w:szCs w:val="17"/>
          <w:color w:val="auto"/>
        </w:rPr>
        <w:t xml:space="preserve"> means any child, stepchild, grandchild, parent, stepparent, grandparent, spouse, former spouse, sibling, niece, nephew, mother-in-law, father-in-law, son-in-law, daughter-in-law, brother-in-law, or sister-in-law (including adoptive relationships), a trust in which these persons have more than fifty percent (50%) of the beneficial interest, a foundation in which these persons (or the Optionee) control the management of assets, and any other entity in which these persons (or the Optionee) own more than fifty percent (50%) of the voting interests.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97" w:name="page398"/>
    <w:bookmarkEnd w:id="397"/>
    <w:p>
      <w:pPr>
        <w:ind w:left="740" w:hanging="276"/>
        <w:spacing w:after="0"/>
        <w:tabs>
          <w:tab w:leader="none" w:pos="740" w:val="left"/>
        </w:tabs>
        <w:numPr>
          <w:ilvl w:val="0"/>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 Upon Changes in Capitalization, Merger or Certain Other Transactions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89" w:lineRule="auto"/>
        <w:tabs>
          <w:tab w:leader="none" w:pos="1157" w:val="left"/>
        </w:tabs>
        <w:numPr>
          <w:ilvl w:val="1"/>
          <w:numId w:val="243"/>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Changes in Capitalization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any action required under Applicable Laws by the stockholders of the Company,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covered by each outstanding award and the number of Shares of Common Stock that have been authorized for issuance under the Plan but as to which no awards have yet been granted or that have been returned to the Plan upon cancellation or expiration of an award, as well as the price per Share of Common Stock covered by each such outstanding award, shall be proportionately adjusted for any increase or decrease in the number of issued Shares of Common Stock resulting from a stock split, reverse stock split, stock dividend, combination, recapitalization or reclassification of the Common Stock, or any other increase or decrease in the number of issued Shares of Common Stock effected without receipt of consideration by the Company; provided, however, that conversion of any convertible securities of the Company shall not be deemed to have been “effected without receipt of 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award.</w:t>
      </w:r>
    </w:p>
    <w:p>
      <w:pPr>
        <w:spacing w:after="0" w:line="161" w:lineRule="exact"/>
        <w:rPr>
          <w:rFonts w:ascii="Arial" w:cs="Arial" w:eastAsia="Arial" w:hAnsi="Arial"/>
          <w:sz w:val="16"/>
          <w:szCs w:val="16"/>
          <w:color w:val="auto"/>
        </w:rPr>
      </w:pPr>
    </w:p>
    <w:p>
      <w:pPr>
        <w:ind w:right="560" w:firstLine="921"/>
        <w:spacing w:after="0" w:line="282" w:lineRule="auto"/>
        <w:tabs>
          <w:tab w:leader="none" w:pos="1168" w:val="left"/>
        </w:tabs>
        <w:numPr>
          <w:ilvl w:val="1"/>
          <w:numId w:val="243"/>
        </w:numPr>
        <w:rPr>
          <w:rFonts w:ascii="Arial" w:cs="Arial" w:eastAsia="Arial" w:hAnsi="Arial"/>
          <w:sz w:val="18"/>
          <w:szCs w:val="18"/>
          <w:color w:val="auto"/>
        </w:rPr>
      </w:pPr>
      <w:r>
        <w:rPr>
          <w:rFonts w:ascii="Arial" w:cs="Arial" w:eastAsia="Arial" w:hAnsi="Arial"/>
          <w:sz w:val="18"/>
          <w:szCs w:val="18"/>
          <w:b w:val="1"/>
          <w:bCs w:val="1"/>
          <w:u w:val="single" w:color="auto"/>
          <w:color w:val="auto"/>
        </w:rPr>
        <w:t>Dissolution or Liquidation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the dissolution or liquidation of the Company, each Option and Stock Purchase Right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immediately prior to the consummation of such action, unless otherwise determined by the Administrator.</w:t>
      </w:r>
    </w:p>
    <w:p>
      <w:pPr>
        <w:spacing w:after="0" w:line="161" w:lineRule="exact"/>
        <w:rPr>
          <w:rFonts w:ascii="Arial" w:cs="Arial" w:eastAsia="Arial" w:hAnsi="Arial"/>
          <w:sz w:val="18"/>
          <w:szCs w:val="18"/>
          <w:color w:val="auto"/>
        </w:rPr>
      </w:pPr>
    </w:p>
    <w:p>
      <w:pPr>
        <w:ind w:right="20" w:firstLine="921"/>
        <w:spacing w:after="0" w:line="281" w:lineRule="auto"/>
        <w:tabs>
          <w:tab w:leader="none" w:pos="1157" w:val="left"/>
        </w:tabs>
        <w:numPr>
          <w:ilvl w:val="1"/>
          <w:numId w:val="243"/>
        </w:numPr>
        <w:rPr>
          <w:rFonts w:ascii="Arial" w:cs="Arial" w:eastAsia="Arial" w:hAnsi="Arial"/>
          <w:sz w:val="17"/>
          <w:szCs w:val="17"/>
          <w:color w:val="auto"/>
        </w:rPr>
      </w:pPr>
      <w:r>
        <w:rPr>
          <w:rFonts w:ascii="Arial" w:cs="Arial" w:eastAsia="Arial" w:hAnsi="Arial"/>
          <w:sz w:val="17"/>
          <w:szCs w:val="17"/>
          <w:b w:val="1"/>
          <w:bCs w:val="1"/>
          <w:u w:val="single" w:color="auto"/>
          <w:color w:val="auto"/>
        </w:rPr>
        <w:t>Corporate Transaction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of a Corporate Transaction (including without limitation a Change of Control), each outstanding Option</w:t>
      </w:r>
      <w:r>
        <w:rPr>
          <w:rFonts w:ascii="Arial" w:cs="Arial" w:eastAsia="Arial" w:hAnsi="Arial"/>
          <w:sz w:val="17"/>
          <w:szCs w:val="17"/>
          <w:b w:val="1"/>
          <w:bCs w:val="1"/>
          <w:color w:val="auto"/>
        </w:rPr>
        <w:t xml:space="preserve"> </w:t>
      </w:r>
      <w:r>
        <w:rPr>
          <w:rFonts w:ascii="Arial" w:cs="Arial" w:eastAsia="Arial" w:hAnsi="Arial"/>
          <w:sz w:val="17"/>
          <w:szCs w:val="17"/>
          <w:color w:val="auto"/>
        </w:rPr>
        <w:t>or Stock Purchase Right shall be assumed or an equivalent option or right shall be substituted by such successor corporation or a parent or subsidiary of such successor corporation (the “</w:t>
      </w:r>
      <w:r>
        <w:rPr>
          <w:rFonts w:ascii="Arial" w:cs="Arial" w:eastAsia="Arial" w:hAnsi="Arial"/>
          <w:sz w:val="17"/>
          <w:szCs w:val="17"/>
          <w:u w:val="single" w:color="auto"/>
          <w:color w:val="auto"/>
        </w:rPr>
        <w:t>Successor Corporation</w:t>
      </w:r>
      <w:r>
        <w:rPr>
          <w:rFonts w:ascii="Arial" w:cs="Arial" w:eastAsia="Arial" w:hAnsi="Arial"/>
          <w:sz w:val="17"/>
          <w:szCs w:val="17"/>
          <w:color w:val="auto"/>
        </w:rPr>
        <w:t>”), unless the Successor Corporation does not agree to assume the award or to substitute an equivalent option or right, in which case such Option or Stock Purchase Right shall terminate upon the consummation of the transaction.</w:t>
      </w:r>
    </w:p>
    <w:p>
      <w:pPr>
        <w:spacing w:after="0" w:line="16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For purposes of this Section 14(c), an Option or a Stock Purchase Right shall be considered assumed, without limitation, if, at the time of issuance of the stock or other consideration upon a Corporate Transaction or a Change of Control, as the case may be, each holder of an Option or Stock Purchase Right would be entitled to receive upon exercise of the award the same number and kind of shares of stock or the same amount of property, cash or securities as such holder would have been entitled to receive upon the occurrence of the transaction if the holder had been, immediately prior to such transaction, the holder of the number of Shares of Common Stock covered by the award at such time (after giving effect to any adjustments in the number of Shares covered by the Option or Stock Purchase Right as provided for in this Section 14); provided that if such consideration received in the transaction is not solely common stock of the Successor Corporation, the Administrator may, with the consent of the Successor Corporation, provide for the consideration to be received upon exercise of the award to be solely common stock of the Successor Corporation equal to the Fair Market Value of the per Share consideration received by holders of Common Stock in the transaction.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9" w:right="259" w:bottom="1440" w:gutter="0" w:footer="0" w:header="0"/>
        </w:sectPr>
      </w:pPr>
    </w:p>
    <w:bookmarkStart w:id="398" w:name="page399"/>
    <w:bookmarkEnd w:id="398"/>
    <w:p>
      <w:pPr>
        <w:ind w:left="-40" w:right="140" w:firstLine="921"/>
        <w:spacing w:after="0" w:line="261" w:lineRule="auto"/>
        <w:tabs>
          <w:tab w:leader="none" w:pos="1128" w:val="left"/>
        </w:tabs>
        <w:numPr>
          <w:ilvl w:val="1"/>
          <w:numId w:val="24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any distribution to the Company’s stockholders of securities of any other entity or other assets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dividends payable in cash or stock of the Company) without receipt of consideration by the Company, the Administrator may, in its discretion, appropriately adjust the price per Share of Common Stock covered by each outstanding Option or Stock Purchase Right to reflect the effect of such distribution.</w:t>
      </w:r>
    </w:p>
    <w:p>
      <w:pPr>
        <w:spacing w:after="0" w:line="180" w:lineRule="exact"/>
        <w:rPr>
          <w:rFonts w:ascii="Arial" w:cs="Arial" w:eastAsia="Arial" w:hAnsi="Arial"/>
          <w:sz w:val="18"/>
          <w:szCs w:val="18"/>
          <w:color w:val="auto"/>
        </w:rPr>
      </w:pPr>
    </w:p>
    <w:p>
      <w:pPr>
        <w:ind w:left="-40" w:firstLine="464"/>
        <w:spacing w:after="0" w:line="256" w:lineRule="auto"/>
        <w:tabs>
          <w:tab w:leader="none" w:pos="686"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Time of Granting Options and Stock Purchase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an Option or Stock Purchase Right shall, for all purposes, be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Administrator makes the determination granting such Option or Stock Purchase Right,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Option or Stock Purchase Right is so granted within a reasonable time after the date of such grant.</w:t>
      </w:r>
    </w:p>
    <w:p>
      <w:pPr>
        <w:spacing w:after="0" w:line="295" w:lineRule="exact"/>
        <w:rPr>
          <w:rFonts w:ascii="Arial" w:cs="Arial" w:eastAsia="Arial" w:hAnsi="Arial"/>
          <w:sz w:val="18"/>
          <w:szCs w:val="18"/>
          <w:color w:val="auto"/>
        </w:rPr>
      </w:pPr>
    </w:p>
    <w:p>
      <w:pPr>
        <w:ind w:left="700" w:hanging="276"/>
        <w:spacing w:after="0"/>
        <w:tabs>
          <w:tab w:leader="none" w:pos="700" w:val="left"/>
        </w:tabs>
        <w:numPr>
          <w:ilvl w:val="0"/>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and Termination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 w:firstLine="921"/>
        <w:spacing w:after="0" w:line="303" w:lineRule="auto"/>
        <w:tabs>
          <w:tab w:leader="none" w:pos="1117" w:val="left"/>
        </w:tabs>
        <w:numPr>
          <w:ilvl w:val="1"/>
          <w:numId w:val="245"/>
        </w:numPr>
        <w:rPr>
          <w:rFonts w:ascii="Arial" w:cs="Arial" w:eastAsia="Arial" w:hAnsi="Arial"/>
          <w:sz w:val="16"/>
          <w:szCs w:val="16"/>
          <w:color w:val="auto"/>
        </w:rPr>
      </w:pPr>
      <w:r>
        <w:rPr>
          <w:rFonts w:ascii="Arial" w:cs="Arial" w:eastAsia="Arial" w:hAnsi="Arial"/>
          <w:sz w:val="16"/>
          <w:szCs w:val="16"/>
          <w:b w:val="1"/>
          <w:bCs w:val="1"/>
          <w:u w:val="single" w:color="auto"/>
          <w:color w:val="auto"/>
        </w:rPr>
        <w:t>Authority to Amend or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The Board may at any time amend, alter, suspend or discontinue the Plan, but no amendment, alteration,</w:t>
      </w:r>
      <w:r>
        <w:rPr>
          <w:rFonts w:ascii="Arial" w:cs="Arial" w:eastAsia="Arial" w:hAnsi="Arial"/>
          <w:sz w:val="16"/>
          <w:szCs w:val="16"/>
          <w:b w:val="1"/>
          <w:bCs w:val="1"/>
          <w:color w:val="auto"/>
        </w:rPr>
        <w:t xml:space="preserve"> </w:t>
      </w:r>
      <w:r>
        <w:rPr>
          <w:rFonts w:ascii="Arial" w:cs="Arial" w:eastAsia="Arial" w:hAnsi="Arial"/>
          <w:sz w:val="16"/>
          <w:szCs w:val="16"/>
          <w:color w:val="auto"/>
        </w:rPr>
        <w:t>suspension or discontinuation (other than an adjustment pursuant to Section 14 above) shall be made that would materially and adversely affect the rights of any Optionee or holder of Stock Purchase Rights under any outstanding grant, without his or her consent. In addition, to the extent necessary and desirable to comply with the Applicable Laws, the Company shall obtain stockholder approval of any Plan amendment in such a manner and to such a degree as required.</w:t>
      </w:r>
    </w:p>
    <w:p>
      <w:pPr>
        <w:spacing w:after="0" w:line="151" w:lineRule="exact"/>
        <w:rPr>
          <w:rFonts w:ascii="Arial" w:cs="Arial" w:eastAsia="Arial" w:hAnsi="Arial"/>
          <w:sz w:val="16"/>
          <w:szCs w:val="16"/>
          <w:color w:val="auto"/>
        </w:rPr>
      </w:pPr>
    </w:p>
    <w:p>
      <w:pPr>
        <w:ind w:left="-40" w:firstLine="921"/>
        <w:spacing w:after="0" w:line="261" w:lineRule="auto"/>
        <w:tabs>
          <w:tab w:leader="none" w:pos="1128" w:val="left"/>
        </w:tabs>
        <w:numPr>
          <w:ilvl w:val="1"/>
          <w:numId w:val="245"/>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Amendment or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to amendments which the Administrator has the authority under the Plan to make</w:t>
      </w:r>
      <w:r>
        <w:rPr>
          <w:rFonts w:ascii="Arial" w:cs="Arial" w:eastAsia="Arial" w:hAnsi="Arial"/>
          <w:sz w:val="18"/>
          <w:szCs w:val="18"/>
          <w:b w:val="1"/>
          <w:bCs w:val="1"/>
          <w:color w:val="auto"/>
        </w:rPr>
        <w:t xml:space="preserve"> </w:t>
      </w:r>
      <w:r>
        <w:rPr>
          <w:rFonts w:ascii="Arial" w:cs="Arial" w:eastAsia="Arial" w:hAnsi="Arial"/>
          <w:sz w:val="18"/>
          <w:szCs w:val="18"/>
          <w:color w:val="auto"/>
        </w:rPr>
        <w:t>unilaterally, no amendment or termination of the Plan shall materially and adversely affect Options or Stock Purchase Rights already granted, unless mutually agreed otherwise between the Optionee or holder of the Stock Purchase Rights and the Administrator, which agreement must be in writing and signed by the Optionee or holder and the Company.</w:t>
      </w:r>
    </w:p>
    <w:p>
      <w:pPr>
        <w:spacing w:after="0" w:line="180" w:lineRule="exact"/>
        <w:rPr>
          <w:rFonts w:ascii="Arial" w:cs="Arial" w:eastAsia="Arial" w:hAnsi="Arial"/>
          <w:sz w:val="18"/>
          <w:szCs w:val="18"/>
          <w:color w:val="auto"/>
        </w:rPr>
      </w:pPr>
    </w:p>
    <w:p>
      <w:pPr>
        <w:ind w:left="-40" w:right="20" w:firstLine="464"/>
        <w:spacing w:after="0" w:line="271" w:lineRule="auto"/>
        <w:tabs>
          <w:tab w:leader="none" w:pos="686" w:val="left"/>
        </w:tabs>
        <w:numPr>
          <w:ilvl w:val="0"/>
          <w:numId w:val="245"/>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Upon Issuance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the Plan or any agreement entered into by the Company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the Company shall not be obligated, and shall have no liability for failure, to issue or deliver any Shares under the Plan unless such issuance or delivery would comply with the Applicable Laws, with such compliance determined by the Company in consultation with its legal counsel. As a condition to the exercise of an Option or Stock Purchase Right, the Company may require the person exercising the award to represent and warrant at the time of any such exercise that the Shares are being purchased only for investment and without any present intention to sell or distribute such Shares if, in the opinion of counsel for the Company, such a representation is required by law. Shares issued upon exercise of awards granted prior to the date on which the Common Stock becomes a Listed Security shall be subject to a right of first refusal in favor of the Company pursuant to which the Participant will be required to offer Shares to the Company before selling or transferring them to any third party on such terms and subject to such conditions as is reflected in the applicable Option Agreement or Restricted Stock Purchase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80" w:top="269" w:right="279" w:bottom="1440" w:gutter="0" w:footer="0" w:header="0"/>
        </w:sectPr>
      </w:pPr>
    </w:p>
    <w:bookmarkStart w:id="399" w:name="page400"/>
    <w:bookmarkEnd w:id="399"/>
    <w:p>
      <w:pPr>
        <w:ind w:left="-80" w:right="120" w:firstLine="464"/>
        <w:spacing w:after="0" w:line="282" w:lineRule="auto"/>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Reservation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during the term of this Plan, will at all times reserve and keep available such number of Shares as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satisfy the requirements of the Plan.</w:t>
      </w:r>
    </w:p>
    <w:p>
      <w:pPr>
        <w:spacing w:after="0" w:line="161" w:lineRule="exact"/>
        <w:rPr>
          <w:rFonts w:ascii="Arial" w:cs="Arial" w:eastAsia="Arial" w:hAnsi="Arial"/>
          <w:sz w:val="18"/>
          <w:szCs w:val="18"/>
          <w:color w:val="auto"/>
        </w:rPr>
      </w:pPr>
    </w:p>
    <w:p>
      <w:pPr>
        <w:ind w:left="-80" w:right="820" w:firstLine="464"/>
        <w:spacing w:after="0" w:line="282" w:lineRule="auto"/>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and Stock Purchase Rights shall be evidenced by Option Agreements and Restricted Stock Purchase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in such form(s) as the Administrator shall from time to time approve.</w:t>
      </w:r>
    </w:p>
    <w:p>
      <w:pPr>
        <w:spacing w:after="0" w:line="161" w:lineRule="exact"/>
        <w:rPr>
          <w:rFonts w:ascii="Arial" w:cs="Arial" w:eastAsia="Arial" w:hAnsi="Arial"/>
          <w:sz w:val="18"/>
          <w:szCs w:val="18"/>
          <w:color w:val="auto"/>
        </w:rPr>
      </w:pPr>
    </w:p>
    <w:p>
      <w:pPr>
        <w:ind w:left="-80" w:firstLine="464"/>
        <w:spacing w:after="0" w:line="266" w:lineRule="auto"/>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Stockholder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If required by the Applicable Laws, continuance of the Plan shall be subject to approval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within twelve (12) months before or after the date the Plan is adopted. Such stockholder approval shall be obtained in the manner and to the degree required under the Applicable Laws.</w:t>
      </w:r>
    </w:p>
    <w:p>
      <w:pPr>
        <w:spacing w:after="0" w:line="176" w:lineRule="exact"/>
        <w:rPr>
          <w:rFonts w:ascii="Arial" w:cs="Arial" w:eastAsia="Arial" w:hAnsi="Arial"/>
          <w:sz w:val="18"/>
          <w:szCs w:val="18"/>
          <w:color w:val="auto"/>
        </w:rPr>
      </w:pPr>
    </w:p>
    <w:p>
      <w:pPr>
        <w:ind w:left="-80" w:firstLine="464"/>
        <w:spacing w:after="0" w:line="256" w:lineRule="auto"/>
        <w:tabs>
          <w:tab w:leader="none" w:pos="646" w:val="left"/>
        </w:tabs>
        <w:numPr>
          <w:ilvl w:val="0"/>
          <w:numId w:val="246"/>
        </w:numPr>
        <w:rPr>
          <w:rFonts w:ascii="Arial" w:cs="Arial" w:eastAsia="Arial" w:hAnsi="Arial"/>
          <w:sz w:val="18"/>
          <w:szCs w:val="18"/>
          <w:color w:val="auto"/>
        </w:rPr>
      </w:pPr>
      <w:r>
        <w:rPr>
          <w:rFonts w:ascii="Arial" w:cs="Arial" w:eastAsia="Arial" w:hAnsi="Arial"/>
          <w:sz w:val="18"/>
          <w:szCs w:val="18"/>
          <w:b w:val="1"/>
          <w:bCs w:val="1"/>
          <w:u w:val="single" w:color="auto"/>
          <w:color w:val="auto"/>
        </w:rPr>
        <w:t>Information and Documents to Optionees and Purchasers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if any, upon which the Common Stock becomes a Listed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if required by the Applicable Laws, the Company shall provide financial statements at least annually to each Optionee and to each individual who acquired Shares pursuant to the Plan, during the period such Optionee or purchaser has one or more Options or Stock Purchase Rights outstanding, and in the case of an individual who acquired Shares pursuant to the Plan, during the period such individual owns such Shares. The Company shall not be required to provide such information if the issuance of Options or Stock Purchase Rights under the Plan is limited to key employees whose duties in connection with the Company assure their access to equivalent information.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320" w:top="270" w:right="31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11"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WHEREAS, by written consent of the board of directors dated as of March 8, 2013 and by written consent of the stockholders dated as of March 8, 2013, the directors and stockholders of Syndax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approved an amendment to the Syndax Pharmaceuticals, Inc.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to amend the number of shares of common stock that may be issued pursuant to awards granted under the Plan from 5,750,000 to 85,511,865;</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March 8, 2013, Section 3 of the Plan is amended and restated in its entirety to read as follows:</w:t>
      </w:r>
    </w:p>
    <w:p>
      <w:pPr>
        <w:spacing w:after="0" w:line="113" w:lineRule="exact"/>
        <w:rPr>
          <w:sz w:val="20"/>
          <w:szCs w:val="20"/>
          <w:color w:val="auto"/>
        </w:rPr>
      </w:pPr>
    </w:p>
    <w:p>
      <w:pPr>
        <w:ind w:left="920" w:right="120" w:firstLine="420"/>
        <w:spacing w:after="0" w:line="291" w:lineRule="auto"/>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b w:val="1"/>
          <w:bCs w:val="1"/>
          <w:u w:val="single" w:color="auto"/>
          <w:color w:val="auto"/>
        </w:rPr>
        <w:t>Stock Subject to the Plan.</w:t>
      </w:r>
      <w:r>
        <w:rPr>
          <w:rFonts w:ascii="Arial" w:cs="Arial" w:eastAsia="Arial" w:hAnsi="Arial"/>
          <w:sz w:val="16"/>
          <w:szCs w:val="16"/>
          <w:color w:val="auto"/>
        </w:rPr>
        <w:t xml:space="preserve"> Subject to the provisions of Section 14 of the Plan, the maximum aggregate number of Shares that may be sold under the Plan is 85,511,865.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01" w:name="page402"/>
    <w:bookmarkEnd w:id="401"/>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332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Morris</w:t>
            </w:r>
          </w:p>
        </w:tc>
      </w:tr>
      <w:tr>
        <w:trPr>
          <w:trHeight w:val="209"/>
        </w:trPr>
        <w:tc>
          <w:tcPr>
            <w:tcW w:w="3320" w:type="dxa"/>
            <w:vAlign w:val="bottom"/>
          </w:tcPr>
          <w:p>
            <w:pPr>
              <w:ind w:left="274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Morris</w:t>
            </w:r>
          </w:p>
        </w:tc>
      </w:tr>
      <w:tr>
        <w:trPr>
          <w:trHeight w:val="230"/>
        </w:trPr>
        <w:tc>
          <w:tcPr>
            <w:tcW w:w="3320" w:type="dxa"/>
            <w:vAlign w:val="bottom"/>
          </w:tcPr>
          <w:p>
            <w:pPr>
              <w:ind w:left="27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w w:val="94"/>
              </w:rPr>
              <w:t>[Signature page to Amendment to the Plan.]</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11"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WHEREAS, by resolutions of the board of directors adopted on July 9, 2013 and by written consent of the stockholders dated as of July 10, 2013, the directors and stockholders of Syndax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approved an amendment to the Syndax Pharmaceuticals, Inc. 2007 Stock Plan (the “</w:t>
      </w:r>
      <w:r>
        <w:rPr>
          <w:rFonts w:ascii="Arial" w:cs="Arial" w:eastAsia="Arial" w:hAnsi="Arial"/>
          <w:sz w:val="16"/>
          <w:szCs w:val="16"/>
          <w:u w:val="single" w:color="auto"/>
          <w:color w:val="auto"/>
        </w:rPr>
        <w:t>Plan</w:t>
      </w:r>
      <w:r>
        <w:rPr>
          <w:rFonts w:ascii="Arial" w:cs="Arial" w:eastAsia="Arial" w:hAnsi="Arial"/>
          <w:sz w:val="16"/>
          <w:szCs w:val="16"/>
          <w:color w:val="auto"/>
        </w:rPr>
        <w:t>”) to amend the number of shares of common stock that may be issued pursuant to awards granted under the Plan from 85,511,865 to 100,121,865;</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July 10, 2013, Section 3 of the Plan is amended and restated in its entirety to read as follows:</w:t>
      </w:r>
    </w:p>
    <w:p>
      <w:pPr>
        <w:spacing w:after="0" w:line="113" w:lineRule="exact"/>
        <w:rPr>
          <w:sz w:val="20"/>
          <w:szCs w:val="20"/>
          <w:color w:val="auto"/>
        </w:rPr>
      </w:pPr>
    </w:p>
    <w:p>
      <w:pPr>
        <w:ind w:left="920"/>
        <w:spacing w:after="0" w:line="272" w:lineRule="auto"/>
        <w:rPr>
          <w:sz w:val="20"/>
          <w:szCs w:val="20"/>
          <w:color w:val="auto"/>
        </w:rPr>
      </w:pPr>
      <w:r>
        <w:rPr>
          <w:rFonts w:ascii="Arial" w:cs="Arial" w:eastAsia="Arial" w:hAnsi="Arial"/>
          <w:sz w:val="17"/>
          <w:szCs w:val="17"/>
          <w:color w:val="auto"/>
        </w:rPr>
        <w:t xml:space="preserve">“3. </w:t>
      </w:r>
      <w:r>
        <w:rPr>
          <w:rFonts w:ascii="Arial" w:cs="Arial" w:eastAsia="Arial" w:hAnsi="Arial"/>
          <w:sz w:val="17"/>
          <w:szCs w:val="17"/>
          <w:b w:val="1"/>
          <w:bCs w:val="1"/>
          <w:u w:val="single" w:color="auto"/>
          <w:color w:val="auto"/>
        </w:rPr>
        <w:t>Stock Subject to the Plan</w:t>
      </w:r>
      <w:r>
        <w:rPr>
          <w:rFonts w:ascii="Arial" w:cs="Arial" w:eastAsia="Arial" w:hAnsi="Arial"/>
          <w:sz w:val="17"/>
          <w:szCs w:val="17"/>
          <w:b w:val="1"/>
          <w:bCs w:val="1"/>
          <w:color w:val="auto"/>
        </w:rPr>
        <w:t>.</w:t>
      </w:r>
      <w:r>
        <w:rPr>
          <w:rFonts w:ascii="Arial" w:cs="Arial" w:eastAsia="Arial" w:hAnsi="Arial"/>
          <w:sz w:val="17"/>
          <w:szCs w:val="17"/>
          <w:color w:val="auto"/>
        </w:rPr>
        <w:t xml:space="preserve"> Subject to the provisions of Section 14 of the Plan, the maximum aggregate number of Shares that may be sold under the Plan is 100,121,865.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403" w:name="page404"/>
    <w:bookmarkEnd w:id="403"/>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3320" w:type="dxa"/>
            <w:vAlign w:val="bottom"/>
          </w:tcPr>
          <w:p>
            <w:pPr>
              <w:ind w:left="27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Morris</w:t>
            </w:r>
          </w:p>
        </w:tc>
      </w:tr>
      <w:tr>
        <w:trPr>
          <w:trHeight w:val="209"/>
        </w:trPr>
        <w:tc>
          <w:tcPr>
            <w:tcW w:w="3320" w:type="dxa"/>
            <w:vAlign w:val="bottom"/>
          </w:tcPr>
          <w:p>
            <w:pPr>
              <w:ind w:left="274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Morris</w:t>
            </w:r>
          </w:p>
        </w:tc>
      </w:tr>
      <w:tr>
        <w:trPr>
          <w:trHeight w:val="230"/>
        </w:trPr>
        <w:tc>
          <w:tcPr>
            <w:tcW w:w="3320" w:type="dxa"/>
            <w:vAlign w:val="bottom"/>
          </w:tcPr>
          <w:p>
            <w:pPr>
              <w:ind w:left="27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320" w:type="dxa"/>
            <w:vAlign w:val="bottom"/>
          </w:tcPr>
          <w:p>
            <w:pPr>
              <w:spacing w:after="0"/>
              <w:rPr>
                <w:sz w:val="20"/>
                <w:szCs w:val="20"/>
                <w:color w:val="auto"/>
              </w:rPr>
            </w:pPr>
            <w:r>
              <w:rPr>
                <w:rFonts w:ascii="Arial" w:cs="Arial" w:eastAsia="Arial" w:hAnsi="Arial"/>
                <w:sz w:val="18"/>
                <w:szCs w:val="18"/>
                <w:color w:val="auto"/>
                <w:w w:val="94"/>
              </w:rPr>
              <w:t>[Signature page to Amendment to the Plan.]</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07"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color w:val="auto"/>
        </w:rPr>
        <w:t>WHEREAS, by written consent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Syndax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adopted on January 17, 2014 and by written consent of the stockholders of the Company dated as of January 23, 2014, the Board and stockholders of the Company approved an amendment to the Company’s 2007 Stock Plan (the “</w:t>
      </w:r>
      <w:r>
        <w:rPr>
          <w:rFonts w:ascii="Arial" w:cs="Arial" w:eastAsia="Arial" w:hAnsi="Arial"/>
          <w:sz w:val="18"/>
          <w:szCs w:val="18"/>
          <w:b w:val="1"/>
          <w:bCs w:val="1"/>
          <w:color w:val="auto"/>
        </w:rPr>
        <w:t>Plan</w:t>
      </w:r>
      <w:r>
        <w:rPr>
          <w:rFonts w:ascii="Arial" w:cs="Arial" w:eastAsia="Arial" w:hAnsi="Arial"/>
          <w:sz w:val="18"/>
          <w:szCs w:val="18"/>
          <w:color w:val="auto"/>
        </w:rPr>
        <w:t>”) to amend the number of shares of the Company’s common stock that may be issued pursuant to awards granted under the Plan from 10,012,178 (which number of shares reserved under the Plan reflects a 1-for-10 reverse stock split of Common Stock effected by the Company on November 18, 2013) to 12,327,178.</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January 23, 2014, Section 3 of the Plan is amended and restated in its entirely to read as follows:</w:t>
      </w:r>
    </w:p>
    <w:p>
      <w:pPr>
        <w:spacing w:after="0" w:line="113"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Stock Subject to the Plan</w:t>
      </w:r>
      <w:r>
        <w:rPr>
          <w:rFonts w:ascii="Arial" w:cs="Arial" w:eastAsia="Arial" w:hAnsi="Arial"/>
          <w:sz w:val="18"/>
          <w:szCs w:val="18"/>
          <w:color w:val="auto"/>
        </w:rPr>
        <w:t>. Subject to the provisions of Section 14 of the Plan, the maximum aggregate number of Shares that may be sold under the Plan is 12,327,178.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2" w:right="239" w:bottom="1440" w:gutter="0" w:footer="0" w:header="0"/>
        </w:sectPr>
      </w:pPr>
    </w:p>
    <w:bookmarkStart w:id="405" w:name="page406"/>
    <w:bookmarkEnd w:id="405"/>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M. Morris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M. Morris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274"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WHEREAS, by resolutions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Syndax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adopted on December 16, 2014 and by written consent of the stockholders of the Company dated as of December 17, 2014, the Board and stockholders of the Company approved an amendment to the Company’s 2007 Stock Plan (the “</w:t>
      </w:r>
      <w:r>
        <w:rPr>
          <w:rFonts w:ascii="Arial" w:cs="Arial" w:eastAsia="Arial" w:hAnsi="Arial"/>
          <w:sz w:val="18"/>
          <w:szCs w:val="18"/>
          <w:b w:val="1"/>
          <w:bCs w:val="1"/>
          <w:color w:val="auto"/>
        </w:rPr>
        <w:t>Plan</w:t>
      </w:r>
      <w:r>
        <w:rPr>
          <w:rFonts w:ascii="Arial" w:cs="Arial" w:eastAsia="Arial" w:hAnsi="Arial"/>
          <w:sz w:val="18"/>
          <w:szCs w:val="18"/>
          <w:color w:val="auto"/>
        </w:rPr>
        <w:t>”) to amend the number of shares of the Company’s common stock that may be issued pursuant to awards granted under the Plan from 1,002,172 (which number of shares reserved under the Plan reflects a 1-for-10 reverse stock split of Common Stock effected by the Company on November 18, 2013 and a 1-for-12.3 reverse stock split of Common Stock effected by the Company on June 3, 2014) to 1,525,000.</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December 17, 2014, Section 3 of the Plan is amended and restated in its entirety to read as follows:</w:t>
      </w:r>
    </w:p>
    <w:p>
      <w:pPr>
        <w:spacing w:after="0" w:line="113"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Stock Subject to the Plan</w:t>
      </w:r>
      <w:r>
        <w:rPr>
          <w:rFonts w:ascii="Arial" w:cs="Arial" w:eastAsia="Arial" w:hAnsi="Arial"/>
          <w:sz w:val="18"/>
          <w:szCs w:val="18"/>
          <w:color w:val="auto"/>
        </w:rPr>
        <w:t>. Subject to the provisions of Section 14 of the Plan, the maximum aggregate number of Shares that may be sold under the Plan is 1,525,000.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1" w:right="239" w:bottom="1440" w:gutter="0" w:footer="0" w:header="0"/>
        </w:sectPr>
      </w:pPr>
    </w:p>
    <w:bookmarkStart w:id="407" w:name="page408"/>
    <w:bookmarkEnd w:id="407"/>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Arlene M. Morris</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Arlene M. Morris</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2007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MENDMENT</w:t>
      </w:r>
      <w:r>
        <w:rPr>
          <w:rFonts w:ascii="Arial" w:cs="Arial" w:eastAsia="Arial" w:hAnsi="Arial"/>
          <w:sz w:val="18"/>
          <w:szCs w:val="18"/>
          <w:b w:val="1"/>
          <w:bCs w:val="1"/>
          <w:color w:val="auto"/>
        </w:rPr>
        <w:t>]</w:t>
      </w:r>
    </w:p>
    <w:p>
      <w:pPr>
        <w:sectPr>
          <w:pgSz w:w="11900" w:h="16838" w:orient="portrait"/>
          <w:cols w:equalWidth="0" w:num="1">
            <w:col w:w="11420"/>
          </w:cols>
          <w:pgMar w:left="240" w:top="273"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WHEREAS, by written consent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Syndax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adopted on May 26, 2015 and by written consent of the stockholders of the Company dated as of May 28, 2015, the Board and stockholders of the Company approved an amendment to the Company’s 2007 Stock Plan (the “</w:t>
      </w:r>
      <w:r>
        <w:rPr>
          <w:rFonts w:ascii="Arial" w:cs="Arial" w:eastAsia="Arial" w:hAnsi="Arial"/>
          <w:sz w:val="18"/>
          <w:szCs w:val="18"/>
          <w:b w:val="1"/>
          <w:bCs w:val="1"/>
          <w:color w:val="auto"/>
        </w:rPr>
        <w:t>Plan</w:t>
      </w:r>
      <w:r>
        <w:rPr>
          <w:rFonts w:ascii="Arial" w:cs="Arial" w:eastAsia="Arial" w:hAnsi="Arial"/>
          <w:sz w:val="18"/>
          <w:szCs w:val="18"/>
          <w:color w:val="auto"/>
        </w:rPr>
        <w:t>”) to amend the number of shares of the Company’s common stock that may be issued pursuant to awards granted under the Plan from 1,525,000 (which number of shares reserved under the Plan reflects a 1-for-12.3 reverse stock split of Common Stock effected by the Company on June 3, 2014) to 2,789,000.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May 28, 2015, Section 3 of the Plan is amended and restated in its entirely to read as follows:</w:t>
      </w:r>
    </w:p>
    <w:p>
      <w:pPr>
        <w:spacing w:after="0" w:line="113"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Stock Subject to the Plan</w:t>
      </w:r>
      <w:r>
        <w:rPr>
          <w:rFonts w:ascii="Arial" w:cs="Arial" w:eastAsia="Arial" w:hAnsi="Arial"/>
          <w:sz w:val="18"/>
          <w:szCs w:val="18"/>
          <w:color w:val="auto"/>
        </w:rPr>
        <w:t>. Subject to the provisions of Section 14 of the Plan, the maximum aggregate number of Shares that may be sold under the Plan is 2,789,000.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1" w:right="239" w:bottom="1440" w:gutter="0" w:footer="0" w:header="0"/>
        </w:sectPr>
      </w:pPr>
    </w:p>
    <w:bookmarkStart w:id="409" w:name="page410"/>
    <w:bookmarkEnd w:id="409"/>
    <w:p>
      <w:pPr>
        <w:ind w:right="3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Metzger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Michael Metzger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Operating Officer</w:t>
            </w:r>
          </w:p>
        </w:tc>
      </w:tr>
    </w:tbl>
    <w:p>
      <w:pPr>
        <w:sectPr>
          <w:pgSz w:w="11900" w:h="16838" w:orient="portrait"/>
          <w:cols w:equalWidth="0" w:num="1">
            <w:col w:w="11420"/>
          </w:cols>
          <w:pgMar w:left="240" w:top="274"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07"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WHEREAS, by written consent of the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of Syndax Pharmaceuticals, Inc. (the “</w:t>
      </w:r>
      <w:r>
        <w:rPr>
          <w:rFonts w:ascii="Arial" w:cs="Arial" w:eastAsia="Arial" w:hAnsi="Arial"/>
          <w:sz w:val="18"/>
          <w:szCs w:val="18"/>
          <w:b w:val="1"/>
          <w:bCs w:val="1"/>
          <w:color w:val="auto"/>
        </w:rPr>
        <w:t>Company</w:t>
      </w:r>
      <w:r>
        <w:rPr>
          <w:rFonts w:ascii="Arial" w:cs="Arial" w:eastAsia="Arial" w:hAnsi="Arial"/>
          <w:sz w:val="18"/>
          <w:szCs w:val="18"/>
          <w:color w:val="auto"/>
        </w:rPr>
        <w:t>”) adopted on August 18, 2015 and by written consent of the stockholders of the Company dated as of August 20, 2015, the Board and stockholders of the Company approved an amendment to the Company’s 2007 Stock Plan (the “</w:t>
      </w:r>
      <w:r>
        <w:rPr>
          <w:rFonts w:ascii="Arial" w:cs="Arial" w:eastAsia="Arial" w:hAnsi="Arial"/>
          <w:sz w:val="18"/>
          <w:szCs w:val="18"/>
          <w:b w:val="1"/>
          <w:bCs w:val="1"/>
          <w:color w:val="auto"/>
        </w:rPr>
        <w:t>Plan</w:t>
      </w:r>
      <w:r>
        <w:rPr>
          <w:rFonts w:ascii="Arial" w:cs="Arial" w:eastAsia="Arial" w:hAnsi="Arial"/>
          <w:sz w:val="18"/>
          <w:szCs w:val="18"/>
          <w:color w:val="auto"/>
        </w:rPr>
        <w:t>”) to amend the number of shares of the Company’s common stock that may be issued pursuant to awards granted under the Plan from 2,789,000 (which number of shares reserved under the Plan reflects a 1-for-12.3 reverse stock split of Common Stock effected by the Company on June 3, 2014) to 3,754,270.</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hereby amended in the following respects: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as of August 20, 2015, Section 3 of the Plan is amended and restated in its entirely to read as follows:</w:t>
      </w:r>
    </w:p>
    <w:p>
      <w:pPr>
        <w:spacing w:after="0" w:line="113"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b w:val="1"/>
          <w:bCs w:val="1"/>
          <w:u w:val="single" w:color="auto"/>
          <w:color w:val="auto"/>
        </w:rPr>
        <w:t>Stock Subject to the Plan</w:t>
      </w:r>
      <w:r>
        <w:rPr>
          <w:rFonts w:ascii="Arial" w:cs="Arial" w:eastAsia="Arial" w:hAnsi="Arial"/>
          <w:sz w:val="18"/>
          <w:szCs w:val="18"/>
          <w:color w:val="auto"/>
        </w:rPr>
        <w:t>. Subject to the provisions of Section 14 of the Plan, the maximum aggregate number of Shares that may be sold under the Plan is 3,754,270. The Shares may be authorized, but unissued, or reacquired Common Stock. If an award should expire or become unexercisable for any reason without having been exercised in full, or is surrendered pursuant to an Option Exchange Program, the unpurchased Shares that were subject thereto shall, unless the Plan shall have been terminated, become available for future grant under the Plan. In addition, any Shares of Common Stock which are retained by the Company upon exercise of an award in order to satisfy the exercise or purchase price for such award or any withholding taxes due with respect to such exercise or purchase shall be treated as not issued and shall continue to be available under the Plan. Shares issued under the Plan and later repurchased by the Company pursuant to any repurchase right which the Company may have shall be available for future grant under the Plan.”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420"/>
          </w:cols>
          <w:pgMar w:left="240" w:top="121" w:right="239" w:bottom="1440" w:gutter="0" w:footer="0" w:header="0"/>
        </w:sectPr>
      </w:pPr>
    </w:p>
    <w:bookmarkStart w:id="411" w:name="page412"/>
    <w:bookmarkEnd w:id="41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record the adoption of this Amendment to the Plan, the Company has caused its undersigned officer to execute this document as of the date first written above.</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Briggs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Briggs Morrison, M.D.</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060"/>
          </w:cols>
          <w:pgMar w:left="240" w:top="274" w:right="599" w:bottom="1440" w:gutter="0" w:footer="0" w:header="0"/>
        </w:sectPr>
      </w:pPr>
    </w:p>
    <w:bookmarkStart w:id="412" w:name="page413"/>
    <w:bookmarkEnd w:id="41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been granted an option to purchase Common Stock of Syndax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as follows: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Grant: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Price per Share: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Number of Shares Granted: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Exercise Price</w:t>
      </w:r>
      <w:r>
        <w:rPr>
          <w:rFonts w:ascii="Arial" w:cs="Arial" w:eastAsia="Arial" w:hAnsi="Arial"/>
          <w:sz w:val="15"/>
          <w:szCs w:val="15"/>
          <w:color w:val="auto"/>
        </w:rPr>
        <w:t>1</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w:t>
      </w:r>
    </w:p>
    <w:p>
      <w:pPr>
        <w:spacing w:after="0" w:line="140" w:lineRule="exact"/>
        <w:rPr>
          <w:sz w:val="20"/>
          <w:szCs w:val="20"/>
          <w:color w:val="auto"/>
        </w:rPr>
      </w:pPr>
    </w:p>
    <w:p>
      <w:pPr>
        <w:sectPr>
          <w:pgSz w:w="11900" w:h="16838" w:orient="portrait"/>
          <w:cols w:equalWidth="0" w:num="2">
            <w:col w:w="3420" w:space="720"/>
            <w:col w:w="728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Expiration Date: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Commencement Date:</w:t>
      </w:r>
    </w:p>
    <w:p>
      <w:pPr>
        <w:sectPr>
          <w:pgSz w:w="11900" w:h="16838" w:orient="portrait"/>
          <w:cols w:equalWidth="0" w:num="1">
            <w:col w:w="11420"/>
          </w:cols>
          <w:pgMar w:left="240" w:top="121" w:right="239" w:bottom="1440" w:gutter="0" w:footer="0" w:header="0"/>
          <w:type w:val="continuous"/>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Vesting/Exercise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801370</wp:posOffset>
            </wp:positionV>
            <wp:extent cx="7289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This Option may be exercised, in whole or in part, at any time or from time to time after the Date of Grant. So long as your Continuous Service Status with the Company continues, the Shares underlying this Option shall vest in accordance with the following schedule: twenty-five percent (25%) of the total number of Shares subject to the Option shall vest on the Grant Date and 1/36</w:t>
      </w:r>
      <w:r>
        <w:rPr>
          <w:rFonts w:ascii="Arial" w:cs="Arial" w:eastAsia="Arial" w:hAnsi="Arial"/>
          <w:sz w:val="14"/>
          <w:szCs w:val="14"/>
          <w:color w:val="auto"/>
        </w:rPr>
        <w:t>th</w:t>
      </w:r>
      <w:r>
        <w:rPr>
          <w:rFonts w:ascii="Arial" w:cs="Arial" w:eastAsia="Arial" w:hAnsi="Arial"/>
          <w:sz w:val="17"/>
          <w:szCs w:val="17"/>
          <w:color w:val="auto"/>
        </w:rPr>
        <w:t xml:space="preserve"> of the total remaining number of Shares subject to the Option shall vest on the same day of each month thereafter.</w:t>
      </w:r>
    </w:p>
    <w:p>
      <w:pPr>
        <w:spacing w:after="0" w:line="151" w:lineRule="exact"/>
        <w:rPr>
          <w:sz w:val="20"/>
          <w:szCs w:val="20"/>
          <w:color w:val="auto"/>
        </w:rPr>
      </w:pPr>
    </w:p>
    <w:p>
      <w:pPr>
        <w:sectPr>
          <w:pgSz w:w="11900" w:h="16838" w:orient="portrait"/>
          <w:cols w:equalWidth="0" w:num="2">
            <w:col w:w="3420" w:space="720"/>
            <w:col w:w="7280"/>
          </w:cols>
          <w:pgMar w:left="240" w:top="121" w:right="239" w:bottom="1440" w:gutter="0" w:footer="0" w:header="0"/>
          <w:type w:val="continuous"/>
        </w:sectPr>
      </w:pPr>
    </w:p>
    <w:p>
      <w:pPr>
        <w:ind w:left="220" w:right="160" w:hanging="212"/>
        <w:spacing w:after="0" w:line="259" w:lineRule="auto"/>
        <w:tabs>
          <w:tab w:leader="none" w:pos="220" w:val="left"/>
        </w:tabs>
        <w:numPr>
          <w:ilvl w:val="0"/>
          <w:numId w:val="247"/>
        </w:numPr>
        <w:rPr>
          <w:rFonts w:ascii="Arial" w:cs="Arial" w:eastAsia="Arial" w:hAnsi="Arial"/>
          <w:sz w:val="15"/>
          <w:szCs w:val="15"/>
          <w:color w:val="auto"/>
        </w:rPr>
      </w:pPr>
      <w:r>
        <w:rPr>
          <w:rFonts w:ascii="Arial" w:cs="Arial" w:eastAsia="Arial" w:hAnsi="Arial"/>
          <w:sz w:val="18"/>
          <w:szCs w:val="18"/>
          <w:color w:val="auto"/>
        </w:rPr>
        <w:t xml:space="preserve">Under </w:t>
      </w:r>
      <w:r>
        <w:rPr>
          <w:rFonts w:ascii="Arial" w:cs="Arial" w:eastAsia="Arial" w:hAnsi="Arial"/>
          <w:sz w:val="18"/>
          <w:szCs w:val="18"/>
          <w:u w:val="single" w:color="auto"/>
          <w:color w:val="auto"/>
        </w:rPr>
        <w:t>Section 422(d)</w:t>
      </w:r>
      <w:r>
        <w:rPr>
          <w:rFonts w:ascii="Arial" w:cs="Arial" w:eastAsia="Arial" w:hAnsi="Arial"/>
          <w:sz w:val="18"/>
          <w:szCs w:val="18"/>
          <w:color w:val="auto"/>
        </w:rPr>
        <w:t xml:space="preserve"> of the Internal Revenue Code, the total aggregate fair market value of ISOs that become exercisable for an individual employee for the first time within a calendar year may not exceed $100,000. Any shares that become exercisable within a calendar year that cause the value of the aggregate number of shares vesting to exceed $100,000 will no longer qualify for preferential tax treatment as ISO shares. Any excess over $100,000 is a Non-Statutory Stock Option.</w:t>
      </w:r>
    </w:p>
    <w:p>
      <w:pPr>
        <w:sectPr>
          <w:pgSz w:w="11900" w:h="16838" w:orient="portrait"/>
          <w:cols w:equalWidth="0" w:num="1">
            <w:col w:w="11420"/>
          </w:cols>
          <w:pgMar w:left="240" w:top="121" w:right="239" w:bottom="1440" w:gutter="0" w:footer="0" w:header="0"/>
          <w:type w:val="continuous"/>
        </w:sectPr>
      </w:pPr>
    </w:p>
    <w:bookmarkStart w:id="413" w:name="page414"/>
    <w:bookmarkEnd w:id="413"/>
    <w:p>
      <w:pPr>
        <w:ind w:left="460"/>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ind w:right="500"/>
        <w:spacing w:after="0" w:line="297" w:lineRule="auto"/>
        <w:rPr>
          <w:sz w:val="20"/>
          <w:szCs w:val="20"/>
          <w:color w:val="auto"/>
        </w:rPr>
      </w:pPr>
      <w:r>
        <w:rPr>
          <w:rFonts w:ascii="Arial" w:cs="Arial" w:eastAsia="Arial" w:hAnsi="Arial"/>
          <w:sz w:val="16"/>
          <w:szCs w:val="16"/>
          <w:color w:val="auto"/>
        </w:rPr>
        <w:t>This Option may be exercised for ninety (90) days after termination of Optionee’s Continuous Service Status except as set out in Section 5 of the Stock Option Agreement (but in no event later than the Expiration Date). Optionee is responsible for keeping track of these exercise periods following termination for any reason of his or her service relationship with the Company. The Company will not provide further notice of such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-807085</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3420" w:space="720"/>
            <w:col w:w="7280"/>
          </w:cols>
          <w:pgMar w:left="240" w:top="273" w:right="239" w:bottom="1440" w:gutter="0" w:footer="0" w:header="0"/>
        </w:sectPr>
      </w:pPr>
    </w:p>
    <w:p>
      <w:pPr>
        <w:ind w:left="460"/>
        <w:spacing w:after="0"/>
        <w:rPr>
          <w:sz w:val="20"/>
          <w:szCs w:val="20"/>
          <w:color w:val="auto"/>
        </w:rPr>
      </w:pPr>
      <w:r>
        <w:rPr>
          <w:rFonts w:ascii="Arial" w:cs="Arial" w:eastAsia="Arial" w:hAnsi="Arial"/>
          <w:sz w:val="17"/>
          <w:szCs w:val="17"/>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may not be transferred.</w:t>
      </w:r>
    </w:p>
    <w:p>
      <w:pPr>
        <w:spacing w:after="0" w:line="211" w:lineRule="exact"/>
        <w:rPr>
          <w:sz w:val="20"/>
          <w:szCs w:val="20"/>
          <w:color w:val="auto"/>
        </w:rPr>
      </w:pPr>
    </w:p>
    <w:p>
      <w:pPr>
        <w:sectPr>
          <w:pgSz w:w="11900" w:h="16838" w:orient="portrait"/>
          <w:cols w:equalWidth="0" w:num="2">
            <w:col w:w="3420" w:space="720"/>
            <w:col w:w="7280"/>
          </w:cols>
          <w:pgMar w:left="240" w:top="273" w:right="239" w:bottom="1440" w:gutter="0" w:footer="0" w:header="0"/>
          <w:type w:val="continuous"/>
        </w:sectPr>
      </w:pPr>
    </w:p>
    <w:p>
      <w:pPr>
        <w:spacing w:after="0" w:line="3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By your signature and the signature of the Company’s representative below, you and the Company agree that this option is granted under and governed by the terms and conditions of the Syndax Pharmaceuticals, Inc. 2007 Stock Plan and the Stock Option Agreement, both of which are attached and made a part of this document.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Dated:</w:t>
            </w: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By:</w:t>
            </w:r>
          </w:p>
        </w:tc>
      </w:tr>
      <w:tr>
        <w:trPr>
          <w:trHeight w:val="209"/>
        </w:trPr>
        <w:tc>
          <w:tcPr>
            <w:tcW w:w="2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00" w:type="dxa"/>
            <w:vAlign w:val="bottom"/>
          </w:tcPr>
          <w:p>
            <w:pPr>
              <w:ind w:left="720"/>
              <w:spacing w:after="0"/>
              <w:rPr>
                <w:sz w:val="20"/>
                <w:szCs w:val="20"/>
                <w:color w:val="auto"/>
              </w:rPr>
            </w:pPr>
            <w:r>
              <w:rPr>
                <w:rFonts w:ascii="Arial" w:cs="Arial" w:eastAsia="Arial" w:hAnsi="Arial"/>
                <w:sz w:val="18"/>
                <w:szCs w:val="18"/>
                <w:color w:val="auto"/>
              </w:rPr>
              <w:t>«Name»</w:t>
            </w:r>
          </w:p>
        </w:tc>
        <w:tc>
          <w:tcPr>
            <w:tcW w:w="49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«Title»</w:t>
            </w:r>
          </w:p>
        </w:tc>
      </w:tr>
      <w:tr>
        <w:trPr>
          <w:trHeight w:val="36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-2-</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3" w:right="239" w:bottom="1440" w:gutter="0" w:footer="0" w:header="0"/>
          <w:type w:val="continuous"/>
        </w:sectPr>
      </w:pPr>
    </w:p>
    <w:bookmarkStart w:id="414" w:name="page415"/>
    <w:bookmarkEnd w:id="4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w:t>
      </w:r>
      <w:r>
        <w:rPr>
          <w:rFonts w:ascii="Arial" w:cs="Arial" w:eastAsia="Arial" w:hAnsi="Arial"/>
          <w:sz w:val="16"/>
          <w:szCs w:val="16"/>
          <w:color w:val="auto"/>
        </w:rPr>
        <w:t xml:space="preserve"> Syndax Pharmaceuticals,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grants to «Name» (“</w:t>
      </w:r>
      <w:r>
        <w:rPr>
          <w:rFonts w:ascii="Arial" w:cs="Arial" w:eastAsia="Arial" w:hAnsi="Arial"/>
          <w:sz w:val="16"/>
          <w:szCs w:val="16"/>
          <w:u w:val="single" w:color="auto"/>
          <w:color w:val="auto"/>
        </w:rPr>
        <w:t>Optionee</w:t>
      </w:r>
      <w:r>
        <w:rPr>
          <w:rFonts w:ascii="Arial" w:cs="Arial" w:eastAsia="Arial" w:hAnsi="Arial"/>
          <w:sz w:val="16"/>
          <w:szCs w:val="16"/>
          <w:color w:val="auto"/>
        </w:rPr>
        <w:t>”), an option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total number of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set forth in the Notice of Stock Option Grant (the “</w:t>
      </w:r>
      <w:r>
        <w:rPr>
          <w:rFonts w:ascii="Arial" w:cs="Arial" w:eastAsia="Arial" w:hAnsi="Arial"/>
          <w:sz w:val="16"/>
          <w:szCs w:val="16"/>
          <w:u w:val="single" w:color="auto"/>
          <w:color w:val="auto"/>
        </w:rPr>
        <w:t>Notice</w:t>
      </w:r>
      <w:r>
        <w:rPr>
          <w:rFonts w:ascii="Arial" w:cs="Arial" w:eastAsia="Arial" w:hAnsi="Arial"/>
          <w:sz w:val="16"/>
          <w:szCs w:val="16"/>
          <w:color w:val="auto"/>
        </w:rPr>
        <w:t>”), at the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per Share set forth in the Notice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the terms, definitions and provisions of the Syndax Pharmaceuticals, Inc. 2007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(the “</w:t>
      </w:r>
      <w:r>
        <w:rPr>
          <w:rFonts w:ascii="Arial" w:cs="Arial" w:eastAsia="Arial" w:hAnsi="Arial"/>
          <w:sz w:val="16"/>
          <w:szCs w:val="16"/>
          <w:u w:val="single" w:color="auto"/>
          <w:color w:val="auto"/>
        </w:rPr>
        <w:t>Plan</w:t>
      </w:r>
      <w:r>
        <w:rPr>
          <w:rFonts w:ascii="Arial" w:cs="Arial" w:eastAsia="Arial" w:hAnsi="Arial"/>
          <w:sz w:val="16"/>
          <w:szCs w:val="16"/>
          <w:color w:val="auto"/>
        </w:rPr>
        <w:t>”) adopted by the Company, which is incorporated in this Agreement by reference. Unless otherwise defined in this Agreement, the terms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shall have the meanings defined in the Plan.</w:t>
      </w:r>
    </w:p>
    <w:p>
      <w:pPr>
        <w:spacing w:after="0" w:line="207" w:lineRule="exact"/>
        <w:rPr>
          <w:sz w:val="20"/>
          <w:szCs w:val="20"/>
          <w:color w:val="auto"/>
        </w:rPr>
      </w:pPr>
    </w:p>
    <w:p>
      <w:pPr>
        <w:ind w:left="640" w:hanging="176"/>
        <w:spacing w:after="0"/>
        <w:tabs>
          <w:tab w:leader="none" w:pos="640" w:val="left"/>
        </w:tabs>
        <w:numPr>
          <w:ilvl w:val="0"/>
          <w:numId w:val="248"/>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w:t>
      </w:r>
    </w:p>
    <w:p>
      <w:pPr>
        <w:spacing w:after="0" w:line="38" w:lineRule="exact"/>
        <w:rPr>
          <w:rFonts w:ascii="Arial" w:cs="Arial" w:eastAsia="Arial" w:hAnsi="Arial"/>
          <w:sz w:val="17"/>
          <w:szCs w:val="17"/>
          <w:color w:val="auto"/>
        </w:rPr>
      </w:pPr>
    </w:p>
    <w:p>
      <w:pPr>
        <w:ind w:right="60"/>
        <w:spacing w:after="0" w:line="261" w:lineRule="auto"/>
        <w:rPr>
          <w:rFonts w:ascii="Arial" w:cs="Arial" w:eastAsia="Arial" w:hAnsi="Arial"/>
          <w:sz w:val="17"/>
          <w:szCs w:val="17"/>
          <w:color w:val="auto"/>
        </w:rPr>
      </w:pPr>
      <w:r>
        <w:rPr>
          <w:rFonts w:ascii="Arial" w:cs="Arial" w:eastAsia="Arial" w:hAnsi="Arial"/>
          <w:sz w:val="18"/>
          <w:szCs w:val="18"/>
          <w:color w:val="auto"/>
        </w:rPr>
        <w:t>designated in the Notice, and to the extent it is not so designated or to the extent the Option does not qualify as an Incentive Stock Option, it is intended to be a Nonstatutory Stock Option.</w:t>
      </w:r>
    </w:p>
    <w:p>
      <w:pPr>
        <w:spacing w:after="0" w:line="18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50" w:lineRule="exact"/>
        <w:rPr>
          <w:sz w:val="20"/>
          <w:szCs w:val="20"/>
          <w:color w:val="auto"/>
        </w:rPr>
      </w:pPr>
    </w:p>
    <w:p>
      <w:pPr>
        <w:ind w:right="20" w:firstLine="464"/>
        <w:spacing w:after="0" w:line="282" w:lineRule="auto"/>
        <w:tabs>
          <w:tab w:leader="none" w:pos="636" w:val="left"/>
        </w:tabs>
        <w:numPr>
          <w:ilvl w:val="0"/>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exercisable during its term in accordance with the Vesting/Exercise Schedule set out in the Notice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Section 10 of the Plan as follows:</w:t>
      </w:r>
    </w:p>
    <w:p>
      <w:pPr>
        <w:spacing w:after="0" w:line="161" w:lineRule="exact"/>
        <w:rPr>
          <w:rFonts w:ascii="Arial" w:cs="Arial" w:eastAsia="Arial" w:hAnsi="Arial"/>
          <w:sz w:val="18"/>
          <w:szCs w:val="18"/>
          <w:color w:val="auto"/>
        </w:rPr>
      </w:pPr>
    </w:p>
    <w:p>
      <w:pPr>
        <w:ind w:left="1160" w:hanging="239"/>
        <w:spacing w:after="0"/>
        <w:tabs>
          <w:tab w:leader="none" w:pos="1160" w:val="left"/>
        </w:tabs>
        <w:numPr>
          <w:ilvl w:val="1"/>
          <w:numId w:val="249"/>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700" w:hanging="208"/>
        <w:spacing w:after="0"/>
        <w:tabs>
          <w:tab w:leader="none" w:pos="170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225" w:lineRule="exact"/>
        <w:rPr>
          <w:rFonts w:ascii="Arial" w:cs="Arial" w:eastAsia="Arial" w:hAnsi="Arial"/>
          <w:sz w:val="18"/>
          <w:szCs w:val="18"/>
          <w:color w:val="auto"/>
        </w:rPr>
      </w:pPr>
    </w:p>
    <w:p>
      <w:pPr>
        <w:ind w:right="520" w:firstLine="1492"/>
        <w:spacing w:after="0" w:line="277" w:lineRule="auto"/>
        <w:tabs>
          <w:tab w:leader="none" w:pos="1748"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employment, the exercisability of the Option is governed by Section 5 below, subject to the limitations contained in this Section 3.</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of the Option as set forth in the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415" w:name="page416"/>
    <w:bookmarkEnd w:id="415"/>
    <w:p>
      <w:pPr>
        <w:ind w:left="1160" w:hanging="259"/>
        <w:spacing w:after="0"/>
        <w:tabs>
          <w:tab w:leader="none" w:pos="1160" w:val="left"/>
        </w:tabs>
        <w:numPr>
          <w:ilvl w:val="1"/>
          <w:numId w:val="25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0" w:right="40" w:firstLine="1492"/>
        <w:spacing w:after="0" w:line="254" w:lineRule="auto"/>
        <w:tabs>
          <w:tab w:leader="none" w:pos="1678" w:val="left"/>
        </w:tabs>
        <w:numPr>
          <w:ilvl w:val="2"/>
          <w:numId w:val="250"/>
        </w:numPr>
        <w:rPr>
          <w:rFonts w:ascii="Arial" w:cs="Arial" w:eastAsia="Arial" w:hAnsi="Arial"/>
          <w:sz w:val="18"/>
          <w:szCs w:val="18"/>
          <w:color w:val="auto"/>
        </w:rPr>
      </w:pPr>
      <w:r>
        <w:rPr>
          <w:rFonts w:ascii="Arial" w:cs="Arial" w:eastAsia="Arial" w:hAnsi="Arial"/>
          <w:sz w:val="18"/>
          <w:szCs w:val="18"/>
          <w:color w:val="auto"/>
        </w:rPr>
        <w:t xml:space="preserve">This Option shall be exercisable in whole or in part by execution and delivery of the Early Exercise Notice and Restricted Stock Purchase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Exercise Notice and Restricted Stock Purchase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or any other form of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192" w:lineRule="exact"/>
        <w:rPr>
          <w:rFonts w:ascii="Arial" w:cs="Arial" w:eastAsia="Arial" w:hAnsi="Arial"/>
          <w:sz w:val="18"/>
          <w:szCs w:val="18"/>
          <w:color w:val="auto"/>
        </w:rPr>
      </w:pPr>
    </w:p>
    <w:p>
      <w:pPr>
        <w:ind w:left="-20" w:right="140" w:firstLine="1492"/>
        <w:spacing w:after="0" w:line="264" w:lineRule="auto"/>
        <w:tabs>
          <w:tab w:leader="none" w:pos="1728" w:val="left"/>
        </w:tabs>
        <w:numPr>
          <w:ilvl w:val="2"/>
          <w:numId w:val="250"/>
        </w:numPr>
        <w:rPr>
          <w:rFonts w:ascii="Arial" w:cs="Arial" w:eastAsia="Arial" w:hAnsi="Arial"/>
          <w:sz w:val="18"/>
          <w:szCs w:val="18"/>
          <w:color w:val="auto"/>
        </w:rPr>
      </w:pPr>
      <w:r>
        <w:rPr>
          <w:rFonts w:ascii="Arial" w:cs="Arial" w:eastAsia="Arial" w:hAnsi="Arial"/>
          <w:sz w:val="18"/>
          <w:szCs w:val="18"/>
          <w:color w:val="auto"/>
        </w:rPr>
        <w:t>As a condition to the exercise of this Option and to the issuance of the Shares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181" w:lineRule="exact"/>
        <w:rPr>
          <w:rFonts w:ascii="Arial" w:cs="Arial" w:eastAsia="Arial" w:hAnsi="Arial"/>
          <w:sz w:val="18"/>
          <w:szCs w:val="18"/>
          <w:color w:val="auto"/>
        </w:rPr>
      </w:pPr>
    </w:p>
    <w:p>
      <w:pPr>
        <w:ind w:left="-20" w:firstLine="1492"/>
        <w:spacing w:after="0" w:line="271" w:lineRule="auto"/>
        <w:tabs>
          <w:tab w:leader="none" w:pos="1778" w:val="left"/>
        </w:tabs>
        <w:numPr>
          <w:ilvl w:val="2"/>
          <w:numId w:val="250"/>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174" w:lineRule="exact"/>
        <w:rPr>
          <w:rFonts w:ascii="Arial" w:cs="Arial" w:eastAsia="Arial" w:hAnsi="Arial"/>
          <w:sz w:val="17"/>
          <w:szCs w:val="17"/>
          <w:color w:val="auto"/>
        </w:rPr>
      </w:pPr>
    </w:p>
    <w:p>
      <w:pPr>
        <w:ind w:left="620" w:hanging="176"/>
        <w:spacing w:after="0"/>
        <w:tabs>
          <w:tab w:leader="none" w:pos="620" w:val="left"/>
        </w:tabs>
        <w:numPr>
          <w:ilvl w:val="0"/>
          <w:numId w:val="251"/>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252" w:lineRule="exact"/>
        <w:rPr>
          <w:rFonts w:ascii="Arial" w:cs="Arial" w:eastAsia="Arial" w:hAnsi="Arial"/>
          <w:sz w:val="16"/>
          <w:szCs w:val="16"/>
          <w:color w:val="auto"/>
        </w:rPr>
      </w:pPr>
    </w:p>
    <w:p>
      <w:pPr>
        <w:ind w:left="1140" w:hanging="239"/>
        <w:spacing w:after="0"/>
        <w:tabs>
          <w:tab w:leader="none" w:pos="11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cancellation of indebtedness;</w:t>
      </w:r>
    </w:p>
    <w:p>
      <w:pPr>
        <w:spacing w:after="0" w:line="225" w:lineRule="exact"/>
        <w:rPr>
          <w:rFonts w:ascii="Arial" w:cs="Arial" w:eastAsia="Arial" w:hAnsi="Arial"/>
          <w:sz w:val="18"/>
          <w:szCs w:val="18"/>
          <w:color w:val="auto"/>
        </w:rPr>
      </w:pPr>
    </w:p>
    <w:p>
      <w:pPr>
        <w:ind w:left="-20" w:right="380" w:firstLine="921"/>
        <w:spacing w:after="0" w:line="259" w:lineRule="auto"/>
        <w:tabs>
          <w:tab w:leader="none" w:pos="113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0" w:right="259" w:bottom="1440" w:gutter="0" w:footer="0" w:header="0"/>
        </w:sectPr>
      </w:pPr>
    </w:p>
    <w:bookmarkStart w:id="416" w:name="page417"/>
    <w:bookmarkEnd w:id="4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surrender (or such other period of time as is necessary to avoid the Company’s incurring adverse accounting charges); or</w:t>
      </w:r>
    </w:p>
    <w:p>
      <w:pPr>
        <w:spacing w:after="0" w:line="225" w:lineRule="exact"/>
        <w:rPr>
          <w:sz w:val="20"/>
          <w:szCs w:val="20"/>
          <w:color w:val="auto"/>
        </w:rPr>
      </w:pPr>
    </w:p>
    <w:p>
      <w:pPr>
        <w:ind w:right="40" w:firstLine="921"/>
        <w:spacing w:after="0" w:line="312" w:lineRule="auto"/>
        <w:tabs>
          <w:tab w:leader="none" w:pos="116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42" w:lineRule="exact"/>
        <w:rPr>
          <w:rFonts w:ascii="Arial" w:cs="Arial" w:eastAsia="Arial" w:hAnsi="Arial"/>
          <w:sz w:val="16"/>
          <w:szCs w:val="16"/>
          <w:color w:val="auto"/>
        </w:rPr>
      </w:pPr>
    </w:p>
    <w:p>
      <w:pPr>
        <w:ind w:firstLine="464"/>
        <w:spacing w:after="0" w:line="303" w:lineRule="auto"/>
        <w:tabs>
          <w:tab w:leader="none" w:pos="636" w:val="left"/>
        </w:tabs>
        <w:numPr>
          <w:ilvl w:val="0"/>
          <w:numId w:val="25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exercise the Option only as set 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151" w:lineRule="exact"/>
        <w:rPr>
          <w:rFonts w:ascii="Arial" w:cs="Arial" w:eastAsia="Arial" w:hAnsi="Arial"/>
          <w:sz w:val="16"/>
          <w:szCs w:val="16"/>
          <w:color w:val="auto"/>
        </w:rPr>
      </w:pPr>
    </w:p>
    <w:p>
      <w:pPr>
        <w:ind w:right="120" w:firstLine="921"/>
        <w:spacing w:after="0" w:line="266" w:lineRule="auto"/>
        <w:tabs>
          <w:tab w:leader="none" w:pos="1157" w:val="left"/>
        </w:tabs>
        <w:numPr>
          <w:ilvl w:val="1"/>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other than as a result of Optionee’s disability or death,</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to the extent Optionee is vested in the Option Shares at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exercise this Option during the Termination Period set forth in the Notice.</w:t>
      </w:r>
    </w:p>
    <w:p>
      <w:pPr>
        <w:spacing w:after="0" w:line="176" w:lineRule="exact"/>
        <w:rPr>
          <w:rFonts w:ascii="Arial" w:cs="Arial" w:eastAsia="Arial" w:hAnsi="Arial"/>
          <w:sz w:val="18"/>
          <w:szCs w:val="18"/>
          <w:color w:val="auto"/>
        </w:rPr>
      </w:pPr>
    </w:p>
    <w:p>
      <w:pPr>
        <w:ind w:firstLine="921"/>
        <w:spacing w:after="0" w:line="282" w:lineRule="auto"/>
        <w:tabs>
          <w:tab w:leader="none" w:pos="1168" w:val="left"/>
        </w:tabs>
        <w:numPr>
          <w:ilvl w:val="1"/>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termination other than a termination covered by Section 5(a), Optionee may exercise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only as described below:</w:t>
      </w:r>
    </w:p>
    <w:p>
      <w:pPr>
        <w:spacing w:after="0" w:line="161" w:lineRule="exact"/>
        <w:rPr>
          <w:rFonts w:ascii="Arial" w:cs="Arial" w:eastAsia="Arial" w:hAnsi="Arial"/>
          <w:sz w:val="18"/>
          <w:szCs w:val="18"/>
          <w:color w:val="auto"/>
        </w:rPr>
      </w:pPr>
    </w:p>
    <w:p>
      <w:pPr>
        <w:ind w:right="120" w:firstLine="1492"/>
        <w:spacing w:after="0" w:line="266" w:lineRule="auto"/>
        <w:tabs>
          <w:tab w:leader="none" w:pos="1698" w:val="left"/>
        </w:tabs>
        <w:numPr>
          <w:ilvl w:val="2"/>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upon Disability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disability, Optionee may, but only within six (6) months from the Termination Date, exercise this Option to the extent Optionee was vested in the Option Shares as of such Termination Date.</w:t>
      </w:r>
    </w:p>
    <w:p>
      <w:pPr>
        <w:spacing w:after="0" w:line="176" w:lineRule="exact"/>
        <w:rPr>
          <w:rFonts w:ascii="Arial" w:cs="Arial" w:eastAsia="Arial" w:hAnsi="Arial"/>
          <w:sz w:val="18"/>
          <w:szCs w:val="18"/>
          <w:color w:val="auto"/>
        </w:rPr>
      </w:pPr>
    </w:p>
    <w:p>
      <w:pPr>
        <w:jc w:val="both"/>
        <w:ind w:right="60" w:firstLine="1492"/>
        <w:spacing w:after="0" w:line="303" w:lineRule="auto"/>
        <w:tabs>
          <w:tab w:leader="none" w:pos="1748" w:val="left"/>
        </w:tabs>
        <w:numPr>
          <w:ilvl w:val="2"/>
          <w:numId w:val="253"/>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of Optionee (a) during the term of this Option and while an Employee or Consultant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having been in Continuous Service Status since the date of grant of the Option, or (b) within thirty (30) days after Optionee’s Termination Date, the Option may be exercised at any time within six (6) months following the date of death by Optionee’s estate or by a person who acquired the right to exercise the Option by bequest or inheritance, but only to the extent Optionee was vested in the Option as of the Termination Date.</w:t>
      </w:r>
    </w:p>
    <w:p>
      <w:pPr>
        <w:spacing w:after="0" w:line="151" w:lineRule="exact"/>
        <w:rPr>
          <w:rFonts w:ascii="Arial" w:cs="Arial" w:eastAsia="Arial" w:hAnsi="Arial"/>
          <w:sz w:val="16"/>
          <w:szCs w:val="16"/>
          <w:color w:val="auto"/>
        </w:rPr>
      </w:pPr>
    </w:p>
    <w:p>
      <w:pPr>
        <w:ind w:firstLine="464"/>
        <w:spacing w:after="0" w:line="266" w:lineRule="auto"/>
        <w:tabs>
          <w:tab w:leader="none" w:pos="636"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the Notice, this Option may not be transferred in any manner otherwise than by will</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laws of descent or distribution and may be exercised during the lifetime of Optionee only by him or her. The terms of this Option shall be binding upon the executors, administrators, heirs, successors and assigns of Optionee.</w:t>
      </w:r>
    </w:p>
    <w:p>
      <w:pPr>
        <w:spacing w:after="0" w:line="176" w:lineRule="exact"/>
        <w:rPr>
          <w:rFonts w:ascii="Arial" w:cs="Arial" w:eastAsia="Arial" w:hAnsi="Arial"/>
          <w:sz w:val="18"/>
          <w:szCs w:val="18"/>
          <w:color w:val="auto"/>
        </w:rPr>
      </w:pPr>
    </w:p>
    <w:p>
      <w:pPr>
        <w:ind w:right="140" w:firstLine="464"/>
        <w:spacing w:after="0" w:line="266" w:lineRule="auto"/>
        <w:tabs>
          <w:tab w:leader="none" w:pos="636" w:val="left"/>
        </w:tabs>
        <w:numPr>
          <w:ilvl w:val="0"/>
          <w:numId w:val="253"/>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Below is a brief summary as of the date of this Option of certain of the federal tax consequences of exercise of this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the Shares under the laws in effect as of the Date of Grant. THIS SUMMARY IS INCOMPLETE, AND THE TAX LAWS AND REGULATIONS ARE SUBJECT TO CHANGE. OPTIONEE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17" w:name="page418"/>
    <w:bookmarkEnd w:id="4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CONSULT A TAX ADVISER BEFORE EXERCISING THIS OPTION OR DISPOSING OF THE SHARES.</w:t>
      </w:r>
    </w:p>
    <w:p>
      <w:pPr>
        <w:spacing w:after="0" w:line="221" w:lineRule="exact"/>
        <w:rPr>
          <w:sz w:val="20"/>
          <w:szCs w:val="20"/>
          <w:color w:val="auto"/>
        </w:rPr>
      </w:pPr>
    </w:p>
    <w:p>
      <w:pPr>
        <w:ind w:left="1160" w:hanging="239"/>
        <w:spacing w:after="0"/>
        <w:tabs>
          <w:tab w:leader="none" w:pos="1160" w:val="left"/>
        </w:tabs>
        <w:numPr>
          <w:ilvl w:val="1"/>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60" w:firstLine="1492"/>
        <w:spacing w:after="0" w:line="291" w:lineRule="auto"/>
        <w:tabs>
          <w:tab w:leader="none" w:pos="1698" w:val="left"/>
        </w:tabs>
        <w:numPr>
          <w:ilvl w:val="2"/>
          <w:numId w:val="254"/>
        </w:numPr>
        <w:rPr>
          <w:rFonts w:ascii="Arial" w:cs="Arial" w:eastAsia="Arial" w:hAnsi="Arial"/>
          <w:sz w:val="16"/>
          <w:szCs w:val="16"/>
          <w:color w:val="auto"/>
        </w:rPr>
      </w:pPr>
      <w:r>
        <w:rPr>
          <w:rFonts w:ascii="Arial" w:cs="Arial" w:eastAsia="Arial" w:hAnsi="Arial"/>
          <w:sz w:val="16"/>
          <w:szCs w:val="16"/>
          <w:b w:val="1"/>
          <w:bCs w:val="1"/>
          <w:u w:val="single" w:color="auto"/>
          <w:color w:val="auto"/>
        </w:rPr>
        <w:t>Tax Treatment upon Exercise and Sale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Option qualifies as an Incentive Stock Option, there will be no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 liability upon the exercise 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(1) year after exercise and are disposed of at least two (2) years after the Option grant date, any gain realized on disposition of the Shares will also be treated as long-term capital gain for federal income tax purposes. If Shares issued upon exercise of an Incentive Stock Option are disposed of within such one (1)-year period or within two (2)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160" w:lineRule="exact"/>
        <w:rPr>
          <w:rFonts w:ascii="Arial" w:cs="Arial" w:eastAsia="Arial" w:hAnsi="Arial"/>
          <w:sz w:val="16"/>
          <w:szCs w:val="16"/>
          <w:color w:val="auto"/>
        </w:rPr>
      </w:pPr>
    </w:p>
    <w:p>
      <w:pPr>
        <w:ind w:firstLine="1492"/>
        <w:spacing w:after="0" w:line="258" w:lineRule="auto"/>
        <w:tabs>
          <w:tab w:leader="none" w:pos="1748" w:val="left"/>
        </w:tabs>
        <w:numPr>
          <w:ilvl w:val="2"/>
          <w:numId w:val="25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Disqualifying Dispositions</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Shares issued upon exercise of an Incentive Stock Option, if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sells or otherwise disposes of such Shares on or before the later of (i) the date two (2) years after the Option grant date, or (ii) the date one (1)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183" w:lineRule="exact"/>
        <w:rPr>
          <w:rFonts w:ascii="Arial" w:cs="Arial" w:eastAsia="Arial" w:hAnsi="Arial"/>
          <w:sz w:val="18"/>
          <w:szCs w:val="18"/>
          <w:color w:val="auto"/>
        </w:rPr>
      </w:pPr>
    </w:p>
    <w:p>
      <w:pPr>
        <w:ind w:right="60" w:firstLine="921"/>
        <w:spacing w:after="0" w:line="274" w:lineRule="auto"/>
        <w:tabs>
          <w:tab w:leader="none" w:pos="1168" w:val="left"/>
        </w:tabs>
        <w:numPr>
          <w:ilvl w:val="1"/>
          <w:numId w:val="254"/>
        </w:numPr>
        <w:rPr>
          <w:rFonts w:ascii="Arial" w:cs="Arial" w:eastAsia="Arial" w:hAnsi="Arial"/>
          <w:sz w:val="17"/>
          <w:szCs w:val="17"/>
          <w:color w:val="auto"/>
        </w:rPr>
      </w:pPr>
      <w:r>
        <w:rPr>
          <w:rFonts w:ascii="Arial" w:cs="Arial" w:eastAsia="Arial" w:hAnsi="Arial"/>
          <w:sz w:val="17"/>
          <w:szCs w:val="17"/>
          <w:b w:val="1"/>
          <w:bCs w:val="1"/>
          <w:u w:val="single" w:color="auto"/>
          <w:color w:val="auto"/>
        </w:rPr>
        <w:t>Nonstatutory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Option does not qualify as an Incentive Stock Option, there may be a regular federal (and state)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liability upon the exercise of the 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(1) year, any gain realized on disposition of the Shares will be treated as long-term capital gain for federal income tax purposes.</w:t>
      </w:r>
    </w:p>
    <w:p>
      <w:pPr>
        <w:spacing w:after="0" w:line="173" w:lineRule="exact"/>
        <w:rPr>
          <w:rFonts w:ascii="Arial" w:cs="Arial" w:eastAsia="Arial" w:hAnsi="Arial"/>
          <w:sz w:val="17"/>
          <w:szCs w:val="17"/>
          <w:color w:val="auto"/>
        </w:rPr>
      </w:pPr>
    </w:p>
    <w:p>
      <w:pPr>
        <w:ind w:right="180" w:firstLine="464"/>
        <w:spacing w:after="0" w:line="298" w:lineRule="auto"/>
        <w:tabs>
          <w:tab w:leader="none" w:pos="636" w:val="left"/>
        </w:tabs>
        <w:numPr>
          <w:ilvl w:val="0"/>
          <w:numId w:val="255"/>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3" w:right="27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agreement reflecting the foregoing as may be requested by the underwriters at the time of the public offering.</w:t>
      </w:r>
    </w:p>
    <w:p>
      <w:pPr>
        <w:spacing w:after="0" w:line="221" w:lineRule="exact"/>
        <w:rPr>
          <w:sz w:val="20"/>
          <w:szCs w:val="20"/>
          <w:color w:val="auto"/>
        </w:rPr>
      </w:pPr>
    </w:p>
    <w:p>
      <w:pPr>
        <w:ind w:firstLine="464"/>
        <w:spacing w:after="0" w:line="255" w:lineRule="auto"/>
        <w:tabs>
          <w:tab w:leader="none" w:pos="636" w:val="left"/>
        </w:tabs>
        <w:numPr>
          <w:ilvl w:val="0"/>
          <w:numId w:val="256"/>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Agreement</w:t>
      </w:r>
      <w:r>
        <w:rPr>
          <w:rFonts w:ascii="Arial" w:cs="Arial" w:eastAsia="Arial" w:hAnsi="Arial"/>
          <w:sz w:val="18"/>
          <w:szCs w:val="18"/>
          <w:color w:val="auto"/>
        </w:rPr>
        <w:t>. Optionee acknowledges receipt of a copy of the Plan and represents that he or she is familiar with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4" w:right="399" w:bottom="1440" w:gutter="0" w:footer="0" w:header="0"/>
        </w:sectPr>
      </w:pPr>
    </w:p>
    <w:bookmarkStart w:id="419" w:name="page420"/>
    <w:bookmarkEnd w:id="419"/>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may be executed in two (2) or more counterparts, each of which shall be deemed an original and all of which together shall constitute one document.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50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By:</w:t>
            </w:r>
          </w:p>
        </w:tc>
      </w:tr>
      <w:tr>
        <w:trPr>
          <w:trHeight w:val="209"/>
        </w:trPr>
        <w:tc>
          <w:tcPr>
            <w:tcW w:w="20" w:type="dxa"/>
            <w:vAlign w:val="bottom"/>
          </w:tcPr>
          <w:p>
            <w:pPr>
              <w:spacing w:after="0"/>
              <w:rPr>
                <w:sz w:val="18"/>
                <w:szCs w:val="18"/>
                <w:color w:val="auto"/>
              </w:rPr>
            </w:pPr>
          </w:p>
        </w:tc>
        <w:tc>
          <w:tcPr>
            <w:tcW w:w="5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500" w:type="dxa"/>
            <w:vAlign w:val="bottom"/>
          </w:tcPr>
          <w:p>
            <w:pPr>
              <w:ind w:left="720"/>
              <w:spacing w:after="0"/>
              <w:rPr>
                <w:sz w:val="20"/>
                <w:szCs w:val="20"/>
                <w:color w:val="auto"/>
              </w:rPr>
            </w:pPr>
            <w:r>
              <w:rPr>
                <w:rFonts w:ascii="Arial" w:cs="Arial" w:eastAsia="Arial" w:hAnsi="Arial"/>
                <w:sz w:val="18"/>
                <w:szCs w:val="18"/>
                <w:color w:val="auto"/>
              </w:rPr>
              <w:t>«Name»</w:t>
            </w:r>
          </w:p>
        </w:tc>
        <w:tc>
          <w:tcPr>
            <w:tcW w:w="490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6400" w:type="dxa"/>
            <w:vAlign w:val="bottom"/>
            <w:gridSpan w:val="2"/>
          </w:tcPr>
          <w:p>
            <w:pPr>
              <w:ind w:left="720"/>
              <w:spacing w:after="0"/>
              <w:rPr>
                <w:sz w:val="20"/>
                <w:szCs w:val="20"/>
                <w:color w:val="auto"/>
              </w:rPr>
            </w:pPr>
            <w:r>
              <w:rPr>
                <w:rFonts w:ascii="Arial" w:cs="Arial" w:eastAsia="Arial" w:hAnsi="Arial"/>
                <w:sz w:val="18"/>
                <w:szCs w:val="18"/>
                <w:color w:val="auto"/>
              </w:rPr>
              <w:t>«Title»</w:t>
            </w: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Address for Notice:</w:t>
            </w:r>
          </w:p>
        </w:tc>
        <w:tc>
          <w:tcPr>
            <w:tcW w:w="15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418"/>
        </w:trPr>
        <w:tc>
          <w:tcPr>
            <w:tcW w:w="5020" w:type="dxa"/>
            <w:vAlign w:val="bottom"/>
            <w:gridSpan w:val="2"/>
          </w:tcPr>
          <w:p>
            <w:pPr>
              <w:spacing w:after="0"/>
              <w:rPr>
                <w:sz w:val="20"/>
                <w:szCs w:val="20"/>
                <w:color w:val="auto"/>
              </w:rPr>
            </w:pPr>
            <w:r>
              <w:rPr>
                <w:rFonts w:ascii="Arial" w:cs="Arial" w:eastAsia="Arial" w:hAnsi="Arial"/>
                <w:sz w:val="18"/>
                <w:szCs w:val="18"/>
                <w:color w:val="auto"/>
              </w:rPr>
              <w:t>«Address_1»</w:t>
            </w:r>
          </w:p>
        </w:tc>
        <w:tc>
          <w:tcPr>
            <w:tcW w:w="15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1500" w:type="dxa"/>
            <w:vAlign w:val="bottom"/>
          </w:tcPr>
          <w:p>
            <w:pPr>
              <w:spacing w:after="0"/>
              <w:rPr>
                <w:sz w:val="20"/>
                <w:szCs w:val="20"/>
                <w:color w:val="auto"/>
              </w:rPr>
            </w:pPr>
          </w:p>
        </w:tc>
        <w:tc>
          <w:tcPr>
            <w:tcW w:w="49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500" w:type="dxa"/>
            <w:vAlign w:val="bottom"/>
          </w:tcPr>
          <w:p>
            <w:pPr>
              <w:ind w:left="580"/>
              <w:spacing w:after="0"/>
              <w:rPr>
                <w:sz w:val="20"/>
                <w:szCs w:val="20"/>
                <w:color w:val="auto"/>
              </w:rPr>
            </w:pPr>
            <w:r>
              <w:rPr>
                <w:rFonts w:ascii="Arial" w:cs="Arial" w:eastAsia="Arial" w:hAnsi="Arial"/>
                <w:sz w:val="18"/>
                <w:szCs w:val="18"/>
                <w:color w:val="auto"/>
              </w:rPr>
              <w:t>-6-</w:t>
            </w:r>
          </w:p>
        </w:tc>
        <w:tc>
          <w:tcPr>
            <w:tcW w:w="49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20" w:name="page421"/>
    <w:bookmarkEnd w:id="420"/>
    <w:p>
      <w:pPr>
        <w:jc w:val="center"/>
        <w:ind w:right="-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EARLY EXERCISE NOTICE AND RESTRICTED STOCK PURCHASE AGREEMENT</w:t>
      </w:r>
    </w:p>
    <w:p>
      <w:pPr>
        <w:spacing w:after="0" w:line="229"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by and between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terms and conditions hereof, Purchaser hereby elects to exercise his or her option to purchase shares of the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Plan and the Stock Option Agreement granted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Of</w:t>
      </w:r>
    </w:p>
    <w:tbl>
      <w:tblPr>
        <w:tblLayout w:type="fixed"/>
        <w:tblInd w:w="0" w:type="dxa"/>
        <w:tblCellMar>
          <w:top w:w="0" w:type="dxa"/>
          <w:left w:w="0" w:type="dxa"/>
          <w:bottom w:w="0" w:type="dxa"/>
          <w:right w:w="0" w:type="dxa"/>
        </w:tblCellMar>
      </w:tblPr>
      <w:tr>
        <w:trPr>
          <w:trHeight w:val="203"/>
        </w:trPr>
        <w:tc>
          <w:tcPr>
            <w:tcW w:w="3820" w:type="dxa"/>
            <w:vAlign w:val="bottom"/>
            <w:gridSpan w:val="3"/>
          </w:tcPr>
          <w:p>
            <w:pPr>
              <w:spacing w:after="0" w:line="203" w:lineRule="exact"/>
              <w:rPr>
                <w:sz w:val="20"/>
                <w:szCs w:val="20"/>
                <w:color w:val="auto"/>
              </w:rPr>
            </w:pPr>
            <w:r>
              <w:rPr>
                <w:rFonts w:ascii="Arial" w:cs="Arial" w:eastAsia="Arial" w:hAnsi="Arial"/>
                <w:sz w:val="18"/>
                <w:szCs w:val="18"/>
                <w:color w:val="auto"/>
                <w:w w:val="96"/>
              </w:rPr>
              <w:t>these Shares, Purchaser has elected to purchase</w:t>
            </w:r>
          </w:p>
        </w:tc>
        <w:tc>
          <w:tcPr>
            <w:tcW w:w="7560" w:type="dxa"/>
            <w:vAlign w:val="bottom"/>
            <w:gridSpan w:val="7"/>
          </w:tcPr>
          <w:p>
            <w:pPr>
              <w:ind w:left="400"/>
              <w:spacing w:after="0" w:line="203" w:lineRule="exact"/>
              <w:rPr>
                <w:sz w:val="20"/>
                <w:szCs w:val="20"/>
                <w:color w:val="auto"/>
              </w:rPr>
            </w:pPr>
            <w:r>
              <w:rPr>
                <w:rFonts w:ascii="Arial" w:cs="Arial" w:eastAsia="Arial" w:hAnsi="Arial"/>
                <w:sz w:val="18"/>
                <w:szCs w:val="18"/>
                <w:color w:val="auto"/>
                <w:w w:val="96"/>
              </w:rPr>
              <w:t>of those Shares which have become vested as of the date hereof under the Vesting/Exercise</w:t>
            </w:r>
          </w:p>
        </w:tc>
      </w:tr>
      <w:tr>
        <w:trPr>
          <w:trHeight w:val="190"/>
        </w:trPr>
        <w:tc>
          <w:tcPr>
            <w:tcW w:w="5960" w:type="dxa"/>
            <w:vAlign w:val="bottom"/>
            <w:gridSpan w:val="6"/>
          </w:tcPr>
          <w:p>
            <w:pPr>
              <w:spacing w:after="0" w:line="190" w:lineRule="exact"/>
              <w:rPr>
                <w:sz w:val="20"/>
                <w:szCs w:val="20"/>
                <w:color w:val="auto"/>
              </w:rPr>
            </w:pPr>
            <w:r>
              <w:rPr>
                <w:rFonts w:ascii="Arial" w:cs="Arial" w:eastAsia="Arial" w:hAnsi="Arial"/>
                <w:sz w:val="18"/>
                <w:szCs w:val="18"/>
                <w:color w:val="auto"/>
                <w:w w:val="92"/>
              </w:rPr>
              <w:t>Schedule set forth in the Notice of Stock Option Grant (the “Vested Shares”) and</w:t>
            </w:r>
          </w:p>
        </w:tc>
        <w:tc>
          <w:tcPr>
            <w:tcW w:w="5420" w:type="dxa"/>
            <w:vAlign w:val="bottom"/>
            <w:gridSpan w:val="4"/>
          </w:tcPr>
          <w:p>
            <w:pPr>
              <w:ind w:left="680"/>
              <w:spacing w:after="0" w:line="190" w:lineRule="exact"/>
              <w:rPr>
                <w:sz w:val="20"/>
                <w:szCs w:val="20"/>
                <w:color w:val="auto"/>
              </w:rPr>
            </w:pPr>
            <w:r>
              <w:rPr>
                <w:rFonts w:ascii="Arial" w:cs="Arial" w:eastAsia="Arial" w:hAnsi="Arial"/>
                <w:sz w:val="18"/>
                <w:szCs w:val="18"/>
                <w:color w:val="auto"/>
                <w:w w:val="93"/>
              </w:rPr>
              <w:t>Shares which have not yet vested under such Vesting/Exercise</w:t>
            </w:r>
          </w:p>
        </w:tc>
      </w:tr>
      <w:tr>
        <w:trPr>
          <w:trHeight w:val="20"/>
        </w:trPr>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196"/>
        </w:trPr>
        <w:tc>
          <w:tcPr>
            <w:tcW w:w="5960" w:type="dxa"/>
            <w:vAlign w:val="bottom"/>
            <w:gridSpan w:val="6"/>
          </w:tcPr>
          <w:p>
            <w:pPr>
              <w:spacing w:after="0" w:line="196" w:lineRule="exact"/>
              <w:rPr>
                <w:sz w:val="20"/>
                <w:szCs w:val="20"/>
                <w:color w:val="auto"/>
              </w:rPr>
            </w:pPr>
            <w:r>
              <w:rPr>
                <w:rFonts w:ascii="Arial" w:cs="Arial" w:eastAsia="Arial" w:hAnsi="Arial"/>
                <w:sz w:val="18"/>
                <w:szCs w:val="18"/>
                <w:color w:val="auto"/>
                <w:w w:val="93"/>
              </w:rPr>
              <w:t>Schedule (the “Unvested Shares”). The purchase price for the Shares shall be $</w:t>
            </w:r>
          </w:p>
        </w:tc>
        <w:tc>
          <w:tcPr>
            <w:tcW w:w="3180" w:type="dxa"/>
            <w:vAlign w:val="bottom"/>
          </w:tcPr>
          <w:p>
            <w:pPr>
              <w:ind w:left="140"/>
              <w:spacing w:after="0" w:line="196" w:lineRule="exact"/>
              <w:rPr>
                <w:sz w:val="20"/>
                <w:szCs w:val="20"/>
                <w:color w:val="auto"/>
              </w:rPr>
            </w:pPr>
            <w:r>
              <w:rPr>
                <w:rFonts w:ascii="Arial" w:cs="Arial" w:eastAsia="Arial" w:hAnsi="Arial"/>
                <w:sz w:val="18"/>
                <w:szCs w:val="18"/>
                <w:color w:val="auto"/>
                <w:w w:val="95"/>
              </w:rPr>
              <w:t>per Share for a total purchase price of $</w:t>
            </w:r>
          </w:p>
        </w:tc>
        <w:tc>
          <w:tcPr>
            <w:tcW w:w="2240" w:type="dxa"/>
            <w:vAlign w:val="bottom"/>
            <w:gridSpan w:val="3"/>
          </w:tcPr>
          <w:p>
            <w:pPr>
              <w:ind w:left="180"/>
              <w:spacing w:after="0" w:line="196" w:lineRule="exact"/>
              <w:rPr>
                <w:sz w:val="20"/>
                <w:szCs w:val="20"/>
                <w:color w:val="auto"/>
              </w:rPr>
            </w:pPr>
            <w:r>
              <w:rPr>
                <w:rFonts w:ascii="Arial" w:cs="Arial" w:eastAsia="Arial" w:hAnsi="Arial"/>
                <w:sz w:val="18"/>
                <w:szCs w:val="18"/>
                <w:color w:val="auto"/>
                <w:w w:val="89"/>
              </w:rPr>
              <w:t>. The term “Shares” refers to</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3"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77" w:lineRule="exact"/>
        <w:rPr>
          <w:sz w:val="20"/>
          <w:szCs w:val="20"/>
          <w:color w:val="auto"/>
        </w:rPr>
      </w:pPr>
    </w:p>
    <w:p>
      <w:pPr>
        <w:ind w:left="640" w:hanging="176"/>
        <w:spacing w:after="0"/>
        <w:tabs>
          <w:tab w:leader="none" w:pos="640" w:val="left"/>
        </w:tabs>
        <w:numPr>
          <w:ilvl w:val="0"/>
          <w:numId w:val="257"/>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and sale of the Shares under this Agreement shall occur at the principal office of the Company</w:t>
      </w:r>
    </w:p>
    <w:p>
      <w:pPr>
        <w:spacing w:after="0" w:line="38" w:lineRule="exact"/>
        <w:rPr>
          <w:rFonts w:ascii="Arial" w:cs="Arial" w:eastAsia="Arial" w:hAnsi="Arial"/>
          <w:sz w:val="17"/>
          <w:szCs w:val="17"/>
          <w:color w:val="auto"/>
        </w:rPr>
      </w:pPr>
    </w:p>
    <w:p>
      <w:pPr>
        <w:ind w:right="100"/>
        <w:spacing w:after="0" w:line="253" w:lineRule="auto"/>
        <w:rPr>
          <w:rFonts w:ascii="Arial" w:cs="Arial" w:eastAsia="Arial" w:hAnsi="Arial"/>
          <w:sz w:val="17"/>
          <w:szCs w:val="17"/>
          <w:color w:val="auto"/>
        </w:rPr>
      </w:pPr>
      <w:r>
        <w:rPr>
          <w:rFonts w:ascii="Arial" w:cs="Arial" w:eastAsia="Arial" w:hAnsi="Arial"/>
          <w:sz w:val="18"/>
          <w:szCs w:val="18"/>
          <w:color w:val="auto"/>
        </w:rPr>
        <w:t>simultaneously with the execution and delivery of this Agreement in accordance with the provisions of Section 3(b) of the Option Agreement. On such date, provided that all of the conditions set forth in Section 12 of the Plan have been fulfilled, the Company will deliver to Purchaser a certificate representing the Shares to be purchased by Purchaser (which shall be issued in Purchaser’s name) against payment of the exercise price therefor by Purchaser by any method listed in Section 4 of the Option Agreement, and the satisfaction of Purchaser’s tax withholding obligations pursuant to Section 3(b)(ii) of the Option Agreement.</w:t>
      </w:r>
    </w:p>
    <w:p>
      <w:pPr>
        <w:spacing w:after="0" w:line="187" w:lineRule="exact"/>
        <w:rPr>
          <w:rFonts w:ascii="Arial" w:cs="Arial" w:eastAsia="Arial" w:hAnsi="Arial"/>
          <w:sz w:val="17"/>
          <w:szCs w:val="17"/>
          <w:color w:val="auto"/>
        </w:rPr>
      </w:pPr>
    </w:p>
    <w:p>
      <w:pPr>
        <w:ind w:right="120" w:firstLine="464"/>
        <w:spacing w:after="0" w:line="261" w:lineRule="auto"/>
        <w:tabs>
          <w:tab w:leader="none" w:pos="636" w:val="left"/>
        </w:tabs>
        <w:numPr>
          <w:ilvl w:val="0"/>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180" w:lineRule="exact"/>
        <w:rPr>
          <w:rFonts w:ascii="Arial" w:cs="Arial" w:eastAsia="Arial" w:hAnsi="Arial"/>
          <w:sz w:val="18"/>
          <w:szCs w:val="18"/>
          <w:color w:val="auto"/>
        </w:rPr>
      </w:pPr>
    </w:p>
    <w:p>
      <w:pPr>
        <w:ind w:left="1160" w:hanging="239"/>
        <w:spacing w:after="0"/>
        <w:tabs>
          <w:tab w:leader="none" w:pos="1160" w:val="left"/>
        </w:tabs>
        <w:numPr>
          <w:ilvl w:val="1"/>
          <w:numId w:val="257"/>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700" w:hanging="208"/>
        <w:spacing w:after="0"/>
        <w:tabs>
          <w:tab w:leader="none" w:pos="1700" w:val="left"/>
        </w:tabs>
        <w:numPr>
          <w:ilvl w:val="2"/>
          <w:numId w:val="257"/>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Continuous Service Status with the Company for any reason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 death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3" w:right="279" w:bottom="1440" w:gutter="0" w:footer="0" w:header="0"/>
        </w:sectPr>
      </w:pPr>
    </w:p>
    <w:bookmarkStart w:id="421" w:name="page422"/>
    <w:bookmarkEnd w:id="421"/>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 with or without cause, the Company shall upon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have an irrevocable, exclusive option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for a period of ninety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187" w:lineRule="exact"/>
        <w:rPr>
          <w:sz w:val="20"/>
          <w:szCs w:val="20"/>
          <w:color w:val="auto"/>
        </w:rPr>
      </w:pPr>
    </w:p>
    <w:p>
      <w:pPr>
        <w:ind w:firstLine="1492"/>
        <w:spacing w:after="0" w:line="286" w:lineRule="auto"/>
        <w:tabs>
          <w:tab w:leader="none" w:pos="1748" w:val="left"/>
        </w:tabs>
        <w:numPr>
          <w:ilvl w:val="0"/>
          <w:numId w:val="258"/>
        </w:numPr>
        <w:rPr>
          <w:rFonts w:ascii="Arial" w:cs="Arial" w:eastAsia="Arial" w:hAnsi="Arial"/>
          <w:sz w:val="16"/>
          <w:szCs w:val="16"/>
          <w:color w:val="auto"/>
        </w:rPr>
      </w:pPr>
      <w:r>
        <w:rPr>
          <w:rFonts w:ascii="Arial" w:cs="Arial" w:eastAsia="Arial" w:hAnsi="Arial"/>
          <w:sz w:val="16"/>
          <w:szCs w:val="16"/>
          <w:color w:val="auto"/>
        </w:rPr>
        <w:t>Unless the Company notifies Purchaser within ninety (90) days from the date of termination of Purchaser’s Continuous Service Status that it does not intend to exercise its Repurchase Option with respect to some or all of the Shares, the Repurchase Option shall be deemed automatically exercised by the Company as of the ninetieth (90</w:t>
      </w:r>
      <w:r>
        <w:rPr>
          <w:rFonts w:ascii="Arial" w:cs="Arial" w:eastAsia="Arial" w:hAnsi="Arial"/>
          <w:sz w:val="13"/>
          <w:szCs w:val="13"/>
          <w:color w:val="auto"/>
        </w:rPr>
        <w:t>th</w:t>
      </w:r>
      <w:r>
        <w:rPr>
          <w:rFonts w:ascii="Arial" w:cs="Arial" w:eastAsia="Arial" w:hAnsi="Arial"/>
          <w:sz w:val="16"/>
          <w:szCs w:val="16"/>
          <w:color w:val="auto"/>
        </w:rPr>
        <w:t>) day following such termination, provided that the Company may notify Purchaser that it is exercising its Repurchase Option as of a date prior to such ninetieth (90</w:t>
      </w:r>
      <w:r>
        <w:rPr>
          <w:rFonts w:ascii="Arial" w:cs="Arial" w:eastAsia="Arial" w:hAnsi="Arial"/>
          <w:sz w:val="13"/>
          <w:szCs w:val="13"/>
          <w:color w:val="auto"/>
        </w:rPr>
        <w:t>th</w:t>
      </w:r>
      <w:r>
        <w:rPr>
          <w:rFonts w:ascii="Arial" w:cs="Arial" w:eastAsia="Arial" w:hAnsi="Arial"/>
          <w:sz w:val="16"/>
          <w:szCs w:val="16"/>
          <w:color w:val="auto"/>
        </w:rPr>
        <w:t>)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ninetieth (90</w:t>
      </w:r>
      <w:r>
        <w:rPr>
          <w:rFonts w:ascii="Arial" w:cs="Arial" w:eastAsia="Arial" w:hAnsi="Arial"/>
          <w:sz w:val="13"/>
          <w:szCs w:val="13"/>
          <w:color w:val="auto"/>
        </w:rPr>
        <w:t>th</w:t>
      </w:r>
      <w:r>
        <w:rPr>
          <w:rFonts w:ascii="Arial" w:cs="Arial" w:eastAsia="Arial" w:hAnsi="Arial"/>
          <w:sz w:val="16"/>
          <w:szCs w:val="16"/>
          <w:color w:val="auto"/>
        </w:rPr>
        <w:t>) day following termination of Purchaser’s Continuous Service Status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168" w:lineRule="exact"/>
        <w:rPr>
          <w:rFonts w:ascii="Arial" w:cs="Arial" w:eastAsia="Arial" w:hAnsi="Arial"/>
          <w:sz w:val="16"/>
          <w:szCs w:val="16"/>
          <w:color w:val="auto"/>
        </w:rPr>
      </w:pPr>
    </w:p>
    <w:p>
      <w:pPr>
        <w:jc w:val="both"/>
        <w:ind w:right="40" w:firstLine="1492"/>
        <w:spacing w:after="0" w:line="264" w:lineRule="auto"/>
        <w:tabs>
          <w:tab w:leader="none" w:pos="1798" w:val="left"/>
        </w:tabs>
        <w:numPr>
          <w:ilvl w:val="0"/>
          <w:numId w:val="258"/>
        </w:numPr>
        <w:rPr>
          <w:rFonts w:ascii="Arial" w:cs="Arial" w:eastAsia="Arial" w:hAnsi="Arial"/>
          <w:sz w:val="18"/>
          <w:szCs w:val="18"/>
          <w:color w:val="auto"/>
        </w:rPr>
      </w:pPr>
      <w:r>
        <w:rPr>
          <w:rFonts w:ascii="Arial" w:cs="Arial" w:eastAsia="Arial" w:hAnsi="Arial"/>
          <w:sz w:val="18"/>
          <w:szCs w:val="18"/>
          <w:color w:val="auto"/>
        </w:rPr>
        <w:t>One hundred percent (100%) of the Shares shall initially be subject to the Repurchase Option. The Unvested Shares shall be released from the Repurchase Option in accordance with the Vesting/Exercise Schedule set forth in the Notice of Stock Option Grant until all Shares are released from the Repurchase Option. Fractional shares shall be rounded to the nearest whole share.</w:t>
      </w:r>
    </w:p>
    <w:p>
      <w:pPr>
        <w:spacing w:after="0" w:line="181" w:lineRule="exact"/>
        <w:rPr>
          <w:rFonts w:ascii="Arial" w:cs="Arial" w:eastAsia="Arial" w:hAnsi="Arial"/>
          <w:sz w:val="18"/>
          <w:szCs w:val="18"/>
          <w:color w:val="auto"/>
        </w:rPr>
      </w:pPr>
    </w:p>
    <w:p>
      <w:pPr>
        <w:ind w:firstLine="1492"/>
        <w:spacing w:after="0" w:line="276" w:lineRule="auto"/>
        <w:tabs>
          <w:tab w:leader="none" w:pos="1788"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event of a Company Sale (as such term is defined below), the Repurchase Option shall expire with respect to fifty percent (50%) of the shares of Common Stock then subject to the Repurchase Option. Thereafter, the Repurchase Option shall expire with respect to any shares of Common Stock remaining subject to the Repurchase Option in equal monthly installments over the number of months remaining of the forty-eight (48) month period provided for in the Vesting/Exercise Schedule set forth in the Notice of Stock Option Grant. In addition, if within the period beginning on the first (1st) day of the calendar month immediately preceding the calendar month in which the effective date of such Company 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22" w:name="page423"/>
    <w:bookmarkEnd w:id="422"/>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occurs and ending on the last day of the thirteenth (13th) calendar month following the calendar month in which the effective date of Company Sale occurs, the Purchaser’s employment with the Company terminates due to an involuntary termination thereof by the Company (or any successor) without cause (not including death or disability) or due to a Constructive Termination (as such term is defined below), then the Repurchase Option shall expire in full with respect to all shares of Common Stock subject thereto as of the date of such termination of the Purchaser’s employment.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3(a)(iv) only:</w:t>
      </w:r>
    </w:p>
    <w:p>
      <w:pPr>
        <w:spacing w:after="0" w:line="225" w:lineRule="exact"/>
        <w:rPr>
          <w:sz w:val="20"/>
          <w:szCs w:val="20"/>
          <w:color w:val="auto"/>
        </w:rPr>
      </w:pPr>
    </w:p>
    <w:p>
      <w:pPr>
        <w:ind w:firstLine="921"/>
        <w:spacing w:after="0" w:line="257" w:lineRule="auto"/>
        <w:tabs>
          <w:tab w:leader="none" w:pos="120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“Company Sale” shall mean (i) the acquisition of the Company by another entity by means of any transaction or series of related transactions (including, without limitation, any reorganization, merger, stock purchase or consolidation) or (ii) a sale of all or substantially all of the assets of the Company; unless the Company’s stockholders of record as constituted immediately prior to any such transaction will, immediately after such transaction (by virtue of securities issued as consideration for the Company’s capital stock, assets or otherwise) hold more than fifty percent (50%) of the voting power of the surviving or acquiring entity.</w:t>
      </w:r>
    </w:p>
    <w:p>
      <w:pPr>
        <w:spacing w:after="0" w:line="188" w:lineRule="exact"/>
        <w:rPr>
          <w:rFonts w:ascii="Arial" w:cs="Arial" w:eastAsia="Arial" w:hAnsi="Arial"/>
          <w:sz w:val="18"/>
          <w:szCs w:val="18"/>
          <w:color w:val="auto"/>
        </w:rPr>
      </w:pPr>
    </w:p>
    <w:p>
      <w:pPr>
        <w:ind w:right="60" w:firstLine="921"/>
        <w:spacing w:after="0" w:line="276" w:lineRule="auto"/>
        <w:tabs>
          <w:tab w:leader="none" w:pos="1198" w:val="left"/>
        </w:tabs>
        <w:numPr>
          <w:ilvl w:val="0"/>
          <w:numId w:val="259"/>
        </w:numPr>
        <w:rPr>
          <w:rFonts w:ascii="Arial" w:cs="Arial" w:eastAsia="Arial" w:hAnsi="Arial"/>
          <w:sz w:val="17"/>
          <w:szCs w:val="17"/>
          <w:color w:val="auto"/>
        </w:rPr>
      </w:pPr>
      <w:r>
        <w:rPr>
          <w:rFonts w:ascii="Arial" w:cs="Arial" w:eastAsia="Arial" w:hAnsi="Arial"/>
          <w:sz w:val="17"/>
          <w:szCs w:val="17"/>
          <w:color w:val="auto"/>
        </w:rPr>
        <w:t>“Constructive Termination” means Purchaser’s voluntary resignation following (i) a material reduction in the level of responsibility associated with the Purchaser’s employment with the Company or any surviving entity (other than a change in job title or officer title), (ii) any reduction in the Purchaser’s level of base salary, or (iii) a relocation of the Purchaser’s principal place of employment by more than fifty (50) miles (other than reasonable business travel required as part of the job duties associated with the Purchaser’s position), provided, and only in the event that, such change, reduction or relocation is effected by the Company without cause and without the Purchaser’s consent.</w:t>
      </w:r>
    </w:p>
    <w:p>
      <w:pPr>
        <w:spacing w:after="0" w:line="169" w:lineRule="exact"/>
        <w:rPr>
          <w:sz w:val="20"/>
          <w:szCs w:val="20"/>
          <w:color w:val="auto"/>
        </w:rPr>
      </w:pPr>
    </w:p>
    <w:p>
      <w:pPr>
        <w:ind w:right="80" w:firstLine="921"/>
        <w:spacing w:after="0" w:line="266" w:lineRule="auto"/>
        <w:tabs>
          <w:tab w:leader="none" w:pos="1168" w:val="left"/>
        </w:tabs>
        <w:numPr>
          <w:ilvl w:val="1"/>
          <w:numId w:val="26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right="200" w:firstLine="1492"/>
        <w:spacing w:after="0" w:line="293" w:lineRule="auto"/>
        <w:tabs>
          <w:tab w:leader="none" w:pos="1698" w:val="left"/>
        </w:tabs>
        <w:numPr>
          <w:ilvl w:val="2"/>
          <w:numId w:val="26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bona fide 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80" w:firstLine="8"/>
        <w:spacing w:after="0" w:line="255" w:lineRule="auto"/>
        <w:tabs>
          <w:tab w:leader="none" w:pos="31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number of Shares to be transferred to each Proposed Transferee; and (iv) the terms and conditions of each proposed sale or transfer. The Holder shall offer the Shares at the same price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upon the same terms (or terms as similar as reasonably possible) to the Company or its assignee(s).</w:t>
      </w:r>
    </w:p>
    <w:p>
      <w:pPr>
        <w:spacing w:after="0" w:line="186" w:lineRule="exact"/>
        <w:rPr>
          <w:rFonts w:ascii="Arial" w:cs="Arial" w:eastAsia="Arial" w:hAnsi="Arial"/>
          <w:sz w:val="18"/>
          <w:szCs w:val="18"/>
          <w:color w:val="auto"/>
        </w:rPr>
      </w:pPr>
    </w:p>
    <w:p>
      <w:pPr>
        <w:ind w:right="60" w:firstLine="1492"/>
        <w:spacing w:after="0" w:line="266" w:lineRule="auto"/>
        <w:tabs>
          <w:tab w:leader="none" w:pos="1748" w:val="left"/>
        </w:tabs>
        <w:numPr>
          <w:ilvl w:val="2"/>
          <w:numId w:val="26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423" w:name="page424"/>
    <w:bookmarkEnd w:id="423"/>
    <w:p>
      <w:pPr>
        <w:ind w:left="-20" w:right="260" w:firstLine="1492"/>
        <w:spacing w:after="0" w:line="266" w:lineRule="auto"/>
        <w:tabs>
          <w:tab w:leader="none" w:pos="1778"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3(b) shall be the Offered Price. If the Offered Price includes consideration other than cash, the cash equivalent value of the non-cash consideration shall be determined by the Board of Directors of the Company in good faith.</w:t>
      </w:r>
    </w:p>
    <w:p>
      <w:pPr>
        <w:spacing w:after="0" w:line="176" w:lineRule="exact"/>
        <w:rPr>
          <w:rFonts w:ascii="Arial" w:cs="Arial" w:eastAsia="Arial" w:hAnsi="Arial"/>
          <w:sz w:val="18"/>
          <w:szCs w:val="18"/>
          <w:color w:val="auto"/>
        </w:rPr>
      </w:pPr>
    </w:p>
    <w:p>
      <w:pPr>
        <w:ind w:left="-20" w:right="400" w:firstLine="1492"/>
        <w:spacing w:after="0" w:line="266" w:lineRule="auto"/>
        <w:tabs>
          <w:tab w:leader="none" w:pos="1768" w:val="left"/>
        </w:tabs>
        <w:numPr>
          <w:ilvl w:val="1"/>
          <w:numId w:val="26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thirty (30) days after receipt of the Notice or in the manner and at the times set forth in the Notice.</w:t>
      </w:r>
    </w:p>
    <w:p>
      <w:pPr>
        <w:spacing w:after="0" w:line="176" w:lineRule="exact"/>
        <w:rPr>
          <w:rFonts w:ascii="Arial" w:cs="Arial" w:eastAsia="Arial" w:hAnsi="Arial"/>
          <w:sz w:val="18"/>
          <w:szCs w:val="18"/>
          <w:color w:val="auto"/>
        </w:rPr>
      </w:pPr>
    </w:p>
    <w:p>
      <w:pPr>
        <w:ind w:left="-20" w:right="20" w:firstLine="1492"/>
        <w:spacing w:after="0" w:line="272" w:lineRule="auto"/>
        <w:tabs>
          <w:tab w:leader="none" w:pos="1718" w:val="left"/>
        </w:tabs>
        <w:numPr>
          <w:ilvl w:val="1"/>
          <w:numId w:val="262"/>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of the Shares proposed in the Notice to be transferred to a given Proposed Transferee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by the Company and/or its assignee(s) as provided in this Section 3(b), then the Holder may sell or otherwise transfer such Shares to that Proposed Transferee at the Offered Price or at a higher price, provided that such sale or other transfer is consummated within sixty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72" w:lineRule="exact"/>
        <w:rPr>
          <w:rFonts w:ascii="Arial" w:cs="Arial" w:eastAsia="Arial" w:hAnsi="Arial"/>
          <w:sz w:val="17"/>
          <w:szCs w:val="17"/>
          <w:color w:val="auto"/>
        </w:rPr>
      </w:pPr>
    </w:p>
    <w:p>
      <w:pPr>
        <w:ind w:left="-20" w:right="60" w:firstLine="1492"/>
        <w:spacing w:after="0" w:line="295" w:lineRule="auto"/>
        <w:tabs>
          <w:tab w:leader="none" w:pos="1768" w:val="left"/>
        </w:tabs>
        <w:numPr>
          <w:ilvl w:val="1"/>
          <w:numId w:val="262"/>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3(b)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any child, stepchild, grandchild, parent, stepparent, grandparent, spouse, former spouse, sibling, niece, nephew, mother-in-law, father-in-law, son-in-law, daughter-in-law, brother-in-law, or sister-in-law (including adoptive relationships).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155" w:lineRule="exact"/>
        <w:rPr>
          <w:rFonts w:ascii="Arial" w:cs="Arial" w:eastAsia="Arial" w:hAnsi="Arial"/>
          <w:sz w:val="16"/>
          <w:szCs w:val="16"/>
          <w:color w:val="auto"/>
        </w:rPr>
      </w:pPr>
    </w:p>
    <w:p>
      <w:pPr>
        <w:ind w:left="1140" w:hanging="239"/>
        <w:spacing w:after="0"/>
        <w:tabs>
          <w:tab w:leader="none" w:pos="1140" w:val="left"/>
        </w:tabs>
        <w:numPr>
          <w:ilvl w:val="0"/>
          <w:numId w:val="263"/>
        </w:numPr>
        <w:rPr>
          <w:rFonts w:ascii="Arial" w:cs="Arial" w:eastAsia="Arial" w:hAnsi="Arial"/>
          <w:sz w:val="18"/>
          <w:szCs w:val="18"/>
          <w:color w:val="auto"/>
        </w:rPr>
      </w:pPr>
      <w:r>
        <w:rPr>
          <w:rFonts w:ascii="Arial" w:cs="Arial" w:eastAsia="Arial" w:hAnsi="Arial"/>
          <w:sz w:val="18"/>
          <w:szCs w:val="18"/>
          <w:b w:val="1"/>
          <w:bCs w:val="1"/>
          <w:u w:val="single" w:color="auto"/>
          <w:color w:val="auto"/>
        </w:rPr>
        <w:t>Involuntary Transfer</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1492"/>
        <w:spacing w:after="0" w:line="298" w:lineRule="auto"/>
        <w:tabs>
          <w:tab w:leader="none" w:pos="1678" w:val="left"/>
        </w:tabs>
        <w:numPr>
          <w:ilvl w:val="1"/>
          <w:numId w:val="26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by operation of law or other involuntary transfer (including death or divorce, but excluding a transfer to Immediate Family as set forth in Section 3(b)(vi) above) of all or a portion of the Shares by the record holder thereof, the Company shall have an option to purchase all of the Shares transferred.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0" w:right="259" w:bottom="1440" w:gutter="0" w:footer="0" w:header="0"/>
        </w:sectPr>
      </w:pPr>
    </w:p>
    <w:bookmarkStart w:id="424" w:name="page425"/>
    <w:bookmarkEnd w:id="424"/>
    <w:p>
      <w:pPr>
        <w:ind w:left="-20" w:right="60" w:firstLine="1492"/>
        <w:spacing w:after="0" w:line="295" w:lineRule="auto"/>
        <w:tabs>
          <w:tab w:leader="none" w:pos="1728" w:val="left"/>
        </w:tabs>
        <w:numPr>
          <w:ilvl w:val="2"/>
          <w:numId w:val="26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3(c)(i), the price per Share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or his or her executor does not agree with the valuation as determined by the Board of Directors of the Company, the Purchaser or the executor shall be entitled to have the valuation determined by an independent appraiser to be mutually agreed upon by the Company and the Purchaser or the executor and whose fees shall be borne equally by the Company and the Purchaser or the Purchaser’s estate.</w:t>
      </w:r>
    </w:p>
    <w:p>
      <w:pPr>
        <w:spacing w:after="0" w:line="155" w:lineRule="exact"/>
        <w:rPr>
          <w:rFonts w:ascii="Arial" w:cs="Arial" w:eastAsia="Arial" w:hAnsi="Arial"/>
          <w:sz w:val="16"/>
          <w:szCs w:val="16"/>
          <w:color w:val="auto"/>
        </w:rPr>
      </w:pPr>
    </w:p>
    <w:p>
      <w:pPr>
        <w:ind w:left="-20" w:right="720" w:firstLine="921"/>
        <w:spacing w:after="0" w:line="282" w:lineRule="auto"/>
        <w:tabs>
          <w:tab w:leader="none" w:pos="1148" w:val="left"/>
        </w:tabs>
        <w:numPr>
          <w:ilvl w:val="1"/>
          <w:numId w:val="26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Company to purchase any part of the Shares may be assigned in whole or in part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or other persons or organizations.</w:t>
      </w:r>
    </w:p>
    <w:p>
      <w:pPr>
        <w:spacing w:after="0" w:line="161" w:lineRule="exact"/>
        <w:rPr>
          <w:rFonts w:ascii="Arial" w:cs="Arial" w:eastAsia="Arial" w:hAnsi="Arial"/>
          <w:sz w:val="18"/>
          <w:szCs w:val="18"/>
          <w:color w:val="auto"/>
        </w:rPr>
      </w:pPr>
    </w:p>
    <w:p>
      <w:pPr>
        <w:ind w:left="-20" w:firstLine="921"/>
        <w:spacing w:after="0" w:line="272" w:lineRule="auto"/>
        <w:tabs>
          <w:tab w:leader="none" w:pos="1137" w:val="left"/>
        </w:tabs>
        <w:numPr>
          <w:ilvl w:val="1"/>
          <w:numId w:val="265"/>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b w:val="1"/>
          <w:bCs w:val="1"/>
          <w:color w:val="auto"/>
        </w:rPr>
        <w:t xml:space="preserve">. </w:t>
      </w:r>
      <w:r>
        <w:rPr>
          <w:rFonts w:ascii="Arial" w:cs="Arial" w:eastAsia="Arial" w:hAnsi="Arial"/>
          <w:sz w:val="17"/>
          <w:szCs w:val="17"/>
          <w:color w:val="auto"/>
        </w:rPr>
        <w:t>All transferees of Shares or any interest therein will receive and hold such Shares or interest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72" w:lineRule="exact"/>
        <w:rPr>
          <w:rFonts w:ascii="Arial" w:cs="Arial" w:eastAsia="Arial" w:hAnsi="Arial"/>
          <w:sz w:val="17"/>
          <w:szCs w:val="17"/>
          <w:color w:val="auto"/>
        </w:rPr>
      </w:pPr>
    </w:p>
    <w:p>
      <w:pPr>
        <w:ind w:left="-20" w:right="200" w:firstLine="921"/>
        <w:spacing w:after="0" w:line="298" w:lineRule="auto"/>
        <w:tabs>
          <w:tab w:leader="none" w:pos="1118" w:val="left"/>
        </w:tabs>
        <w:numPr>
          <w:ilvl w:val="1"/>
          <w:numId w:val="265"/>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3(b) above and the option to repurchase the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3(b) above, a new certificate or certificates representing the Shares not repurchased shall be issued, on request, without the legend referred to in Section 6(a)(ii) herein and delivered to Purchaser.</w:t>
      </w:r>
    </w:p>
    <w:p>
      <w:pPr>
        <w:spacing w:after="0" w:line="154" w:lineRule="exact"/>
        <w:rPr>
          <w:rFonts w:ascii="Arial" w:cs="Arial" w:eastAsia="Arial" w:hAnsi="Arial"/>
          <w:sz w:val="16"/>
          <w:szCs w:val="16"/>
          <w:color w:val="auto"/>
        </w:rPr>
      </w:pPr>
    </w:p>
    <w:p>
      <w:pPr>
        <w:ind w:left="-20" w:right="40" w:firstLine="464"/>
        <w:spacing w:after="0" w:line="298" w:lineRule="auto"/>
        <w:tabs>
          <w:tab w:leader="none" w:pos="616" w:val="left"/>
        </w:tabs>
        <w:numPr>
          <w:ilvl w:val="0"/>
          <w:numId w:val="266"/>
        </w:numPr>
        <w:rPr>
          <w:rFonts w:ascii="Arial" w:cs="Arial" w:eastAsia="Arial" w:hAnsi="Arial"/>
          <w:sz w:val="16"/>
          <w:szCs w:val="16"/>
          <w:color w:val="auto"/>
        </w:rPr>
      </w:pPr>
      <w:r>
        <w:rPr>
          <w:rFonts w:ascii="Arial" w:cs="Arial" w:eastAsia="Arial" w:hAnsi="Arial"/>
          <w:sz w:val="16"/>
          <w:szCs w:val="16"/>
          <w:b w:val="1"/>
          <w:bCs w:val="1"/>
          <w:u w:val="single" w:color="auto"/>
          <w:color w:val="auto"/>
        </w:rPr>
        <w:t>Escrow of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the enforcement of the provisions of Section 3 above, Purchaser agrees, immediately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0" w:right="239" w:bottom="1440" w:gutter="0" w:footer="0" w:header="0"/>
        </w:sectPr>
      </w:pPr>
    </w:p>
    <w:bookmarkStart w:id="425" w:name="page426"/>
    <w:bookmarkEnd w:id="42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189" w:lineRule="exact"/>
        <w:rPr>
          <w:sz w:val="20"/>
          <w:szCs w:val="20"/>
          <w:color w:val="auto"/>
        </w:rPr>
      </w:pPr>
    </w:p>
    <w:p>
      <w:pPr>
        <w:ind w:left="640" w:hanging="176"/>
        <w:spacing w:after="0"/>
        <w:tabs>
          <w:tab w:leader="none" w:pos="640" w:val="left"/>
        </w:tabs>
        <w:numPr>
          <w:ilvl w:val="0"/>
          <w:numId w:val="267"/>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52" w:lineRule="exact"/>
        <w:rPr>
          <w:rFonts w:ascii="Arial" w:cs="Arial" w:eastAsia="Arial" w:hAnsi="Arial"/>
          <w:sz w:val="16"/>
          <w:szCs w:val="16"/>
          <w:color w:val="auto"/>
        </w:rPr>
      </w:pPr>
    </w:p>
    <w:p>
      <w:pPr>
        <w:ind w:right="100" w:firstLine="921"/>
        <w:spacing w:after="0" w:line="279" w:lineRule="auto"/>
        <w:tabs>
          <w:tab w:leader="none" w:pos="1158" w:val="left"/>
        </w:tabs>
        <w:numPr>
          <w:ilvl w:val="1"/>
          <w:numId w:val="267"/>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71" w:lineRule="exact"/>
        <w:rPr>
          <w:rFonts w:ascii="Arial" w:cs="Arial" w:eastAsia="Arial" w:hAnsi="Arial"/>
          <w:sz w:val="17"/>
          <w:szCs w:val="17"/>
          <w:color w:val="auto"/>
        </w:rPr>
      </w:pPr>
    </w:p>
    <w:p>
      <w:pPr>
        <w:ind w:right="200" w:firstLine="921"/>
        <w:spacing w:after="0" w:line="277" w:lineRule="auto"/>
        <w:tabs>
          <w:tab w:leader="none" w:pos="116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70" w:lineRule="exact"/>
        <w:rPr>
          <w:rFonts w:ascii="Arial" w:cs="Arial" w:eastAsia="Arial" w:hAnsi="Arial"/>
          <w:sz w:val="18"/>
          <w:szCs w:val="18"/>
          <w:color w:val="auto"/>
        </w:rPr>
      </w:pPr>
    </w:p>
    <w:p>
      <w:pPr>
        <w:ind w:right="20" w:firstLine="921"/>
        <w:spacing w:after="0" w:line="279" w:lineRule="auto"/>
        <w:tabs>
          <w:tab w:leader="none" w:pos="1158" w:val="left"/>
        </w:tabs>
        <w:numPr>
          <w:ilvl w:val="1"/>
          <w:numId w:val="267"/>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71" w:lineRule="exact"/>
        <w:rPr>
          <w:rFonts w:ascii="Arial" w:cs="Arial" w:eastAsia="Arial" w:hAnsi="Arial"/>
          <w:sz w:val="17"/>
          <w:szCs w:val="17"/>
          <w:color w:val="auto"/>
        </w:rPr>
      </w:pPr>
    </w:p>
    <w:p>
      <w:pPr>
        <w:ind w:right="180" w:firstLine="921"/>
        <w:spacing w:after="0" w:line="291" w:lineRule="auto"/>
        <w:tabs>
          <w:tab w:leader="none" w:pos="1168" w:val="left"/>
        </w:tabs>
        <w:numPr>
          <w:ilvl w:val="1"/>
          <w:numId w:val="267"/>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3" w:right="239" w:bottom="1440" w:gutter="0" w:footer="0" w:header="0"/>
        </w:sectPr>
      </w:pPr>
    </w:p>
    <w:bookmarkStart w:id="426" w:name="page427"/>
    <w:bookmarkEnd w:id="426"/>
    <w:p>
      <w:pPr>
        <w:ind w:left="-40" w:right="100" w:firstLine="921"/>
        <w:spacing w:after="0" w:line="255" w:lineRule="auto"/>
        <w:tabs>
          <w:tab w:leader="none" w:pos="1118" w:val="left"/>
        </w:tabs>
        <w:numPr>
          <w:ilvl w:val="1"/>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93" w:lineRule="exact"/>
        <w:rPr>
          <w:rFonts w:ascii="Arial" w:cs="Arial" w:eastAsia="Arial" w:hAnsi="Arial"/>
          <w:sz w:val="18"/>
          <w:szCs w:val="18"/>
          <w:color w:val="auto"/>
        </w:rPr>
      </w:pPr>
    </w:p>
    <w:p>
      <w:pPr>
        <w:ind w:left="-40" w:right="60" w:firstLine="921"/>
        <w:spacing w:after="0" w:line="264" w:lineRule="auto"/>
        <w:tabs>
          <w:tab w:leader="none" w:pos="109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7" w:lineRule="exact"/>
        <w:rPr>
          <w:rFonts w:ascii="Arial" w:cs="Arial" w:eastAsia="Arial" w:hAnsi="Arial"/>
          <w:sz w:val="18"/>
          <w:szCs w:val="18"/>
          <w:color w:val="auto"/>
        </w:rPr>
      </w:pPr>
    </w:p>
    <w:p>
      <w:pPr>
        <w:ind w:left="600" w:hanging="176"/>
        <w:spacing w:after="0"/>
        <w:tabs>
          <w:tab w:leader="none" w:pos="600" w:val="left"/>
        </w:tabs>
        <w:numPr>
          <w:ilvl w:val="0"/>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0" w:firstLine="921"/>
        <w:spacing w:after="0" w:line="282" w:lineRule="auto"/>
        <w:tabs>
          <w:tab w:leader="none" w:pos="1117" w:val="left"/>
        </w:tabs>
        <w:numPr>
          <w:ilvl w:val="1"/>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880" w:right="60" w:hanging="440"/>
        <w:spacing w:after="0" w:line="276" w:lineRule="auto"/>
        <w:tabs>
          <w:tab w:leader="none" w:pos="1880" w:val="left"/>
        </w:tabs>
        <w:numPr>
          <w:ilvl w:val="2"/>
          <w:numId w:val="269"/>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7" w:lineRule="exact"/>
        <w:rPr>
          <w:rFonts w:ascii="Arial" w:cs="Arial" w:eastAsia="Arial" w:hAnsi="Arial"/>
          <w:sz w:val="17"/>
          <w:szCs w:val="17"/>
          <w:color w:val="auto"/>
        </w:rPr>
      </w:pPr>
    </w:p>
    <w:p>
      <w:pPr>
        <w:ind w:left="1880" w:right="100" w:hanging="440"/>
        <w:spacing w:after="0" w:line="264" w:lineRule="auto"/>
        <w:tabs>
          <w:tab w:leader="none" w:pos="188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177" w:lineRule="exact"/>
        <w:rPr>
          <w:rFonts w:ascii="Arial" w:cs="Arial" w:eastAsia="Arial" w:hAnsi="Arial"/>
          <w:sz w:val="18"/>
          <w:szCs w:val="18"/>
          <w:color w:val="auto"/>
        </w:rPr>
      </w:pPr>
    </w:p>
    <w:p>
      <w:pPr>
        <w:jc w:val="both"/>
        <w:ind w:left="-40" w:right="100" w:firstLine="921"/>
        <w:spacing w:after="0" w:line="266" w:lineRule="auto"/>
        <w:tabs>
          <w:tab w:leader="none" w:pos="1128" w:val="left"/>
        </w:tabs>
        <w:numPr>
          <w:ilvl w:val="1"/>
          <w:numId w:val="269"/>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74" w:right="259" w:bottom="1440" w:gutter="0" w:footer="0" w:header="0"/>
        </w:sectPr>
      </w:pPr>
    </w:p>
    <w:bookmarkStart w:id="427" w:name="page428"/>
    <w:bookmarkEnd w:id="427"/>
    <w:p>
      <w:pPr>
        <w:ind w:right="20" w:firstLine="921"/>
        <w:spacing w:after="0" w:line="266" w:lineRule="auto"/>
        <w:tabs>
          <w:tab w:leader="none" w:pos="1157" w:val="left"/>
        </w:tabs>
        <w:numPr>
          <w:ilvl w:val="1"/>
          <w:numId w:val="27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Arial" w:cs="Arial" w:eastAsia="Arial" w:hAnsi="Arial"/>
          <w:sz w:val="18"/>
          <w:szCs w:val="18"/>
          <w:color w:val="auto"/>
        </w:rPr>
      </w:pPr>
    </w:p>
    <w:p>
      <w:pPr>
        <w:ind w:right="600" w:firstLine="464"/>
        <w:spacing w:after="0" w:line="313" w:lineRule="auto"/>
        <w:tabs>
          <w:tab w:leader="none" w:pos="636" w:val="left"/>
        </w:tabs>
        <w:numPr>
          <w:ilvl w:val="0"/>
          <w:numId w:val="271"/>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138" w:lineRule="exact"/>
        <w:rPr>
          <w:rFonts w:ascii="Arial" w:cs="Arial" w:eastAsia="Arial" w:hAnsi="Arial"/>
          <w:sz w:val="17"/>
          <w:szCs w:val="17"/>
          <w:color w:val="auto"/>
        </w:rPr>
      </w:pPr>
    </w:p>
    <w:p>
      <w:pPr>
        <w:ind w:firstLine="464"/>
        <w:spacing w:after="0" w:line="287" w:lineRule="auto"/>
        <w:tabs>
          <w:tab w:leader="none" w:pos="636" w:val="left"/>
        </w:tabs>
        <w:numPr>
          <w:ilvl w:val="0"/>
          <w:numId w:val="271"/>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thirty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6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pacing w:after="0" w:line="167" w:lineRule="exact"/>
        <w:rPr>
          <w:sz w:val="20"/>
          <w:szCs w:val="20"/>
          <w:color w:val="auto"/>
        </w:rPr>
      </w:pPr>
    </w:p>
    <w:p>
      <w:pPr>
        <w:ind w:right="120" w:firstLine="464"/>
        <w:spacing w:after="0" w:line="261" w:lineRule="auto"/>
        <w:tabs>
          <w:tab w:leader="none" w:pos="636" w:val="left"/>
        </w:tabs>
        <w:numPr>
          <w:ilvl w:val="0"/>
          <w:numId w:val="272"/>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initial public offering of the Company’s securities and upon request of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428" w:name="page429"/>
    <w:bookmarkEnd w:id="428"/>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20" w:lineRule="exact"/>
        <w:rPr>
          <w:sz w:val="20"/>
          <w:szCs w:val="20"/>
          <w:color w:val="auto"/>
        </w:rPr>
      </w:pPr>
    </w:p>
    <w:p>
      <w:pPr>
        <w:ind w:left="740" w:hanging="276"/>
        <w:spacing w:after="0"/>
        <w:tabs>
          <w:tab w:leader="none" w:pos="740" w:val="left"/>
        </w:tabs>
        <w:numPr>
          <w:ilvl w:val="0"/>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280" w:firstLine="921"/>
        <w:spacing w:after="0" w:line="347" w:lineRule="auto"/>
        <w:tabs>
          <w:tab w:leader="none" w:pos="1157" w:val="left"/>
        </w:tabs>
        <w:numPr>
          <w:ilvl w:val="1"/>
          <w:numId w:val="273"/>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116" w:lineRule="exact"/>
        <w:rPr>
          <w:rFonts w:ascii="Arial" w:cs="Arial" w:eastAsia="Arial" w:hAnsi="Arial"/>
          <w:sz w:val="16"/>
          <w:szCs w:val="16"/>
          <w:color w:val="auto"/>
        </w:rPr>
      </w:pPr>
    </w:p>
    <w:p>
      <w:pPr>
        <w:ind w:firstLine="921"/>
        <w:spacing w:after="0" w:line="261" w:lineRule="auto"/>
        <w:tabs>
          <w:tab w:leader="none" w:pos="1168" w:val="left"/>
        </w:tabs>
        <w:numPr>
          <w:ilvl w:val="1"/>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rFonts w:ascii="Arial" w:cs="Arial" w:eastAsia="Arial" w:hAnsi="Arial"/>
          <w:sz w:val="18"/>
          <w:szCs w:val="18"/>
          <w:color w:val="auto"/>
        </w:rPr>
      </w:pPr>
    </w:p>
    <w:p>
      <w:pPr>
        <w:ind w:right="120" w:firstLine="921"/>
        <w:spacing w:after="0" w:line="261" w:lineRule="auto"/>
        <w:tabs>
          <w:tab w:leader="none" w:pos="1157" w:val="left"/>
        </w:tabs>
        <w:numPr>
          <w:ilvl w:val="1"/>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80" w:lineRule="exact"/>
        <w:rPr>
          <w:rFonts w:ascii="Arial" w:cs="Arial" w:eastAsia="Arial" w:hAnsi="Arial"/>
          <w:sz w:val="18"/>
          <w:szCs w:val="18"/>
          <w:color w:val="auto"/>
        </w:rPr>
      </w:pPr>
    </w:p>
    <w:p>
      <w:pPr>
        <w:jc w:val="both"/>
        <w:ind w:right="80" w:firstLine="921"/>
        <w:spacing w:after="0" w:line="266" w:lineRule="auto"/>
        <w:tabs>
          <w:tab w:leader="none" w:pos="1168" w:val="left"/>
        </w:tabs>
        <w:numPr>
          <w:ilvl w:val="1"/>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176" w:lineRule="exact"/>
        <w:rPr>
          <w:rFonts w:ascii="Arial" w:cs="Arial" w:eastAsia="Arial" w:hAnsi="Arial"/>
          <w:sz w:val="18"/>
          <w:szCs w:val="18"/>
          <w:color w:val="auto"/>
        </w:rPr>
      </w:pPr>
    </w:p>
    <w:p>
      <w:pPr>
        <w:jc w:val="both"/>
        <w:ind w:right="100" w:firstLine="921"/>
        <w:spacing w:after="0" w:line="289" w:lineRule="auto"/>
        <w:tabs>
          <w:tab w:leader="none" w:pos="1157" w:val="left"/>
        </w:tabs>
        <w:numPr>
          <w:ilvl w:val="1"/>
          <w:numId w:val="273"/>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Agreement shall be in writing and shall be deemed sufficient when delivered personally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rFonts w:ascii="Arial" w:cs="Arial" w:eastAsia="Arial" w:hAnsi="Arial"/>
          <w:sz w:val="17"/>
          <w:szCs w:val="17"/>
          <w:color w:val="auto"/>
        </w:rPr>
      </w:pPr>
    </w:p>
    <w:p>
      <w:pPr>
        <w:ind w:right="60" w:firstLine="921"/>
        <w:spacing w:after="0" w:line="282" w:lineRule="auto"/>
        <w:tabs>
          <w:tab w:leader="none" w:pos="1138" w:val="left"/>
        </w:tabs>
        <w:numPr>
          <w:ilvl w:val="1"/>
          <w:numId w:val="273"/>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(2)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61" w:lineRule="exact"/>
        <w:rPr>
          <w:rFonts w:ascii="Arial" w:cs="Arial" w:eastAsia="Arial" w:hAnsi="Arial"/>
          <w:sz w:val="18"/>
          <w:szCs w:val="18"/>
          <w:color w:val="auto"/>
        </w:rPr>
      </w:pPr>
    </w:p>
    <w:p>
      <w:pPr>
        <w:ind w:right="200" w:firstLine="921"/>
        <w:spacing w:after="0" w:line="347" w:lineRule="auto"/>
        <w:tabs>
          <w:tab w:leader="none" w:pos="1168" w:val="left"/>
        </w:tabs>
        <w:numPr>
          <w:ilvl w:val="1"/>
          <w:numId w:val="273"/>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116" w:lineRule="exact"/>
        <w:rPr>
          <w:rFonts w:ascii="Arial" w:cs="Arial" w:eastAsia="Arial" w:hAnsi="Arial"/>
          <w:sz w:val="16"/>
          <w:szCs w:val="16"/>
          <w:color w:val="auto"/>
        </w:rPr>
      </w:pPr>
    </w:p>
    <w:p>
      <w:pPr>
        <w:ind w:left="1180" w:hanging="259"/>
        <w:spacing w:after="0"/>
        <w:tabs>
          <w:tab w:leader="none" w:pos="1180" w:val="left"/>
        </w:tabs>
        <w:numPr>
          <w:ilvl w:val="1"/>
          <w:numId w:val="273"/>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THE SECURITIES WHICH ARE THE SUBJECT OF THIS AGREEMENT HAS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 BEEN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429" w:name="page430"/>
    <w:bookmarkEnd w:id="42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30" w:name="page431"/>
    <w:bookmarkEnd w:id="4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Early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7060" w:type="dxa"/>
            <w:vAlign w:val="bottom"/>
            <w:gridSpan w:val="2"/>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10840" w:type="dxa"/>
            <w:vAlign w:val="bottom"/>
            <w:gridSpan w:val="3"/>
          </w:tcPr>
          <w:p>
            <w:pPr>
              <w:ind w:left="480"/>
              <w:spacing w:after="0"/>
              <w:rPr>
                <w:sz w:val="20"/>
                <w:szCs w:val="20"/>
                <w:color w:val="auto"/>
              </w:rPr>
            </w:pPr>
            <w:r>
              <w:rPr>
                <w:rFonts w:ascii="Arial" w:cs="Arial" w:eastAsia="Arial" w:hAnsi="Arial"/>
                <w:sz w:val="18"/>
                <w:szCs w:val="18"/>
                <w:color w:val="auto"/>
                <w:w w:val="91"/>
              </w:rPr>
              <w:t>, spouse of «Name», have read and hereby approve the foregoing Agreement. In consideration of the Company’s granting my spouse the right</w:t>
            </w:r>
          </w:p>
        </w:tc>
      </w:tr>
    </w:tbl>
    <w:p>
      <w:pPr>
        <w:jc w:val="both"/>
        <w:ind w:right="40"/>
        <w:spacing w:after="0" w:line="255" w:lineRule="auto"/>
        <w:rPr>
          <w:sz w:val="20"/>
          <w:szCs w:val="20"/>
          <w:color w:val="auto"/>
        </w:rPr>
      </w:pPr>
      <w:r>
        <w:rPr>
          <w:rFonts w:ascii="Arial" w:cs="Arial" w:eastAsia="Arial" w:hAnsi="Arial"/>
          <w:sz w:val="18"/>
          <w:szCs w:val="18"/>
          <w:color w:val="auto"/>
        </w:rPr>
        <w:t>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284480</wp:posOffset>
            </wp:positionV>
            <wp:extent cx="289877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VALUE RECEIVED and pursuant to that certain Early Exercise Notice and Restricted Stock Purchase Agreement between the undersigned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7"/>
          </w:tcPr>
          <w:p>
            <w:pPr>
              <w:spacing w:after="0"/>
              <w:rPr>
                <w:sz w:val="20"/>
                <w:szCs w:val="20"/>
                <w:color w:val="auto"/>
              </w:rPr>
            </w:pPr>
            <w:r>
              <w:rPr>
                <w:rFonts w:ascii="Arial" w:cs="Arial" w:eastAsia="Arial" w:hAnsi="Arial"/>
                <w:sz w:val="18"/>
                <w:szCs w:val="18"/>
                <w:color w:val="auto"/>
                <w:w w:val="96"/>
              </w:rPr>
              <w:t>(“Purchaser”) and Syndax Pharmaceuticals, Inc. (the “Company”) dated</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4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(the “Agreement”), Purchaser hereby sells, assigns and transfers unto</w:t>
            </w:r>
          </w:p>
        </w:tc>
      </w:tr>
      <w:tr>
        <w:trPr>
          <w:trHeight w:val="20"/>
        </w:trPr>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2"/>
        </w:trPr>
        <w:tc>
          <w:tcPr>
            <w:tcW w:w="260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120" w:type="dxa"/>
            <w:vAlign w:val="bottom"/>
            <w:gridSpan w:val="7"/>
          </w:tcPr>
          <w:p>
            <w:pPr>
              <w:jc w:val="right"/>
              <w:spacing w:after="0"/>
              <w:rPr>
                <w:sz w:val="20"/>
                <w:szCs w:val="20"/>
                <w:color w:val="auto"/>
              </w:rPr>
            </w:pPr>
            <w:r>
              <w:rPr>
                <w:rFonts w:ascii="Arial" w:cs="Arial" w:eastAsia="Arial" w:hAnsi="Arial"/>
                <w:sz w:val="18"/>
                <w:szCs w:val="18"/>
                <w:color w:val="auto"/>
                <w:w w:val="93"/>
              </w:rPr>
              <w:t>) shares of the Common Stock of the Company, standing in Purchaser’s name on the books of the Company</w:t>
            </w:r>
          </w:p>
        </w:tc>
      </w:tr>
      <w:tr>
        <w:trPr>
          <w:trHeight w:val="230"/>
        </w:trPr>
        <w:tc>
          <w:tcPr>
            <w:tcW w:w="2600" w:type="dxa"/>
            <w:vAlign w:val="bottom"/>
            <w:gridSpan w:val="3"/>
          </w:tcPr>
          <w:p>
            <w:pPr>
              <w:spacing w:after="0"/>
              <w:rPr>
                <w:sz w:val="20"/>
                <w:szCs w:val="20"/>
                <w:color w:val="auto"/>
              </w:rPr>
            </w:pPr>
            <w:r>
              <w:rPr>
                <w:rFonts w:ascii="Arial" w:cs="Arial" w:eastAsia="Arial" w:hAnsi="Arial"/>
                <w:sz w:val="18"/>
                <w:szCs w:val="18"/>
                <w:color w:val="auto"/>
                <w:w w:val="94"/>
              </w:rPr>
              <w:t>and represented by Certificate No.</w:t>
            </w:r>
          </w:p>
        </w:tc>
        <w:tc>
          <w:tcPr>
            <w:tcW w:w="4080" w:type="dxa"/>
            <w:vAlign w:val="bottom"/>
            <w:gridSpan w:val="6"/>
          </w:tcPr>
          <w:p>
            <w:pPr>
              <w:ind w:left="100"/>
              <w:spacing w:after="0"/>
              <w:rPr>
                <w:sz w:val="20"/>
                <w:szCs w:val="20"/>
                <w:color w:val="auto"/>
              </w:rPr>
            </w:pPr>
            <w:r>
              <w:rPr>
                <w:rFonts w:ascii="Arial" w:cs="Arial" w:eastAsia="Arial" w:hAnsi="Arial"/>
                <w:sz w:val="18"/>
                <w:szCs w:val="18"/>
                <w:color w:val="auto"/>
                <w:w w:val="94"/>
              </w:rPr>
              <w:t>, and does hereby irrevocably constitute and appoint</w:t>
            </w:r>
          </w:p>
        </w:tc>
        <w:tc>
          <w:tcPr>
            <w:tcW w:w="800" w:type="dxa"/>
            <w:vAlign w:val="bottom"/>
          </w:tcPr>
          <w:p>
            <w:pPr>
              <w:spacing w:after="0"/>
              <w:rPr>
                <w:sz w:val="20"/>
                <w:szCs w:val="20"/>
                <w:color w:val="auto"/>
              </w:rPr>
            </w:pPr>
          </w:p>
        </w:tc>
        <w:tc>
          <w:tcPr>
            <w:tcW w:w="3920" w:type="dxa"/>
            <w:vAlign w:val="bottom"/>
          </w:tcPr>
          <w:p>
            <w:pPr>
              <w:jc w:val="right"/>
              <w:ind w:right="30"/>
              <w:spacing w:after="0"/>
              <w:rPr>
                <w:sz w:val="20"/>
                <w:szCs w:val="20"/>
                <w:color w:val="auto"/>
              </w:rPr>
            </w:pPr>
            <w:r>
              <w:rPr>
                <w:rFonts w:ascii="Arial" w:cs="Arial" w:eastAsia="Arial" w:hAnsi="Arial"/>
                <w:sz w:val="18"/>
                <w:szCs w:val="18"/>
                <w:color w:val="auto"/>
              </w:rPr>
              <w:t>to transfer said stock on the books of the</w:t>
            </w:r>
          </w:p>
        </w:tc>
      </w:tr>
    </w:tbl>
    <w:p>
      <w:pPr>
        <w:ind w:right="100"/>
        <w:spacing w:after="0" w:line="261" w:lineRule="auto"/>
        <w:rPr>
          <w:sz w:val="20"/>
          <w:szCs w:val="20"/>
          <w:color w:val="auto"/>
        </w:rPr>
      </w:pPr>
      <w:r>
        <w:rPr>
          <w:rFonts w:ascii="Arial" w:cs="Arial" w:eastAsia="Arial" w:hAnsi="Arial"/>
          <w:sz w:val="18"/>
          <w:szCs w:val="18"/>
          <w:color w:val="auto"/>
        </w:rPr>
        <w:t>Company with full power of substitution in the premises. THIS ASSIGNMENT MAY ONLY BE USED AS AUTHORIZED BY THE AGREEMENT AND THE ATTACHMENTS 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95846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289560</wp:posOffset>
            </wp:positionV>
            <wp:extent cx="355028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289560</wp:posOffset>
            </wp:positionV>
            <wp:extent cx="355028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Spouse of «Name» (if applicable)</w:t>
      </w:r>
    </w:p>
    <w:p>
      <w:pPr>
        <w:spacing w:after="0" w:line="221"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32" w:name="page433"/>
    <w:bookmarkEnd w:id="432"/>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 AND STATEMENT OF DECISION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REGARDING SECTION 83(b) ELECTION</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(which term includes the undersigned’s spouse), a purchaser of shares of Common Stock of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exercise of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granted pursuant to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states as follows:</w:t>
      </w:r>
    </w:p>
    <w:p>
      <w:pPr>
        <w:spacing w:after="0" w:line="181" w:lineRule="exact"/>
        <w:rPr>
          <w:sz w:val="20"/>
          <w:szCs w:val="20"/>
          <w:color w:val="auto"/>
        </w:rPr>
      </w:pPr>
    </w:p>
    <w:p>
      <w:pPr>
        <w:ind w:right="100" w:firstLine="464"/>
        <w:spacing w:after="0" w:line="277" w:lineRule="auto"/>
        <w:tabs>
          <w:tab w:leader="none" w:pos="636"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undersigned acknowledges receipt of a copy of the Plan relating to the offering of such shares. The undersigned has carefully reviewed the Plan and the option agreement pursuant to which the Option was granted.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31" w:lineRule="exact"/>
        <w:rPr>
          <w:sz w:val="20"/>
          <w:szCs w:val="20"/>
          <w:color w:val="auto"/>
        </w:rPr>
      </w:pPr>
    </w:p>
    <w:p>
      <w:pPr>
        <w:ind w:left="460"/>
        <w:spacing w:after="0"/>
        <w:tabs>
          <w:tab w:leader="none" w:pos="1280" w:val="left"/>
          <w:tab w:leader="none" w:pos="8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has consulted, and has been fully advised by, the undersigned’s own tax advisor,</w:t>
      </w:r>
      <w:r>
        <w:rPr>
          <w:sz w:val="20"/>
          <w:szCs w:val="20"/>
          <w:color w:val="auto"/>
        </w:rPr>
        <w:tab/>
      </w:r>
      <w:r>
        <w:rPr>
          <w:rFonts w:ascii="Arial" w:cs="Arial" w:eastAsia="Arial" w:hAnsi="Arial"/>
          <w:sz w:val="15"/>
          <w:szCs w:val="15"/>
          <w:color w:val="auto"/>
        </w:rPr>
        <w:t>, whose business address is</w:t>
      </w:r>
    </w:p>
    <w:p>
      <w:pPr>
        <w:spacing w:after="0" w:line="23" w:lineRule="exact"/>
        <w:rPr>
          <w:sz w:val="20"/>
          <w:szCs w:val="20"/>
          <w:color w:val="auto"/>
        </w:rPr>
      </w:pPr>
    </w:p>
    <w:p>
      <w:pPr>
        <w:ind w:left="900" w:right="140" w:firstLine="1799"/>
        <w:spacing w:after="0" w:line="255" w:lineRule="auto"/>
        <w:tabs>
          <w:tab w:leader="none" w:pos="279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95" w:lineRule="exact"/>
        <w:rPr>
          <w:rFonts w:ascii="Arial" w:cs="Arial" w:eastAsia="Arial" w:hAnsi="Arial"/>
          <w:sz w:val="18"/>
          <w:szCs w:val="18"/>
          <w:color w:val="auto"/>
        </w:rPr>
      </w:pPr>
    </w:p>
    <w:p>
      <w:pPr>
        <w:ind w:left="1300" w:hanging="846"/>
        <w:spacing w:after="0"/>
        <w:tabs>
          <w:tab w:leader="none" w:pos="13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The undersigned hereby states that the undersigned has decided [check as applicable]:</w:t>
      </w:r>
    </w:p>
    <w:p>
      <w:pPr>
        <w:spacing w:after="0" w:line="131" w:lineRule="exact"/>
        <w:rPr>
          <w:sz w:val="20"/>
          <w:szCs w:val="20"/>
          <w:color w:val="auto"/>
        </w:rPr>
      </w:pPr>
    </w:p>
    <w:p>
      <w:pPr>
        <w:ind w:left="900" w:right="400" w:hanging="446"/>
        <w:spacing w:after="0" w:line="264" w:lineRule="auto"/>
        <w:tabs>
          <w:tab w:leader="none" w:pos="130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86" w:lineRule="exact"/>
        <w:rPr>
          <w:rFonts w:ascii="Arial" w:cs="Arial" w:eastAsia="Arial" w:hAnsi="Arial"/>
          <w:sz w:val="18"/>
          <w:szCs w:val="18"/>
          <w:color w:val="auto"/>
        </w:rPr>
      </w:pPr>
    </w:p>
    <w:p>
      <w:pPr>
        <w:ind w:left="1300" w:hanging="846"/>
        <w:spacing w:after="0"/>
        <w:tabs>
          <w:tab w:leader="none" w:pos="13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33" w:name="page434"/>
    <w:bookmarkEnd w:id="433"/>
    <w:p>
      <w:pPr>
        <w:ind w:firstLine="464"/>
        <w:spacing w:after="0" w:line="264" w:lineRule="auto"/>
        <w:tabs>
          <w:tab w:leader="none" w:pos="636" w:val="left"/>
        </w:tabs>
        <w:numPr>
          <w:ilvl w:val="0"/>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34" w:name="page435"/>
    <w:bookmarkEnd w:id="434"/>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ELECTION UNDER SECTION 83(b)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 THE INTERNAL REVENUE CODE OF 1986</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7" w:lineRule="exact"/>
        <w:rPr>
          <w:sz w:val="20"/>
          <w:szCs w:val="20"/>
          <w:color w:val="auto"/>
        </w:rPr>
      </w:pPr>
    </w:p>
    <w:p>
      <w:pPr>
        <w:ind w:left="460" w:right="3580" w:hanging="452"/>
        <w:spacing w:after="0" w:line="375" w:lineRule="auto"/>
        <w:tabs>
          <w:tab w:leader="none" w:pos="449"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 NAME OF TAXPAYER: «Name»</w:t>
      </w:r>
    </w:p>
    <w:p>
      <w:pPr>
        <w:spacing w:after="0" w:line="1" w:lineRule="exact"/>
        <w:rPr>
          <w:rFonts w:ascii="Arial" w:cs="Arial" w:eastAsia="Arial" w:hAnsi="Arial"/>
          <w:sz w:val="18"/>
          <w:szCs w:val="18"/>
          <w:color w:val="auto"/>
        </w:rPr>
      </w:pPr>
    </w:p>
    <w:p>
      <w:pPr>
        <w:ind w:left="460" w:right="9360"/>
        <w:spacing w:after="0" w:line="397" w:lineRule="auto"/>
        <w:rPr>
          <w:rFonts w:ascii="Arial" w:cs="Arial" w:eastAsia="Arial" w:hAnsi="Arial"/>
          <w:sz w:val="18"/>
          <w:szCs w:val="18"/>
          <w:color w:val="auto"/>
        </w:rPr>
      </w:pPr>
      <w:r>
        <w:rPr>
          <w:rFonts w:ascii="Arial" w:cs="Arial" w:eastAsia="Arial" w:hAnsi="Arial"/>
          <w:sz w:val="17"/>
          <w:szCs w:val="17"/>
          <w:color w:val="auto"/>
        </w:rPr>
        <w:t>NAME OF SPOUSE: ADDRESS:</w:t>
      </w:r>
    </w:p>
    <w:p>
      <w:pPr>
        <w:spacing w:after="0" w:line="1" w:lineRule="exact"/>
        <w:rPr>
          <w:rFonts w:ascii="Arial" w:cs="Arial" w:eastAsia="Arial" w:hAnsi="Arial"/>
          <w:sz w:val="18"/>
          <w:szCs w:val="18"/>
          <w:color w:val="auto"/>
        </w:rPr>
      </w:pPr>
    </w:p>
    <w:p>
      <w:pPr>
        <w:ind w:left="460" w:right="7880"/>
        <w:spacing w:after="0" w:line="381"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ind w:left="460" w:hanging="452"/>
        <w:spacing w:after="0"/>
        <w:tabs>
          <w:tab w:leader="none" w:pos="4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shares of the Common Stock of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such property is: $</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amount (if any) paid for such property: $</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686054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686054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35" w:name="page436"/>
    <w:bookmarkEnd w:id="435"/>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RECEIPT AND CONSENT</w:t>
            </w:r>
          </w:p>
        </w:tc>
        <w:tc>
          <w:tcPr>
            <w:tcW w:w="42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38"/>
        </w:trPr>
        <w:tc>
          <w:tcPr>
            <w:tcW w:w="7160" w:type="dxa"/>
            <w:vAlign w:val="bottom"/>
            <w:gridSpan w:val="5"/>
          </w:tcPr>
          <w:p>
            <w:pPr>
              <w:ind w:left="460"/>
              <w:spacing w:after="0"/>
              <w:rPr>
                <w:sz w:val="20"/>
                <w:szCs w:val="20"/>
                <w:color w:val="auto"/>
              </w:rPr>
            </w:pPr>
            <w:r>
              <w:rPr>
                <w:rFonts w:ascii="Arial" w:cs="Arial" w:eastAsia="Arial" w:hAnsi="Arial"/>
                <w:sz w:val="18"/>
                <w:szCs w:val="18"/>
                <w:color w:val="auto"/>
                <w:w w:val="99"/>
              </w:rPr>
              <w:t>The undersigned hereby acknowledges receipt of a photocopy of Certificate No.   for</w:t>
            </w:r>
          </w:p>
        </w:tc>
        <w:tc>
          <w:tcPr>
            <w:tcW w:w="4240" w:type="dxa"/>
            <w:vAlign w:val="bottom"/>
          </w:tcPr>
          <w:p>
            <w:pPr>
              <w:ind w:left="360"/>
              <w:spacing w:after="0"/>
              <w:rPr>
                <w:sz w:val="20"/>
                <w:szCs w:val="20"/>
                <w:color w:val="auto"/>
              </w:rPr>
            </w:pPr>
            <w:r>
              <w:rPr>
                <w:rFonts w:ascii="Arial" w:cs="Arial" w:eastAsia="Arial" w:hAnsi="Arial"/>
                <w:sz w:val="18"/>
                <w:szCs w:val="18"/>
                <w:color w:val="auto"/>
                <w:w w:val="89"/>
              </w:rPr>
              <w:t>shares of Common Stock of Syndax Pharmaceuticals,</w:t>
            </w:r>
          </w:p>
        </w:tc>
      </w:tr>
      <w:tr>
        <w:trPr>
          <w:trHeight w:val="190"/>
        </w:trPr>
        <w:tc>
          <w:tcPr>
            <w:tcW w:w="7160" w:type="dxa"/>
            <w:vAlign w:val="bottom"/>
            <w:gridSpan w:val="5"/>
          </w:tcPr>
          <w:p>
            <w:pPr>
              <w:spacing w:after="0" w:line="190" w:lineRule="exact"/>
              <w:rPr>
                <w:sz w:val="20"/>
                <w:szCs w:val="20"/>
                <w:color w:val="auto"/>
              </w:rPr>
            </w:pPr>
            <w:r>
              <w:rPr>
                <w:rFonts w:ascii="Arial" w:cs="Arial" w:eastAsia="Arial" w:hAnsi="Arial"/>
                <w:sz w:val="18"/>
                <w:szCs w:val="18"/>
                <w:color w:val="auto"/>
              </w:rPr>
              <w:t>Inc. (the “Company”).</w:t>
            </w:r>
          </w:p>
        </w:tc>
        <w:tc>
          <w:tcPr>
            <w:tcW w:w="424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20" w:firstLine="456"/>
        <w:spacing w:after="0" w:line="286" w:lineRule="auto"/>
        <w:rPr>
          <w:sz w:val="20"/>
          <w:szCs w:val="20"/>
          <w:color w:val="auto"/>
        </w:rPr>
      </w:pPr>
      <w:r>
        <w:rPr>
          <w:rFonts w:ascii="Arial" w:cs="Arial" w:eastAsia="Arial" w:hAnsi="Arial"/>
          <w:sz w:val="17"/>
          <w:szCs w:val="17"/>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25882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306705</wp:posOffset>
            </wp:positionV>
            <wp:extent cx="31813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56" w:right="259" w:bottom="1440" w:gutter="0" w:footer="0" w:header="0"/>
        </w:sectPr>
      </w:pPr>
    </w:p>
    <w:bookmarkStart w:id="436" w:name="page437"/>
    <w:bookmarkEnd w:id="43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EXERCISE NOTICE AND RESTRICTED STOCK PURCHASE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by and between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terms and conditions hereof, Purchaser hereby elects to exercise his or her option to purchase shares of the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Plan and the Stock Option Agreement granted ,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The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purchase price for the Shares shall be $ per Share for a total purchase price of $ .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86" w:lineRule="exact"/>
        <w:rPr>
          <w:sz w:val="20"/>
          <w:szCs w:val="20"/>
          <w:color w:val="auto"/>
        </w:rPr>
      </w:pPr>
    </w:p>
    <w:p>
      <w:pPr>
        <w:ind w:left="640" w:hanging="176"/>
        <w:spacing w:after="0"/>
        <w:tabs>
          <w:tab w:leader="none" w:pos="640" w:val="left"/>
        </w:tabs>
        <w:numPr>
          <w:ilvl w:val="0"/>
          <w:numId w:val="280"/>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and sale of the Shares under this Agreement shall occur at the principal office of the Company</w:t>
      </w:r>
    </w:p>
    <w:p>
      <w:pPr>
        <w:spacing w:after="0" w:line="38" w:lineRule="exact"/>
        <w:rPr>
          <w:rFonts w:ascii="Arial" w:cs="Arial" w:eastAsia="Arial" w:hAnsi="Arial"/>
          <w:sz w:val="17"/>
          <w:szCs w:val="17"/>
          <w:color w:val="auto"/>
        </w:rPr>
      </w:pPr>
    </w:p>
    <w:p>
      <w:pPr>
        <w:ind w:right="140"/>
        <w:spacing w:after="0" w:line="253" w:lineRule="auto"/>
        <w:rPr>
          <w:rFonts w:ascii="Arial" w:cs="Arial" w:eastAsia="Arial" w:hAnsi="Arial"/>
          <w:sz w:val="17"/>
          <w:szCs w:val="17"/>
          <w:color w:val="auto"/>
        </w:rPr>
      </w:pPr>
      <w:r>
        <w:rPr>
          <w:rFonts w:ascii="Arial" w:cs="Arial" w:eastAsia="Arial" w:hAnsi="Arial"/>
          <w:sz w:val="18"/>
          <w:szCs w:val="18"/>
          <w:color w:val="auto"/>
        </w:rPr>
        <w:t>simultaneously with the execution and delivery of this Agreement in accordance with the provisions of Section 3(b) of the Option Agreement. On such date, provided that all of the conditions set forth in Section 12 of the Plan have been fulfilled, the Company will deliver to Purchaser a certificate representing the Shares to be purchased by Purchaser (which shall be issued in Purchaser’s name) against payment of the exercise price therefor by Purchaser by any method listed in Section 4 of the Option Agreement, and the satisfaction of Purchaser’s tax withholding obligations pursuant to Section 3(b)(ii) of the Option Agreement.</w:t>
      </w:r>
    </w:p>
    <w:p>
      <w:pPr>
        <w:spacing w:after="0" w:line="187" w:lineRule="exact"/>
        <w:rPr>
          <w:rFonts w:ascii="Arial" w:cs="Arial" w:eastAsia="Arial" w:hAnsi="Arial"/>
          <w:sz w:val="17"/>
          <w:szCs w:val="17"/>
          <w:color w:val="auto"/>
        </w:rPr>
      </w:pPr>
    </w:p>
    <w:p>
      <w:pPr>
        <w:ind w:right="160" w:firstLine="464"/>
        <w:spacing w:after="0" w:line="282" w:lineRule="auto"/>
        <w:tabs>
          <w:tab w:leader="none" w:pos="636" w:val="left"/>
        </w:tabs>
        <w:numPr>
          <w:ilvl w:val="0"/>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except in compliance with the provisions below and applicable securities laws.</w:t>
      </w:r>
    </w:p>
    <w:p>
      <w:pPr>
        <w:spacing w:after="0" w:line="161" w:lineRule="exact"/>
        <w:rPr>
          <w:rFonts w:ascii="Arial" w:cs="Arial" w:eastAsia="Arial" w:hAnsi="Arial"/>
          <w:sz w:val="18"/>
          <w:szCs w:val="18"/>
          <w:color w:val="auto"/>
        </w:rPr>
      </w:pPr>
    </w:p>
    <w:p>
      <w:pPr>
        <w:ind w:right="120" w:firstLine="921"/>
        <w:spacing w:after="0" w:line="266" w:lineRule="auto"/>
        <w:tabs>
          <w:tab w:leader="none" w:pos="1157" w:val="left"/>
        </w:tabs>
        <w:numPr>
          <w:ilvl w:val="1"/>
          <w:numId w:val="28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700" w:hanging="208"/>
        <w:spacing w:after="0"/>
        <w:tabs>
          <w:tab w:leader="none" w:pos="1700" w:val="left"/>
        </w:tabs>
        <w:numPr>
          <w:ilvl w:val="2"/>
          <w:numId w:val="28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Holder’s bona fide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3" w:right="239" w:bottom="1440" w:gutter="0" w:footer="0" w:header="0"/>
        </w:sectPr>
      </w:pPr>
    </w:p>
    <w:bookmarkStart w:id="437" w:name="page438"/>
    <w:bookmarkEnd w:id="437"/>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6"/>
          <w:szCs w:val="16"/>
          <w:u w:val="single" w:color="auto"/>
          <w:color w:val="auto"/>
        </w:rPr>
        <w:t>Offered Price</w:t>
      </w:r>
      <w:r>
        <w:rPr>
          <w:rFonts w:ascii="Arial" w:cs="Arial" w:eastAsia="Arial" w:hAnsi="Arial"/>
          <w:sz w:val="16"/>
          <w:szCs w:val="16"/>
          <w:color w:val="auto"/>
        </w:rPr>
        <w:t>”) and upon the same terms (or terms as similar as reasonably possible) to the Company or its assignee(s).</w:t>
      </w:r>
    </w:p>
    <w:p>
      <w:pPr>
        <w:spacing w:after="0" w:line="143" w:lineRule="exact"/>
        <w:rPr>
          <w:sz w:val="20"/>
          <w:szCs w:val="20"/>
          <w:color w:val="auto"/>
        </w:rPr>
      </w:pPr>
    </w:p>
    <w:p>
      <w:pPr>
        <w:ind w:right="40" w:firstLine="1492"/>
        <w:spacing w:after="0" w:line="266" w:lineRule="auto"/>
        <w:tabs>
          <w:tab w:leader="none" w:pos="1748"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176" w:lineRule="exact"/>
        <w:rPr>
          <w:rFonts w:ascii="Arial" w:cs="Arial" w:eastAsia="Arial" w:hAnsi="Arial"/>
          <w:sz w:val="18"/>
          <w:szCs w:val="18"/>
          <w:color w:val="auto"/>
        </w:rPr>
      </w:pPr>
    </w:p>
    <w:p>
      <w:pPr>
        <w:ind w:right="260" w:firstLine="1492"/>
        <w:spacing w:after="0" w:line="266" w:lineRule="auto"/>
        <w:tabs>
          <w:tab w:leader="none" w:pos="1798"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3(a) shall be the Offered Price. If the Offered Price includes consideration other than cash, the cash equivalent value of the non-cash consideration shall be determined by the Board of Directors of the Company in good faith.</w:t>
      </w:r>
    </w:p>
    <w:p>
      <w:pPr>
        <w:spacing w:after="0" w:line="176" w:lineRule="exact"/>
        <w:rPr>
          <w:rFonts w:ascii="Arial" w:cs="Arial" w:eastAsia="Arial" w:hAnsi="Arial"/>
          <w:sz w:val="18"/>
          <w:szCs w:val="18"/>
          <w:color w:val="auto"/>
        </w:rPr>
      </w:pPr>
    </w:p>
    <w:p>
      <w:pPr>
        <w:ind w:right="380" w:firstLine="1492"/>
        <w:spacing w:after="0" w:line="266" w:lineRule="auto"/>
        <w:tabs>
          <w:tab w:leader="none" w:pos="1788" w:val="left"/>
        </w:tabs>
        <w:numPr>
          <w:ilvl w:val="0"/>
          <w:numId w:val="28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thirty (30) days after receipt of the Notice or in the manner and at the times set forth in the Notice.</w:t>
      </w:r>
    </w:p>
    <w:p>
      <w:pPr>
        <w:spacing w:after="0" w:line="176" w:lineRule="exact"/>
        <w:rPr>
          <w:rFonts w:ascii="Arial" w:cs="Arial" w:eastAsia="Arial" w:hAnsi="Arial"/>
          <w:sz w:val="18"/>
          <w:szCs w:val="18"/>
          <w:color w:val="auto"/>
        </w:rPr>
      </w:pPr>
    </w:p>
    <w:p>
      <w:pPr>
        <w:ind w:firstLine="1492"/>
        <w:spacing w:after="0" w:line="272" w:lineRule="auto"/>
        <w:tabs>
          <w:tab w:leader="none" w:pos="1738" w:val="left"/>
        </w:tabs>
        <w:numPr>
          <w:ilvl w:val="0"/>
          <w:numId w:val="281"/>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of the Shares proposed in the Notice to be transferred to a given Proposed Transferee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by the Company and/or its assignee(s) as provided in this Section 3(a), then the Holder may sell or otherwise transfer such Shares to that Proposed Transferee at the Offered Price or at a higher price, provided that such sale or other transfer is consummated within sixty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72" w:lineRule="exact"/>
        <w:rPr>
          <w:rFonts w:ascii="Arial" w:cs="Arial" w:eastAsia="Arial" w:hAnsi="Arial"/>
          <w:sz w:val="17"/>
          <w:szCs w:val="17"/>
          <w:color w:val="auto"/>
        </w:rPr>
      </w:pPr>
    </w:p>
    <w:p>
      <w:pPr>
        <w:ind w:right="40" w:firstLine="1492"/>
        <w:spacing w:after="0" w:line="295" w:lineRule="auto"/>
        <w:tabs>
          <w:tab w:leader="none" w:pos="1788" w:val="left"/>
        </w:tabs>
        <w:numPr>
          <w:ilvl w:val="0"/>
          <w:numId w:val="281"/>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3(a)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3(a).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any child, stepchild, grandchild, parent, stepparent, grandparent, spouse, former spouse, sibling, niece, nephew, mother-in-law, father-in-law, son-in-law, daughter-in-law, brother-in-law, or sister-in-law (including adoptive relationships).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38" w:name="page439"/>
    <w:bookmarkEnd w:id="438"/>
    <w:p>
      <w:pPr>
        <w:ind w:left="1160" w:hanging="259"/>
        <w:spacing w:after="0"/>
        <w:tabs>
          <w:tab w:leader="none" w:pos="1160"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Involuntary Transfer</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1492"/>
        <w:spacing w:after="0" w:line="298" w:lineRule="auto"/>
        <w:tabs>
          <w:tab w:leader="none" w:pos="1678" w:val="left"/>
        </w:tabs>
        <w:numPr>
          <w:ilvl w:val="1"/>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by operation of law or other involuntary transfer (including death or divorce, but excluding a transfer to Immediate Family as set forth in Section 3(a)(vi) above) of all or a portion of the Shares by the record holder thereof, the Company shall have an option to purchase all of the Shares transferred.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54" w:lineRule="exact"/>
        <w:rPr>
          <w:rFonts w:ascii="Arial" w:cs="Arial" w:eastAsia="Arial" w:hAnsi="Arial"/>
          <w:sz w:val="16"/>
          <w:szCs w:val="16"/>
          <w:color w:val="auto"/>
        </w:rPr>
      </w:pPr>
    </w:p>
    <w:p>
      <w:pPr>
        <w:ind w:left="-20" w:right="40" w:firstLine="1492"/>
        <w:spacing w:after="0" w:line="295" w:lineRule="auto"/>
        <w:tabs>
          <w:tab w:leader="none" w:pos="1728" w:val="left"/>
        </w:tabs>
        <w:numPr>
          <w:ilvl w:val="1"/>
          <w:numId w:val="282"/>
        </w:numPr>
        <w:rPr>
          <w:rFonts w:ascii="Arial" w:cs="Arial" w:eastAsia="Arial" w:hAnsi="Arial"/>
          <w:sz w:val="16"/>
          <w:szCs w:val="16"/>
          <w:color w:val="auto"/>
        </w:rPr>
      </w:pPr>
      <w:r>
        <w:rPr>
          <w:rFonts w:ascii="Arial" w:cs="Arial" w:eastAsia="Arial" w:hAnsi="Arial"/>
          <w:sz w:val="16"/>
          <w:szCs w:val="16"/>
          <w:b w:val="1"/>
          <w:bCs w:val="1"/>
          <w:u w:val="single" w:color="auto"/>
          <w:color w:val="auto"/>
        </w:rPr>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3(b)(i), the price per Share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or his or her executor does not agree with the valuation as determined by the Board of Directors of the Company, the Purchaser or the executor shall be entitled to have the valuation determined by an independent appraiser to be mutually agreed upon by the Company and the Purchaser or the executor and whose fees shall be borne equally by the Company and the Purchaser or the Purchaser’s estate.</w:t>
      </w:r>
    </w:p>
    <w:p>
      <w:pPr>
        <w:spacing w:after="0" w:line="155" w:lineRule="exact"/>
        <w:rPr>
          <w:rFonts w:ascii="Arial" w:cs="Arial" w:eastAsia="Arial" w:hAnsi="Arial"/>
          <w:sz w:val="16"/>
          <w:szCs w:val="16"/>
          <w:color w:val="auto"/>
        </w:rPr>
      </w:pPr>
    </w:p>
    <w:p>
      <w:pPr>
        <w:ind w:left="-20" w:right="720" w:firstLine="921"/>
        <w:spacing w:after="0" w:line="282" w:lineRule="auto"/>
        <w:tabs>
          <w:tab w:leader="none" w:pos="1137" w:val="left"/>
        </w:tabs>
        <w:numPr>
          <w:ilvl w:val="0"/>
          <w:numId w:val="282"/>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Company to purchase any part of the Shares may be assigned in whole or in part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or other persons or organizations.</w:t>
      </w:r>
    </w:p>
    <w:p>
      <w:pPr>
        <w:spacing w:after="0" w:line="162" w:lineRule="exact"/>
        <w:rPr>
          <w:sz w:val="20"/>
          <w:szCs w:val="20"/>
          <w:color w:val="auto"/>
        </w:rPr>
      </w:pPr>
    </w:p>
    <w:p>
      <w:pPr>
        <w:ind w:left="-20" w:right="40" w:firstLine="921"/>
        <w:spacing w:after="0" w:line="347" w:lineRule="auto"/>
        <w:tabs>
          <w:tab w:leader="none" w:pos="1137" w:val="left"/>
        </w:tabs>
        <w:numPr>
          <w:ilvl w:val="1"/>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Any sale or transfer of the Company’s Shares shall be void unless the provisions of this Agreement are satisfied.</w:t>
      </w:r>
    </w:p>
    <w:p>
      <w:pPr>
        <w:spacing w:after="0" w:line="116" w:lineRule="exact"/>
        <w:rPr>
          <w:rFonts w:ascii="Arial" w:cs="Arial" w:eastAsia="Arial" w:hAnsi="Arial"/>
          <w:sz w:val="16"/>
          <w:szCs w:val="16"/>
          <w:color w:val="auto"/>
        </w:rPr>
      </w:pPr>
    </w:p>
    <w:p>
      <w:pPr>
        <w:ind w:left="-20" w:right="180" w:firstLine="921"/>
        <w:spacing w:after="0" w:line="298" w:lineRule="auto"/>
        <w:tabs>
          <w:tab w:leader="none" w:pos="1118" w:val="left"/>
        </w:tabs>
        <w:numPr>
          <w:ilvl w:val="1"/>
          <w:numId w:val="283"/>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an 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a new certificate or certificates representing the Shares not repurchased shall be issued, on request, without the legend referred to in Section 5(a)(ii) herein and delivered to Purchaser.</w:t>
      </w:r>
    </w:p>
    <w:p>
      <w:pPr>
        <w:spacing w:after="0" w:line="154" w:lineRule="exact"/>
        <w:rPr>
          <w:rFonts w:ascii="Arial" w:cs="Arial" w:eastAsia="Arial" w:hAnsi="Arial"/>
          <w:sz w:val="16"/>
          <w:szCs w:val="16"/>
          <w:color w:val="auto"/>
        </w:rPr>
      </w:pPr>
    </w:p>
    <w:p>
      <w:pPr>
        <w:ind w:left="620" w:hanging="176"/>
        <w:spacing w:after="0"/>
        <w:tabs>
          <w:tab w:leader="none" w:pos="620" w:val="left"/>
        </w:tabs>
        <w:numPr>
          <w:ilvl w:val="0"/>
          <w:numId w:val="284"/>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52" w:lineRule="exact"/>
        <w:rPr>
          <w:rFonts w:ascii="Arial" w:cs="Arial" w:eastAsia="Arial" w:hAnsi="Arial"/>
          <w:sz w:val="16"/>
          <w:szCs w:val="16"/>
          <w:color w:val="auto"/>
        </w:rPr>
      </w:pPr>
    </w:p>
    <w:p>
      <w:pPr>
        <w:ind w:left="-20" w:right="180" w:firstLine="921"/>
        <w:spacing w:after="0" w:line="277" w:lineRule="auto"/>
        <w:tabs>
          <w:tab w:leader="none" w:pos="113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Purchaser is aware of the Company’s business affairs and financial condition and has acquired sufficient information about the Company to reach an informed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0" w:right="259" w:bottom="1440" w:gutter="0" w:footer="0" w:header="0"/>
        </w:sectPr>
      </w:pPr>
    </w:p>
    <w:bookmarkStart w:id="439" w:name="page440"/>
    <w:bookmarkEnd w:id="439"/>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81" w:lineRule="exact"/>
        <w:rPr>
          <w:sz w:val="20"/>
          <w:szCs w:val="20"/>
          <w:color w:val="auto"/>
        </w:rPr>
      </w:pPr>
    </w:p>
    <w:p>
      <w:pPr>
        <w:ind w:right="180" w:firstLine="921"/>
        <w:spacing w:after="0" w:line="277" w:lineRule="auto"/>
        <w:tabs>
          <w:tab w:leader="none" w:pos="116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70" w:lineRule="exact"/>
        <w:rPr>
          <w:rFonts w:ascii="Arial" w:cs="Arial" w:eastAsia="Arial" w:hAnsi="Arial"/>
          <w:sz w:val="18"/>
          <w:szCs w:val="18"/>
          <w:color w:val="auto"/>
        </w:rPr>
      </w:pPr>
    </w:p>
    <w:p>
      <w:pPr>
        <w:ind w:firstLine="921"/>
        <w:spacing w:after="0" w:line="279" w:lineRule="auto"/>
        <w:tabs>
          <w:tab w:leader="none" w:pos="115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71" w:lineRule="exact"/>
        <w:rPr>
          <w:rFonts w:ascii="Arial" w:cs="Arial" w:eastAsia="Arial" w:hAnsi="Arial"/>
          <w:sz w:val="17"/>
          <w:szCs w:val="17"/>
          <w:color w:val="auto"/>
        </w:rPr>
      </w:pPr>
    </w:p>
    <w:p>
      <w:pPr>
        <w:ind w:right="160" w:firstLine="921"/>
        <w:spacing w:after="0" w:line="291" w:lineRule="auto"/>
        <w:tabs>
          <w:tab w:leader="none" w:pos="116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67" w:lineRule="exact"/>
        <w:rPr>
          <w:rFonts w:ascii="Arial" w:cs="Arial" w:eastAsia="Arial" w:hAnsi="Arial"/>
          <w:sz w:val="16"/>
          <w:szCs w:val="16"/>
          <w:color w:val="auto"/>
        </w:rPr>
      </w:pPr>
    </w:p>
    <w:p>
      <w:pPr>
        <w:ind w:right="100" w:firstLine="921"/>
        <w:spacing w:after="0" w:line="255" w:lineRule="auto"/>
        <w:tabs>
          <w:tab w:leader="none" w:pos="115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93" w:lineRule="exact"/>
        <w:rPr>
          <w:rFonts w:ascii="Arial" w:cs="Arial" w:eastAsia="Arial" w:hAnsi="Arial"/>
          <w:sz w:val="18"/>
          <w:szCs w:val="18"/>
          <w:color w:val="auto"/>
        </w:rPr>
      </w:pPr>
    </w:p>
    <w:p>
      <w:pPr>
        <w:ind w:right="60" w:firstLine="921"/>
        <w:spacing w:after="0" w:line="264" w:lineRule="auto"/>
        <w:tabs>
          <w:tab w:leader="none" w:pos="113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40" w:name="page441"/>
    <w:bookmarkEnd w:id="440"/>
    <w:p>
      <w:pPr>
        <w:ind w:left="620" w:hanging="176"/>
        <w:spacing w:after="0"/>
        <w:tabs>
          <w:tab w:leader="none" w:pos="620" w:val="left"/>
        </w:tabs>
        <w:numPr>
          <w:ilvl w:val="0"/>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Restrictive Legends and Stop-Transfer Orders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921"/>
        <w:spacing w:after="0" w:line="282" w:lineRule="auto"/>
        <w:tabs>
          <w:tab w:leader="none" w:pos="1137"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900" w:right="60" w:hanging="440"/>
        <w:spacing w:after="0" w:line="276" w:lineRule="auto"/>
        <w:tabs>
          <w:tab w:leader="none" w:pos="1900" w:val="left"/>
        </w:tabs>
        <w:numPr>
          <w:ilvl w:val="2"/>
          <w:numId w:val="286"/>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7" w:lineRule="exact"/>
        <w:rPr>
          <w:rFonts w:ascii="Arial" w:cs="Arial" w:eastAsia="Arial" w:hAnsi="Arial"/>
          <w:sz w:val="17"/>
          <w:szCs w:val="17"/>
          <w:color w:val="auto"/>
        </w:rPr>
      </w:pPr>
    </w:p>
    <w:p>
      <w:pPr>
        <w:ind w:left="1900" w:right="100" w:hanging="440"/>
        <w:spacing w:after="0" w:line="264" w:lineRule="auto"/>
        <w:tabs>
          <w:tab w:leader="none" w:pos="1900" w:val="left"/>
        </w:tabs>
        <w:numPr>
          <w:ilvl w:val="2"/>
          <w:numId w:val="286"/>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177" w:lineRule="exact"/>
        <w:rPr>
          <w:rFonts w:ascii="Arial" w:cs="Arial" w:eastAsia="Arial" w:hAnsi="Arial"/>
          <w:sz w:val="18"/>
          <w:szCs w:val="18"/>
          <w:color w:val="auto"/>
        </w:rPr>
      </w:pPr>
    </w:p>
    <w:p>
      <w:pPr>
        <w:jc w:val="both"/>
        <w:ind w:left="-20" w:right="100" w:firstLine="921"/>
        <w:spacing w:after="0" w:line="266" w:lineRule="auto"/>
        <w:tabs>
          <w:tab w:leader="none" w:pos="1148"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76" w:lineRule="exact"/>
        <w:rPr>
          <w:rFonts w:ascii="Arial" w:cs="Arial" w:eastAsia="Arial" w:hAnsi="Arial"/>
          <w:sz w:val="18"/>
          <w:szCs w:val="18"/>
          <w:color w:val="auto"/>
        </w:rPr>
      </w:pPr>
    </w:p>
    <w:p>
      <w:pPr>
        <w:ind w:left="-20" w:firstLine="921"/>
        <w:spacing w:after="0" w:line="266" w:lineRule="auto"/>
        <w:tabs>
          <w:tab w:leader="none" w:pos="1137" w:val="left"/>
        </w:tabs>
        <w:numPr>
          <w:ilvl w:val="1"/>
          <w:numId w:val="286"/>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Arial" w:cs="Arial" w:eastAsia="Arial" w:hAnsi="Arial"/>
          <w:sz w:val="18"/>
          <w:szCs w:val="18"/>
          <w:color w:val="auto"/>
        </w:rPr>
      </w:pPr>
    </w:p>
    <w:p>
      <w:pPr>
        <w:ind w:left="-20" w:right="560" w:firstLine="464"/>
        <w:spacing w:after="0" w:line="313" w:lineRule="auto"/>
        <w:tabs>
          <w:tab w:leader="none" w:pos="616" w:val="left"/>
        </w:tabs>
        <w:numPr>
          <w:ilvl w:val="0"/>
          <w:numId w:val="286"/>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138" w:lineRule="exact"/>
        <w:rPr>
          <w:rFonts w:ascii="Arial" w:cs="Arial" w:eastAsia="Arial" w:hAnsi="Arial"/>
          <w:sz w:val="17"/>
          <w:szCs w:val="17"/>
          <w:color w:val="auto"/>
        </w:rPr>
      </w:pPr>
    </w:p>
    <w:p>
      <w:pPr>
        <w:ind w:left="-20" w:right="100" w:firstLine="464"/>
        <w:spacing w:after="0" w:line="314" w:lineRule="auto"/>
        <w:tabs>
          <w:tab w:leader="none" w:pos="616" w:val="left"/>
        </w:tabs>
        <w:numPr>
          <w:ilvl w:val="0"/>
          <w:numId w:val="286"/>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69" w:right="259" w:bottom="1440" w:gutter="0" w:footer="0" w:header="0"/>
        </w:sectPr>
      </w:pPr>
    </w:p>
    <w:bookmarkStart w:id="441" w:name="page442"/>
    <w:bookmarkEnd w:id="44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prior written consent of the Company or such underwriters, as the case may be, for such period of time (not to exceed one hundred eighty</w:t>
      </w:r>
    </w:p>
    <w:p>
      <w:pPr>
        <w:spacing w:after="0" w:line="35" w:lineRule="exact"/>
        <w:rPr>
          <w:sz w:val="20"/>
          <w:szCs w:val="20"/>
          <w:color w:val="auto"/>
        </w:rPr>
      </w:pPr>
    </w:p>
    <w:p>
      <w:pPr>
        <w:ind w:right="320" w:firstLine="8"/>
        <w:spacing w:after="0" w:line="261" w:lineRule="auto"/>
        <w:tabs>
          <w:tab w:leader="none" w:pos="4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79" w:lineRule="exact"/>
        <w:rPr>
          <w:rFonts w:ascii="Arial" w:cs="Arial" w:eastAsia="Arial" w:hAnsi="Arial"/>
          <w:sz w:val="18"/>
          <w:szCs w:val="18"/>
          <w:color w:val="auto"/>
        </w:rPr>
      </w:pPr>
    </w:p>
    <w:p>
      <w:pPr>
        <w:ind w:left="640" w:hanging="176"/>
        <w:spacing w:after="0"/>
        <w:tabs>
          <w:tab w:leader="none" w:pos="640" w:val="left"/>
        </w:tabs>
        <w:numPr>
          <w:ilvl w:val="1"/>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280" w:firstLine="921"/>
        <w:spacing w:after="0" w:line="347" w:lineRule="auto"/>
        <w:tabs>
          <w:tab w:leader="none" w:pos="1157" w:val="left"/>
        </w:tabs>
        <w:numPr>
          <w:ilvl w:val="2"/>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116" w:lineRule="exact"/>
        <w:rPr>
          <w:rFonts w:ascii="Arial" w:cs="Arial" w:eastAsia="Arial" w:hAnsi="Arial"/>
          <w:sz w:val="16"/>
          <w:szCs w:val="16"/>
          <w:color w:val="auto"/>
        </w:rPr>
      </w:pPr>
    </w:p>
    <w:p>
      <w:pPr>
        <w:ind w:firstLine="921"/>
        <w:spacing w:after="0" w:line="261" w:lineRule="auto"/>
        <w:tabs>
          <w:tab w:leader="none" w:pos="1168" w:val="left"/>
        </w:tabs>
        <w:numPr>
          <w:ilvl w:val="2"/>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rFonts w:ascii="Arial" w:cs="Arial" w:eastAsia="Arial" w:hAnsi="Arial"/>
          <w:sz w:val="18"/>
          <w:szCs w:val="18"/>
          <w:color w:val="auto"/>
        </w:rPr>
      </w:pPr>
    </w:p>
    <w:p>
      <w:pPr>
        <w:ind w:right="120" w:firstLine="921"/>
        <w:spacing w:after="0" w:line="261" w:lineRule="auto"/>
        <w:tabs>
          <w:tab w:leader="none" w:pos="1157" w:val="left"/>
        </w:tabs>
        <w:numPr>
          <w:ilvl w:val="2"/>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80" w:lineRule="exact"/>
        <w:rPr>
          <w:rFonts w:ascii="Arial" w:cs="Arial" w:eastAsia="Arial" w:hAnsi="Arial"/>
          <w:sz w:val="18"/>
          <w:szCs w:val="18"/>
          <w:color w:val="auto"/>
        </w:rPr>
      </w:pPr>
    </w:p>
    <w:p>
      <w:pPr>
        <w:jc w:val="both"/>
        <w:ind w:right="80" w:firstLine="921"/>
        <w:spacing w:after="0" w:line="266" w:lineRule="auto"/>
        <w:tabs>
          <w:tab w:leader="none" w:pos="1168" w:val="left"/>
        </w:tabs>
        <w:numPr>
          <w:ilvl w:val="2"/>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176" w:lineRule="exact"/>
        <w:rPr>
          <w:rFonts w:ascii="Arial" w:cs="Arial" w:eastAsia="Arial" w:hAnsi="Arial"/>
          <w:sz w:val="18"/>
          <w:szCs w:val="18"/>
          <w:color w:val="auto"/>
        </w:rPr>
      </w:pPr>
    </w:p>
    <w:p>
      <w:pPr>
        <w:jc w:val="both"/>
        <w:ind w:right="100" w:firstLine="921"/>
        <w:spacing w:after="0" w:line="289" w:lineRule="auto"/>
        <w:tabs>
          <w:tab w:leader="none" w:pos="1157" w:val="left"/>
        </w:tabs>
        <w:numPr>
          <w:ilvl w:val="2"/>
          <w:numId w:val="28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Agreement shall be in writing and shall be deemed sufficient when delivered personally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rFonts w:ascii="Arial" w:cs="Arial" w:eastAsia="Arial" w:hAnsi="Arial"/>
          <w:sz w:val="17"/>
          <w:szCs w:val="17"/>
          <w:color w:val="auto"/>
        </w:rPr>
      </w:pPr>
    </w:p>
    <w:p>
      <w:pPr>
        <w:ind w:right="60" w:firstLine="921"/>
        <w:spacing w:after="0" w:line="282" w:lineRule="auto"/>
        <w:tabs>
          <w:tab w:leader="none" w:pos="1138" w:val="left"/>
        </w:tabs>
        <w:numPr>
          <w:ilvl w:val="2"/>
          <w:numId w:val="28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(2)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61" w:lineRule="exact"/>
        <w:rPr>
          <w:rFonts w:ascii="Arial" w:cs="Arial" w:eastAsia="Arial" w:hAnsi="Arial"/>
          <w:sz w:val="18"/>
          <w:szCs w:val="18"/>
          <w:color w:val="auto"/>
        </w:rPr>
      </w:pPr>
    </w:p>
    <w:p>
      <w:pPr>
        <w:ind w:right="200" w:firstLine="921"/>
        <w:spacing w:after="0" w:line="347" w:lineRule="auto"/>
        <w:tabs>
          <w:tab w:leader="none" w:pos="1168" w:val="left"/>
        </w:tabs>
        <w:numPr>
          <w:ilvl w:val="2"/>
          <w:numId w:val="287"/>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3" w:right="279" w:bottom="1440" w:gutter="0" w:footer="0" w:header="0"/>
        </w:sectPr>
      </w:pPr>
    </w:p>
    <w:bookmarkStart w:id="442" w:name="page443"/>
    <w:bookmarkEnd w:id="442"/>
    <w:p>
      <w:pPr>
        <w:ind w:left="-240" w:firstLine="921"/>
        <w:spacing w:after="0" w:line="256" w:lineRule="auto"/>
        <w:tabs>
          <w:tab w:leader="none" w:pos="928" w:val="left"/>
        </w:tabs>
        <w:numPr>
          <w:ilvl w:val="0"/>
          <w:numId w:val="288"/>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California Corporate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SECURITIES WHICH ARE THE SUBJECT OF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80" w:top="270" w:right="479" w:bottom="1440" w:gutter="0" w:footer="0" w:header="0"/>
        </w:sectPr>
      </w:pPr>
    </w:p>
    <w:bookmarkStart w:id="443" w:name="page444"/>
    <w:bookmarkEnd w:id="4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7060" w:type="dxa"/>
            <w:vAlign w:val="bottom"/>
            <w:gridSpan w:val="2"/>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10840" w:type="dxa"/>
            <w:vAlign w:val="bottom"/>
            <w:gridSpan w:val="3"/>
          </w:tcPr>
          <w:p>
            <w:pPr>
              <w:ind w:left="480"/>
              <w:spacing w:after="0"/>
              <w:rPr>
                <w:sz w:val="20"/>
                <w:szCs w:val="20"/>
                <w:color w:val="auto"/>
              </w:rPr>
            </w:pPr>
            <w:r>
              <w:rPr>
                <w:rFonts w:ascii="Arial" w:cs="Arial" w:eastAsia="Arial" w:hAnsi="Arial"/>
                <w:sz w:val="18"/>
                <w:szCs w:val="18"/>
                <w:color w:val="auto"/>
                <w:w w:val="91"/>
              </w:rPr>
              <w:t>, spouse of «Name», have read and hereby approve the foregoing Agreement. In consideration of the Company’s granting my spouse the right</w:t>
            </w:r>
          </w:p>
        </w:tc>
      </w:tr>
    </w:tbl>
    <w:p>
      <w:pPr>
        <w:jc w:val="both"/>
        <w:ind w:right="40"/>
        <w:spacing w:after="0" w:line="255" w:lineRule="auto"/>
        <w:rPr>
          <w:sz w:val="20"/>
          <w:szCs w:val="20"/>
          <w:color w:val="auto"/>
        </w:rPr>
      </w:pPr>
      <w:r>
        <w:rPr>
          <w:rFonts w:ascii="Arial" w:cs="Arial" w:eastAsia="Arial" w:hAnsi="Arial"/>
          <w:sz w:val="18"/>
          <w:szCs w:val="18"/>
          <w:color w:val="auto"/>
        </w:rPr>
        <w:t>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284480</wp:posOffset>
            </wp:positionV>
            <wp:extent cx="289877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444" w:name="page445"/>
    <w:bookmarkEnd w:id="444"/>
    <w:p>
      <w:pPr>
        <w:jc w:val="center"/>
        <w:ind w:right="-8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w:t>
      </w:r>
    </w:p>
    <w:p>
      <w:pPr>
        <w:spacing w:after="0" w:line="229" w:lineRule="exact"/>
        <w:rPr>
          <w:sz w:val="20"/>
          <w:szCs w:val="20"/>
          <w:color w:val="auto"/>
        </w:rPr>
      </w:pPr>
    </w:p>
    <w:p>
      <w:pPr>
        <w:ind w:left="460"/>
        <w:spacing w:after="0"/>
        <w:tabs>
          <w:tab w:leader="none" w:pos="5360" w:val="left"/>
          <w:tab w:leader="none" w:pos="6380" w:val="left"/>
        </w:tabs>
        <w:rPr>
          <w:sz w:val="20"/>
          <w:szCs w:val="20"/>
          <w:color w:val="auto"/>
        </w:rPr>
      </w:pPr>
      <w:r>
        <w:rPr>
          <w:rFonts w:ascii="Arial" w:cs="Arial" w:eastAsia="Arial" w:hAnsi="Arial"/>
          <w:sz w:val="18"/>
          <w:szCs w:val="18"/>
          <w:color w:val="auto"/>
        </w:rPr>
        <w:t>The undersigned hereby acknowledges receipt of Certificate No.</w:t>
        <w:tab/>
        <w:t>for</w:t>
      </w:r>
      <w:r>
        <w:rPr>
          <w:sz w:val="20"/>
          <w:szCs w:val="20"/>
          <w:color w:val="auto"/>
        </w:rPr>
        <w:tab/>
      </w:r>
      <w:r>
        <w:rPr>
          <w:rFonts w:ascii="Arial" w:cs="Arial" w:eastAsia="Arial" w:hAnsi="Arial"/>
          <w:sz w:val="16"/>
          <w:szCs w:val="16"/>
          <w:color w:val="auto"/>
        </w:rPr>
        <w:t>shares of Common Stock of Syndax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2588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306705</wp:posOffset>
            </wp:positionV>
            <wp:extent cx="318135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580"/>
          </w:cols>
          <w:pgMar w:left="240" w:top="270" w:right="1079" w:bottom="1440" w:gutter="0" w:footer="0" w:header="0"/>
        </w:sectPr>
      </w:pPr>
    </w:p>
    <w:bookmarkStart w:id="445" w:name="page446"/>
    <w:bookmarkEnd w:id="445"/>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RECEIPT</w:t>
            </w:r>
          </w:p>
        </w:tc>
        <w:tc>
          <w:tcPr>
            <w:tcW w:w="22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12"/>
        </w:trPr>
        <w:tc>
          <w:tcPr>
            <w:tcW w:w="8360" w:type="dxa"/>
            <w:vAlign w:val="bottom"/>
            <w:gridSpan w:val="6"/>
          </w:tcPr>
          <w:p>
            <w:pPr>
              <w:ind w:left="460"/>
              <w:spacing w:after="0"/>
              <w:rPr>
                <w:sz w:val="20"/>
                <w:szCs w:val="20"/>
                <w:color w:val="auto"/>
              </w:rPr>
            </w:pPr>
            <w:r>
              <w:rPr>
                <w:rFonts w:ascii="Arial" w:cs="Arial" w:eastAsia="Arial" w:hAnsi="Arial"/>
                <w:sz w:val="18"/>
                <w:szCs w:val="18"/>
                <w:color w:val="auto"/>
                <w:w w:val="92"/>
              </w:rPr>
              <w:t>Syndax Pharmaceuticals, Inc. (the “Company”) hereby acknowledges receipt of a check in the amount of $</w:t>
            </w:r>
          </w:p>
        </w:tc>
        <w:tc>
          <w:tcPr>
            <w:tcW w:w="2960" w:type="dxa"/>
            <w:vAlign w:val="bottom"/>
          </w:tcPr>
          <w:p>
            <w:pPr>
              <w:ind w:left="220"/>
              <w:spacing w:after="0"/>
              <w:rPr>
                <w:sz w:val="20"/>
                <w:szCs w:val="20"/>
                <w:color w:val="auto"/>
              </w:rPr>
            </w:pPr>
            <w:r>
              <w:rPr>
                <w:rFonts w:ascii="Arial" w:cs="Arial" w:eastAsia="Arial" w:hAnsi="Arial"/>
                <w:sz w:val="18"/>
                <w:szCs w:val="18"/>
                <w:color w:val="auto"/>
                <w:w w:val="90"/>
              </w:rPr>
              <w:t>given by «Name» as consideration for</w:t>
            </w:r>
          </w:p>
        </w:tc>
      </w:tr>
      <w:tr>
        <w:trPr>
          <w:trHeight w:val="20"/>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Certificate No.   for</w:t>
            </w:r>
          </w:p>
        </w:tc>
        <w:tc>
          <w:tcPr>
            <w:tcW w:w="6400" w:type="dxa"/>
            <w:vAlign w:val="bottom"/>
            <w:gridSpan w:val="5"/>
          </w:tcPr>
          <w:p>
            <w:pPr>
              <w:ind w:left="400"/>
              <w:spacing w:after="0"/>
              <w:rPr>
                <w:sz w:val="20"/>
                <w:szCs w:val="20"/>
                <w:color w:val="auto"/>
              </w:rPr>
            </w:pPr>
            <w:r>
              <w:rPr>
                <w:rFonts w:ascii="Arial" w:cs="Arial" w:eastAsia="Arial" w:hAnsi="Arial"/>
                <w:sz w:val="18"/>
                <w:szCs w:val="18"/>
                <w:color w:val="auto"/>
              </w:rPr>
              <w:t>shares of Common Stock of the Company.</w:t>
            </w:r>
          </w:p>
        </w:tc>
        <w:tc>
          <w:tcPr>
            <w:tcW w:w="296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2"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24"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14605</wp:posOffset>
            </wp:positionV>
            <wp:extent cx="303593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ectPr>
          <w:pgSz w:w="11900" w:h="16838" w:orient="portrait"/>
          <w:cols w:equalWidth="0" w:num="1">
            <w:col w:w="11320"/>
          </w:cols>
          <w:pgMar w:left="240" w:top="256" w:right="339" w:bottom="1440" w:gutter="0" w:footer="0" w:header="0"/>
        </w:sectPr>
      </w:pPr>
    </w:p>
    <w:bookmarkStart w:id="446" w:name="page447"/>
    <w:bookmarkEnd w:id="446"/>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OF STOCK OPTION GRANT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have been granted an option to purchase Common Stock of Syndax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as follows: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14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Exercise Price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«Price»</w:t>
      </w:r>
    </w:p>
    <w:p>
      <w:pPr>
        <w:spacing w:after="0" w:line="14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Total Number of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«NQSO»</w:t>
      </w:r>
    </w:p>
    <w:p>
      <w:pPr>
        <w:spacing w:after="0" w:line="140" w:lineRule="exact"/>
        <w:rPr>
          <w:sz w:val="20"/>
          <w:szCs w:val="20"/>
          <w:color w:val="auto"/>
        </w:rPr>
      </w:pPr>
    </w:p>
    <w:p>
      <w:pPr>
        <w:sectPr>
          <w:pgSz w:w="11900" w:h="16838" w:orient="portrait"/>
          <w:cols w:equalWidth="0" w:num="2">
            <w:col w:w="2860" w:space="56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«NQSO_Exercise»</w:t>
      </w:r>
    </w:p>
    <w:p>
      <w:pPr>
        <w:spacing w:after="0" w:line="14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Non-Statutory Stock Option</w:t>
      </w:r>
    </w:p>
    <w:p>
      <w:pPr>
        <w:spacing w:after="0" w:line="14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«Expiration Date»</w:t>
      </w:r>
    </w:p>
    <w:p>
      <w:pPr>
        <w:spacing w:after="0" w:line="140"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«Vest Date»</w:t>
      </w:r>
    </w:p>
    <w:p>
      <w:pPr>
        <w:spacing w:after="0" w:line="151"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Vesting/Exercise Schedule:</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7"/>
          <w:szCs w:val="17"/>
          <w:color w:val="auto"/>
        </w:rPr>
        <w:t>This Option may be exercised, in whole or in part, at any time or from time to time after the Date of Grant. So long as your Continuous Service Status with the Company continues, the Shares underlying this Option shall vest in accordance with the following schedule: twenty-five percent (25%) of the total number of Shares subject to the Option shall vest on the Grant Date and 1/36</w:t>
      </w:r>
      <w:r>
        <w:rPr>
          <w:rFonts w:ascii="Arial" w:cs="Arial" w:eastAsia="Arial" w:hAnsi="Arial"/>
          <w:sz w:val="14"/>
          <w:szCs w:val="14"/>
          <w:color w:val="auto"/>
        </w:rPr>
        <w:t>th</w:t>
      </w:r>
      <w:r>
        <w:rPr>
          <w:rFonts w:ascii="Arial" w:cs="Arial" w:eastAsia="Arial" w:hAnsi="Arial"/>
          <w:sz w:val="17"/>
          <w:szCs w:val="17"/>
          <w:color w:val="auto"/>
        </w:rPr>
        <w:t xml:space="preserve"> of the total remaining number of Shares subject to the Option shall vest on the same day of each month thereafter.</w:t>
      </w:r>
    </w:p>
    <w:p>
      <w:pPr>
        <w:spacing w:after="0" w:line="64"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Termination Period:</w:t>
      </w:r>
    </w:p>
    <w:p>
      <w:pPr>
        <w:spacing w:after="0" w:line="20" w:lineRule="exact"/>
        <w:rPr>
          <w:sz w:val="20"/>
          <w:szCs w:val="20"/>
          <w:color w:val="auto"/>
        </w:rPr>
      </w:pPr>
      <w:r>
        <w:rPr>
          <w:sz w:val="20"/>
          <w:szCs w:val="20"/>
          <w:color w:val="auto"/>
        </w:rPr>
        <w:br w:type="column"/>
      </w:r>
    </w:p>
    <w:p>
      <w:pPr>
        <w:jc w:val="both"/>
        <w:ind w:right="60"/>
        <w:spacing w:after="0" w:line="302" w:lineRule="auto"/>
        <w:rPr>
          <w:sz w:val="20"/>
          <w:szCs w:val="20"/>
          <w:color w:val="auto"/>
        </w:rPr>
      </w:pPr>
      <w:r>
        <w:rPr>
          <w:rFonts w:ascii="Arial" w:cs="Arial" w:eastAsia="Arial" w:hAnsi="Arial"/>
          <w:sz w:val="16"/>
          <w:szCs w:val="16"/>
          <w:color w:val="auto"/>
        </w:rPr>
        <w:t>This Option may be exercised for ninety (90) days after termination of Optionee’s Continuous Service Status except as set out in Section 5 of the Stock Option Agreement (but in no event later than the Expiration Date). Optionee is responsible for keeping track of these exercise periods following termination for any reason of his or her service relationship with the Company. The Company will not provide further notice of such periods.</w:t>
      </w:r>
    </w:p>
    <w:p>
      <w:pPr>
        <w:spacing w:after="0" w:line="46" w:lineRule="exact"/>
        <w:rPr>
          <w:sz w:val="20"/>
          <w:szCs w:val="20"/>
          <w:color w:val="auto"/>
        </w:rPr>
      </w:pPr>
    </w:p>
    <w:p>
      <w:pPr>
        <w:sectPr>
          <w:pgSz w:w="11900" w:h="16838" w:orient="portrait"/>
          <w:cols w:equalWidth="0" w:num="2">
            <w:col w:w="2700" w:space="720"/>
            <w:col w:w="8000"/>
          </w:cols>
          <w:pgMar w:left="240" w:top="121"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Transferability: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This Option may not be transferred.</w:t>
      </w:r>
    </w:p>
    <w:p>
      <w:pPr>
        <w:sectPr>
          <w:pgSz w:w="11900" w:h="16838" w:orient="portrait"/>
          <w:cols w:equalWidth="0" w:num="2">
            <w:col w:w="2700" w:space="720"/>
            <w:col w:w="8000"/>
          </w:cols>
          <w:pgMar w:left="240" w:top="121" w:right="239" w:bottom="1440" w:gutter="0" w:footer="0" w:header="0"/>
          <w:type w:val="continuous"/>
        </w:sectPr>
      </w:pPr>
    </w:p>
    <w:bookmarkStart w:id="447" w:name="page448"/>
    <w:bookmarkEnd w:id="447"/>
    <w:p>
      <w:pPr>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your signature and the signature of the Company’s representative below, you and the Company agree that this option is granted under and governed by the terms and conditions of the Syndax Pharmaceuticals, Inc. 2007 Stock Plan and the Stock Option Agreement, both of which are attached and made a part of this document.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you agree and acknowledge that your rights to any Shares underlying the Option will be earned only as you provide services to the Company over time, that the grant of the Option is not as consideration for services you rendered to the Company prior to your Vesting Commencement Date, and that nothing in this Notice or the attached documents confers upon you any right to continue your employment or consulting relationship with the Company for any period of time, nor does it interfere in any way with your right or the Company’s right to terminate that relationship at any time, for any reason, with or without cause.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w w:val="89"/>
              </w:rPr>
              <w:t>Dated:«Date»</w:t>
            </w:r>
          </w:p>
        </w:tc>
        <w:tc>
          <w:tcPr>
            <w:tcW w:w="6020" w:type="dxa"/>
            <w:vAlign w:val="bottom"/>
            <w:gridSpan w:val="2"/>
          </w:tcPr>
          <w:p>
            <w:pPr>
              <w:ind w:left="680"/>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02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209"/>
        </w:trPr>
        <w:tc>
          <w:tcPr>
            <w:tcW w:w="20" w:type="dxa"/>
            <w:vAlign w:val="bottom"/>
          </w:tcPr>
          <w:p>
            <w:pPr>
              <w:spacing w:after="0"/>
              <w:rPr>
                <w:sz w:val="18"/>
                <w:szCs w:val="18"/>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1460" w:type="dxa"/>
            <w:vAlign w:val="bottom"/>
          </w:tcPr>
          <w:p>
            <w:pPr>
              <w:ind w:left="680"/>
              <w:spacing w:after="0"/>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020" w:type="dxa"/>
            <w:vAlign w:val="bottom"/>
            <w:gridSpan w:val="2"/>
          </w:tcPr>
          <w:p>
            <w:pPr>
              <w:ind w:left="680"/>
              <w:spacing w:after="0"/>
              <w:rPr>
                <w:sz w:val="20"/>
                <w:szCs w:val="20"/>
                <w:color w:val="auto"/>
              </w:rPr>
            </w:pPr>
            <w:r>
              <w:rPr>
                <w:rFonts w:ascii="Arial" w:cs="Arial" w:eastAsia="Arial" w:hAnsi="Arial"/>
                <w:sz w:val="18"/>
                <w:szCs w:val="18"/>
                <w:color w:val="auto"/>
              </w:rPr>
              <w:t>«Title»</w:t>
            </w:r>
          </w:p>
        </w:tc>
      </w:tr>
      <w:tr>
        <w:trPr>
          <w:trHeight w:val="365"/>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60" w:type="dxa"/>
            <w:vAlign w:val="bottom"/>
          </w:tcPr>
          <w:p>
            <w:pPr>
              <w:ind w:left="200"/>
              <w:spacing w:after="0"/>
              <w:rPr>
                <w:sz w:val="20"/>
                <w:szCs w:val="20"/>
                <w:color w:val="auto"/>
              </w:rPr>
            </w:pPr>
            <w:r>
              <w:rPr>
                <w:rFonts w:ascii="Arial" w:cs="Arial" w:eastAsia="Arial" w:hAnsi="Arial"/>
                <w:sz w:val="18"/>
                <w:szCs w:val="18"/>
                <w:color w:val="auto"/>
              </w:rPr>
              <w:t>-2-</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SYNDAX PHARMACEUTICALS,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Grant of Option</w:t>
      </w:r>
      <w:r>
        <w:rPr>
          <w:rFonts w:ascii="Arial" w:cs="Arial" w:eastAsia="Arial" w:hAnsi="Arial"/>
          <w:sz w:val="16"/>
          <w:szCs w:val="16"/>
          <w:b w:val="1"/>
          <w:bCs w:val="1"/>
          <w:color w:val="auto"/>
        </w:rPr>
        <w:t>.</w:t>
      </w:r>
      <w:r>
        <w:rPr>
          <w:rFonts w:ascii="Arial" w:cs="Arial" w:eastAsia="Arial" w:hAnsi="Arial"/>
          <w:sz w:val="16"/>
          <w:szCs w:val="16"/>
          <w:color w:val="auto"/>
        </w:rPr>
        <w:t xml:space="preserve"> Syndax Pharmaceuticals, Inc., a Delaware corporation (the “</w:t>
      </w:r>
      <w:r>
        <w:rPr>
          <w:rFonts w:ascii="Arial" w:cs="Arial" w:eastAsia="Arial" w:hAnsi="Arial"/>
          <w:sz w:val="16"/>
          <w:szCs w:val="16"/>
          <w:u w:val="single" w:color="auto"/>
          <w:color w:val="auto"/>
        </w:rPr>
        <w:t>Compan</w:t>
      </w:r>
      <w:r>
        <w:rPr>
          <w:rFonts w:ascii="Arial" w:cs="Arial" w:eastAsia="Arial" w:hAnsi="Arial"/>
          <w:sz w:val="16"/>
          <w:szCs w:val="16"/>
          <w:color w:val="auto"/>
        </w:rPr>
        <w:t>y”), hereby grants to «Name» (“</w:t>
      </w:r>
      <w:r>
        <w:rPr>
          <w:rFonts w:ascii="Arial" w:cs="Arial" w:eastAsia="Arial" w:hAnsi="Arial"/>
          <w:sz w:val="16"/>
          <w:szCs w:val="16"/>
          <w:u w:val="single" w:color="auto"/>
          <w:color w:val="auto"/>
        </w:rPr>
        <w:t>Optionee</w:t>
      </w:r>
      <w:r>
        <w:rPr>
          <w:rFonts w:ascii="Arial" w:cs="Arial" w:eastAsia="Arial" w:hAnsi="Arial"/>
          <w:sz w:val="16"/>
          <w:szCs w:val="16"/>
          <w:color w:val="auto"/>
        </w:rPr>
        <w:t>”), an option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to purchase the total number of shares of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set forth in the Notice of Stock Option Grant (the “</w:t>
      </w:r>
      <w:r>
        <w:rPr>
          <w:rFonts w:ascii="Arial" w:cs="Arial" w:eastAsia="Arial" w:hAnsi="Arial"/>
          <w:sz w:val="16"/>
          <w:szCs w:val="16"/>
          <w:u w:val="single" w:color="auto"/>
          <w:color w:val="auto"/>
        </w:rPr>
        <w:t>Notice</w:t>
      </w:r>
      <w:r>
        <w:rPr>
          <w:rFonts w:ascii="Arial" w:cs="Arial" w:eastAsia="Arial" w:hAnsi="Arial"/>
          <w:sz w:val="16"/>
          <w:szCs w:val="16"/>
          <w:color w:val="auto"/>
        </w:rPr>
        <w:t>”), at the exercise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per Share set forth in the Notice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subject to the terms, definitions and provisions of the Syndax Pharmaceuticals, Inc. 2007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(the “</w:t>
      </w:r>
      <w:r>
        <w:rPr>
          <w:rFonts w:ascii="Arial" w:cs="Arial" w:eastAsia="Arial" w:hAnsi="Arial"/>
          <w:sz w:val="16"/>
          <w:szCs w:val="16"/>
          <w:u w:val="single" w:color="auto"/>
          <w:color w:val="auto"/>
        </w:rPr>
        <w:t>Plan</w:t>
      </w:r>
      <w:r>
        <w:rPr>
          <w:rFonts w:ascii="Arial" w:cs="Arial" w:eastAsia="Arial" w:hAnsi="Arial"/>
          <w:sz w:val="16"/>
          <w:szCs w:val="16"/>
          <w:color w:val="auto"/>
        </w:rPr>
        <w:t>”) adopted by the Company, which is incorporated in this Agreement by reference. Unless otherwise defined in this Agreement, the terms used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shall have the meanings defined in the Plan.</w:t>
      </w:r>
    </w:p>
    <w:p>
      <w:pPr>
        <w:spacing w:after="0" w:line="207" w:lineRule="exact"/>
        <w:rPr>
          <w:sz w:val="20"/>
          <w:szCs w:val="20"/>
          <w:color w:val="auto"/>
        </w:rPr>
      </w:pPr>
    </w:p>
    <w:p>
      <w:pPr>
        <w:ind w:left="640" w:hanging="176"/>
        <w:spacing w:after="0"/>
        <w:tabs>
          <w:tab w:leader="none" w:pos="640" w:val="left"/>
        </w:tabs>
        <w:numPr>
          <w:ilvl w:val="0"/>
          <w:numId w:val="289"/>
        </w:numPr>
        <w:rPr>
          <w:rFonts w:ascii="Arial" w:cs="Arial" w:eastAsia="Arial" w:hAnsi="Arial"/>
          <w:sz w:val="17"/>
          <w:szCs w:val="17"/>
          <w:color w:val="auto"/>
        </w:rPr>
      </w:pPr>
      <w:r>
        <w:rPr>
          <w:rFonts w:ascii="Arial" w:cs="Arial" w:eastAsia="Arial" w:hAnsi="Arial"/>
          <w:sz w:val="17"/>
          <w:szCs w:val="17"/>
          <w:b w:val="1"/>
          <w:bCs w:val="1"/>
          <w:u w:val="single" w:color="auto"/>
          <w:color w:val="auto"/>
        </w:rPr>
        <w:t>Designation of Option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Option is intended to be an Incentive Stock Option as defined in Section 422 of the Code only to the extent so</w:t>
      </w:r>
    </w:p>
    <w:p>
      <w:pPr>
        <w:spacing w:after="0" w:line="38" w:lineRule="exact"/>
        <w:rPr>
          <w:rFonts w:ascii="Arial" w:cs="Arial" w:eastAsia="Arial" w:hAnsi="Arial"/>
          <w:sz w:val="17"/>
          <w:szCs w:val="17"/>
          <w:color w:val="auto"/>
        </w:rPr>
      </w:pPr>
    </w:p>
    <w:p>
      <w:pPr>
        <w:ind w:right="60"/>
        <w:spacing w:after="0" w:line="261" w:lineRule="auto"/>
        <w:rPr>
          <w:rFonts w:ascii="Arial" w:cs="Arial" w:eastAsia="Arial" w:hAnsi="Arial"/>
          <w:sz w:val="17"/>
          <w:szCs w:val="17"/>
          <w:color w:val="auto"/>
        </w:rPr>
      </w:pPr>
      <w:r>
        <w:rPr>
          <w:rFonts w:ascii="Arial" w:cs="Arial" w:eastAsia="Arial" w:hAnsi="Arial"/>
          <w:sz w:val="18"/>
          <w:szCs w:val="18"/>
          <w:color w:val="auto"/>
        </w:rPr>
        <w:t>designated in the Notice, and to the extent it is not so designated or to the extent the Option does not qualify as an Incentive Stock Option, it is intended to be a Nonstatutory Stock Option.</w:t>
      </w:r>
    </w:p>
    <w:p>
      <w:pPr>
        <w:spacing w:after="0" w:line="184"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Notwithstanding the above, if designated as an Incentive Stock Option, in the event that the Shares subject to this Option (and all other Incentive Stock Options granted to Optionee by the Company or any Parent or Subsidiary, including under other plans of the Company) that first become exercisable in any calendar year have an aggregate fair market value (determined for each Share as of the date of grant of the option covering such Share) in excess of $100,000, the Shares in excess of $100,000 shall be treated as subject to a Nonstatutory Stock Option, in accordance with Section 5(c) of the Plan.</w:t>
      </w:r>
    </w:p>
    <w:p>
      <w:pPr>
        <w:spacing w:after="0" w:line="150" w:lineRule="exact"/>
        <w:rPr>
          <w:sz w:val="20"/>
          <w:szCs w:val="20"/>
          <w:color w:val="auto"/>
        </w:rPr>
      </w:pPr>
    </w:p>
    <w:p>
      <w:pPr>
        <w:ind w:right="20" w:firstLine="464"/>
        <w:spacing w:after="0" w:line="282" w:lineRule="auto"/>
        <w:tabs>
          <w:tab w:leader="none" w:pos="636" w:val="left"/>
        </w:tabs>
        <w:numPr>
          <w:ilvl w:val="0"/>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shall be exercisable during its term in accordance with the Vesting/Exercise Schedule set out in the Notice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Section 10 of the Plan as follows:</w:t>
      </w:r>
    </w:p>
    <w:p>
      <w:pPr>
        <w:spacing w:after="0" w:line="161" w:lineRule="exact"/>
        <w:rPr>
          <w:rFonts w:ascii="Arial" w:cs="Arial" w:eastAsia="Arial" w:hAnsi="Arial"/>
          <w:sz w:val="18"/>
          <w:szCs w:val="18"/>
          <w:color w:val="auto"/>
        </w:rPr>
      </w:pPr>
    </w:p>
    <w:p>
      <w:pPr>
        <w:ind w:left="1160" w:hanging="239"/>
        <w:spacing w:after="0"/>
        <w:tabs>
          <w:tab w:leader="none" w:pos="1160" w:val="left"/>
        </w:tabs>
        <w:numPr>
          <w:ilvl w:val="1"/>
          <w:numId w:val="29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to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700" w:hanging="208"/>
        <w:spacing w:after="0"/>
        <w:tabs>
          <w:tab w:leader="none" w:pos="170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This Option may not be exercised for a fraction of a share.</w:t>
      </w:r>
    </w:p>
    <w:p>
      <w:pPr>
        <w:spacing w:after="0" w:line="225" w:lineRule="exact"/>
        <w:rPr>
          <w:rFonts w:ascii="Arial" w:cs="Arial" w:eastAsia="Arial" w:hAnsi="Arial"/>
          <w:sz w:val="18"/>
          <w:szCs w:val="18"/>
          <w:color w:val="auto"/>
        </w:rPr>
      </w:pPr>
    </w:p>
    <w:p>
      <w:pPr>
        <w:ind w:right="520" w:firstLine="1492"/>
        <w:spacing w:after="0" w:line="277" w:lineRule="auto"/>
        <w:tabs>
          <w:tab w:leader="none" w:pos="1748"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In the event of Optionee’s death, disability or other termination of employment, the exercisability of the Option is governed by Section 5 below, subject to the limitations contained in this Section 3.</w:t>
      </w:r>
    </w:p>
    <w:p>
      <w:pPr>
        <w:spacing w:after="0" w:line="170" w:lineRule="exact"/>
        <w:rPr>
          <w:rFonts w:ascii="Arial" w:cs="Arial" w:eastAsia="Arial" w:hAnsi="Arial"/>
          <w:sz w:val="18"/>
          <w:szCs w:val="18"/>
          <w:color w:val="auto"/>
        </w:rPr>
      </w:pPr>
    </w:p>
    <w:p>
      <w:pPr>
        <w:ind w:left="1800" w:hanging="308"/>
        <w:spacing w:after="0"/>
        <w:tabs>
          <w:tab w:leader="none" w:pos="1800" w:val="left"/>
        </w:tabs>
        <w:numPr>
          <w:ilvl w:val="2"/>
          <w:numId w:val="290"/>
        </w:numPr>
        <w:rPr>
          <w:rFonts w:ascii="Arial" w:cs="Arial" w:eastAsia="Arial" w:hAnsi="Arial"/>
          <w:sz w:val="18"/>
          <w:szCs w:val="18"/>
          <w:color w:val="auto"/>
        </w:rPr>
      </w:pPr>
      <w:r>
        <w:rPr>
          <w:rFonts w:ascii="Arial" w:cs="Arial" w:eastAsia="Arial" w:hAnsi="Arial"/>
          <w:sz w:val="18"/>
          <w:szCs w:val="18"/>
          <w:color w:val="auto"/>
        </w:rPr>
        <w:t>In no event may this Option be exercised after the Expiration Date of the Option as set forth in the Notice.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449" w:name="page450"/>
    <w:bookmarkEnd w:id="449"/>
    <w:p>
      <w:pPr>
        <w:ind w:left="1160" w:hanging="259"/>
        <w:spacing w:after="0"/>
        <w:tabs>
          <w:tab w:leader="none" w:pos="1160"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Exercise</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20" w:right="40" w:firstLine="1492"/>
        <w:spacing w:after="0" w:line="254" w:lineRule="auto"/>
        <w:tabs>
          <w:tab w:leader="none" w:pos="1678" w:val="left"/>
        </w:tabs>
        <w:numPr>
          <w:ilvl w:val="2"/>
          <w:numId w:val="291"/>
        </w:numPr>
        <w:rPr>
          <w:rFonts w:ascii="Arial" w:cs="Arial" w:eastAsia="Arial" w:hAnsi="Arial"/>
          <w:sz w:val="18"/>
          <w:szCs w:val="18"/>
          <w:color w:val="auto"/>
        </w:rPr>
      </w:pPr>
      <w:r>
        <w:rPr>
          <w:rFonts w:ascii="Arial" w:cs="Arial" w:eastAsia="Arial" w:hAnsi="Arial"/>
          <w:sz w:val="18"/>
          <w:szCs w:val="18"/>
          <w:color w:val="auto"/>
        </w:rPr>
        <w:t xml:space="preserve">This Option shall be exercisable in whole or in part by execution and delivery of the Early Exercise Notice and Restricted Stock Purchase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Exercise Notice and Restricted Stock Purchase Agreement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or any other form of written notice approved for such purpose by the Company which shall state Optionee’s election to exercise the Option, the number of Shares in respect of which the Option is being exercised, and such other representations and agreements as to the holder’s investment intent with respect to such Shares as may be required by the Company pursuant to the provisions of the Plan. Such written notice shall be signed by Optionee and shall be delivered to the Company by such means as are determined by the Plan Administrator in its discretion to constitute adequate delivery. The written notice shall be accompanied by payment of the Exercise Price. This Option shall be deemed to be exercised upon receipt by the Company of such written notice accompanied by the Exercise Price.</w:t>
      </w:r>
    </w:p>
    <w:p>
      <w:pPr>
        <w:spacing w:after="0" w:line="192" w:lineRule="exact"/>
        <w:rPr>
          <w:rFonts w:ascii="Arial" w:cs="Arial" w:eastAsia="Arial" w:hAnsi="Arial"/>
          <w:sz w:val="18"/>
          <w:szCs w:val="18"/>
          <w:color w:val="auto"/>
        </w:rPr>
      </w:pPr>
    </w:p>
    <w:p>
      <w:pPr>
        <w:ind w:left="-20" w:right="140" w:firstLine="1492"/>
        <w:spacing w:after="0" w:line="264" w:lineRule="auto"/>
        <w:tabs>
          <w:tab w:leader="none" w:pos="1728" w:val="left"/>
        </w:tabs>
        <w:numPr>
          <w:ilvl w:val="2"/>
          <w:numId w:val="291"/>
        </w:numPr>
        <w:rPr>
          <w:rFonts w:ascii="Arial" w:cs="Arial" w:eastAsia="Arial" w:hAnsi="Arial"/>
          <w:sz w:val="18"/>
          <w:szCs w:val="18"/>
          <w:color w:val="auto"/>
        </w:rPr>
      </w:pPr>
      <w:r>
        <w:rPr>
          <w:rFonts w:ascii="Arial" w:cs="Arial" w:eastAsia="Arial" w:hAnsi="Arial"/>
          <w:sz w:val="18"/>
          <w:szCs w:val="18"/>
          <w:color w:val="auto"/>
        </w:rPr>
        <w:t>As a condition to the exercise of this Option and to the issuance of the Shares as further set forth in Section 12 of the Plan, Optionee agrees to make adequate provision for federal, state or other tax withholding obligations, if any, which arise upon the vesting or exercise of the Option, or disposition of Shares, whether by withholding, direct payment to the Company, or otherwise.</w:t>
      </w:r>
    </w:p>
    <w:p>
      <w:pPr>
        <w:spacing w:after="0" w:line="181" w:lineRule="exact"/>
        <w:rPr>
          <w:rFonts w:ascii="Arial" w:cs="Arial" w:eastAsia="Arial" w:hAnsi="Arial"/>
          <w:sz w:val="18"/>
          <w:szCs w:val="18"/>
          <w:color w:val="auto"/>
        </w:rPr>
      </w:pPr>
    </w:p>
    <w:p>
      <w:pPr>
        <w:ind w:left="-20" w:firstLine="1492"/>
        <w:spacing w:after="0" w:line="271" w:lineRule="auto"/>
        <w:tabs>
          <w:tab w:leader="none" w:pos="1778" w:val="left"/>
        </w:tabs>
        <w:numPr>
          <w:ilvl w:val="2"/>
          <w:numId w:val="291"/>
        </w:numPr>
        <w:rPr>
          <w:rFonts w:ascii="Arial" w:cs="Arial" w:eastAsia="Arial" w:hAnsi="Arial"/>
          <w:sz w:val="17"/>
          <w:szCs w:val="17"/>
          <w:color w:val="auto"/>
        </w:rPr>
      </w:pPr>
      <w:r>
        <w:rPr>
          <w:rFonts w:ascii="Arial" w:cs="Arial" w:eastAsia="Arial" w:hAnsi="Arial"/>
          <w:sz w:val="17"/>
          <w:szCs w:val="17"/>
          <w:color w:val="auto"/>
        </w:rPr>
        <w:t>The Company is not obligated, and will have no liability for failure, to issue or deliver any Shares upon exercise of the Option unless such issuance or delivery would comply with the Applicable Laws, with such compliance determined by the Company in consultation with its legal counsel. This Option may not be exercised until such time as the Plan has been approved by the stockholders of the Company, or if the issuance of such Shares upon such exercise or the method of payment of consideration for such shares would constitute a violation of any applicable federal or state securities or other law or regulation, including any rule under Part 221 of Title 12 of the Code of Federal Regulations as promulgated by the Federal Reserve Board. As a condition to the exercise of this Option, the Company may require Optionee to make any representation and warranty to the Company as may be required by the Applicable Laws. Assuming such compliance, for income tax purposes the Shares shall be considered transferred to Optionee on the date on which the Option is exercised with respect to such Shares.</w:t>
      </w:r>
    </w:p>
    <w:p>
      <w:pPr>
        <w:spacing w:after="0" w:line="174" w:lineRule="exact"/>
        <w:rPr>
          <w:rFonts w:ascii="Arial" w:cs="Arial" w:eastAsia="Arial" w:hAnsi="Arial"/>
          <w:sz w:val="17"/>
          <w:szCs w:val="17"/>
          <w:color w:val="auto"/>
        </w:rPr>
      </w:pPr>
    </w:p>
    <w:p>
      <w:pPr>
        <w:ind w:left="620" w:hanging="176"/>
        <w:spacing w:after="0"/>
        <w:tabs>
          <w:tab w:leader="none" w:pos="620" w:val="left"/>
        </w:tabs>
        <w:numPr>
          <w:ilvl w:val="0"/>
          <w:numId w:val="292"/>
        </w:numPr>
        <w:rPr>
          <w:rFonts w:ascii="Arial" w:cs="Arial" w:eastAsia="Arial" w:hAnsi="Arial"/>
          <w:sz w:val="16"/>
          <w:szCs w:val="16"/>
          <w:color w:val="auto"/>
        </w:rPr>
      </w:pPr>
      <w:r>
        <w:rPr>
          <w:rFonts w:ascii="Arial" w:cs="Arial" w:eastAsia="Arial" w:hAnsi="Arial"/>
          <w:sz w:val="16"/>
          <w:szCs w:val="16"/>
          <w:b w:val="1"/>
          <w:bCs w:val="1"/>
          <w:u w:val="single" w:color="auto"/>
          <w:color w:val="auto"/>
        </w:rPr>
        <w:t>Method of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of the Exercise Price shall be by any of the following, or a combination of the following, at the election of Optionee:</w:t>
      </w:r>
    </w:p>
    <w:p>
      <w:pPr>
        <w:spacing w:after="0" w:line="252" w:lineRule="exact"/>
        <w:rPr>
          <w:rFonts w:ascii="Arial" w:cs="Arial" w:eastAsia="Arial" w:hAnsi="Arial"/>
          <w:sz w:val="16"/>
          <w:szCs w:val="16"/>
          <w:color w:val="auto"/>
        </w:rPr>
      </w:pPr>
    </w:p>
    <w:p>
      <w:pPr>
        <w:ind w:left="1140" w:hanging="239"/>
        <w:spacing w:after="0"/>
        <w:tabs>
          <w:tab w:leader="none" w:pos="11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left="1160" w:hanging="259"/>
        <w:spacing w:after="0"/>
        <w:tabs>
          <w:tab w:leader="none" w:pos="11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cancellation of indebtedness;</w:t>
      </w:r>
    </w:p>
    <w:p>
      <w:pPr>
        <w:spacing w:after="0" w:line="225" w:lineRule="exact"/>
        <w:rPr>
          <w:rFonts w:ascii="Arial" w:cs="Arial" w:eastAsia="Arial" w:hAnsi="Arial"/>
          <w:sz w:val="18"/>
          <w:szCs w:val="18"/>
          <w:color w:val="auto"/>
        </w:rPr>
      </w:pPr>
    </w:p>
    <w:p>
      <w:pPr>
        <w:ind w:left="-20" w:right="380" w:firstLine="921"/>
        <w:spacing w:after="0" w:line="259" w:lineRule="auto"/>
        <w:tabs>
          <w:tab w:leader="none" w:pos="113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prior to the date, if any, upon which the Common Stock becomes a Listed Security, by surrender of other shares of Common Stock of the Company that have an aggregate Fair Market Value on the date of surrender equal to the Exercise Price of the Shares as to which the Option is being exercised. In the case of shares acquired directly or indirectly from the Company, such shares must have been owned by Optionee for more than six (6) months on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0" w:right="259" w:bottom="1440" w:gutter="0" w:footer="0" w:header="0"/>
        </w:sectPr>
      </w:pPr>
    </w:p>
    <w:bookmarkStart w:id="450" w:name="page451"/>
    <w:bookmarkEnd w:id="4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 of surrender (or such other period of time as is necessary to avoid the Company’s incurring adverse accounting charges); or</w:t>
      </w:r>
    </w:p>
    <w:p>
      <w:pPr>
        <w:spacing w:after="0" w:line="225" w:lineRule="exact"/>
        <w:rPr>
          <w:sz w:val="20"/>
          <w:szCs w:val="20"/>
          <w:color w:val="auto"/>
        </w:rPr>
      </w:pPr>
    </w:p>
    <w:p>
      <w:pPr>
        <w:ind w:right="40" w:firstLine="921"/>
        <w:spacing w:after="0" w:line="312" w:lineRule="auto"/>
        <w:tabs>
          <w:tab w:leader="none" w:pos="116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following the date, if any, upon which the Common Stock is a Listed Security, and if the Company is at such time permitting “same day sale” cashless brokered exercises, delivery of a properly executed exercise notice together with irrevocable instructions to a broker participating in such cashless brokered exercise program to deliver promptly to the Company the amount required to pay the exercise price (and applicable withholding taxes).</w:t>
      </w:r>
    </w:p>
    <w:p>
      <w:pPr>
        <w:spacing w:after="0" w:line="142" w:lineRule="exact"/>
        <w:rPr>
          <w:rFonts w:ascii="Arial" w:cs="Arial" w:eastAsia="Arial" w:hAnsi="Arial"/>
          <w:sz w:val="16"/>
          <w:szCs w:val="16"/>
          <w:color w:val="auto"/>
        </w:rPr>
      </w:pPr>
    </w:p>
    <w:p>
      <w:pPr>
        <w:ind w:firstLine="464"/>
        <w:spacing w:after="0" w:line="303" w:lineRule="auto"/>
        <w:tabs>
          <w:tab w:leader="none" w:pos="636" w:val="left"/>
        </w:tabs>
        <w:numPr>
          <w:ilvl w:val="0"/>
          <w:numId w:val="29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Relationship</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date of termination of Optionee’s Continuous Service Status for any reason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may exercise the Option only as set forth in the Notice and this Section 5. To the extent that Optionee is not entitled to exercise this Option as of the Termination Date, or if Optionee does not exercise this Option within the Termination Period set forth in the Notice or the termination periods set forth below, the Option shall terminate in its entirety. In no event may any Option be exercised after the Expiration Date of the Option as set forth in the Notice.</w:t>
      </w:r>
    </w:p>
    <w:p>
      <w:pPr>
        <w:spacing w:after="0" w:line="151" w:lineRule="exact"/>
        <w:rPr>
          <w:rFonts w:ascii="Arial" w:cs="Arial" w:eastAsia="Arial" w:hAnsi="Arial"/>
          <w:sz w:val="16"/>
          <w:szCs w:val="16"/>
          <w:color w:val="auto"/>
        </w:rPr>
      </w:pPr>
    </w:p>
    <w:p>
      <w:pPr>
        <w:ind w:right="120" w:firstLine="921"/>
        <w:spacing w:after="0" w:line="266" w:lineRule="auto"/>
        <w:tabs>
          <w:tab w:leader="none" w:pos="1157" w:val="left"/>
        </w:tabs>
        <w:numPr>
          <w:ilvl w:val="1"/>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other than as a result of Optionee’s disability or death,</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to the extent Optionee is vested in the Option Shares at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exercise this Option during the Termination Period set forth in the Notice.</w:t>
      </w:r>
    </w:p>
    <w:p>
      <w:pPr>
        <w:spacing w:after="0" w:line="176" w:lineRule="exact"/>
        <w:rPr>
          <w:rFonts w:ascii="Arial" w:cs="Arial" w:eastAsia="Arial" w:hAnsi="Arial"/>
          <w:sz w:val="18"/>
          <w:szCs w:val="18"/>
          <w:color w:val="auto"/>
        </w:rPr>
      </w:pPr>
    </w:p>
    <w:p>
      <w:pPr>
        <w:ind w:firstLine="921"/>
        <w:spacing w:after="0" w:line="282" w:lineRule="auto"/>
        <w:tabs>
          <w:tab w:leader="none" w:pos="1168" w:val="left"/>
        </w:tabs>
        <w:numPr>
          <w:ilvl w:val="1"/>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any termination other than a termination covered by Section 5(a), Optionee may exercise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only as described below:</w:t>
      </w:r>
    </w:p>
    <w:p>
      <w:pPr>
        <w:spacing w:after="0" w:line="161" w:lineRule="exact"/>
        <w:rPr>
          <w:rFonts w:ascii="Arial" w:cs="Arial" w:eastAsia="Arial" w:hAnsi="Arial"/>
          <w:sz w:val="18"/>
          <w:szCs w:val="18"/>
          <w:color w:val="auto"/>
        </w:rPr>
      </w:pPr>
    </w:p>
    <w:p>
      <w:pPr>
        <w:ind w:right="120" w:firstLine="1492"/>
        <w:spacing w:after="0" w:line="266" w:lineRule="auto"/>
        <w:tabs>
          <w:tab w:leader="none" w:pos="1698" w:val="left"/>
        </w:tabs>
        <w:numPr>
          <w:ilvl w:val="2"/>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upon Disability of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termination of Optionee’s Continuous Service Status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Optionee’s disability, Optionee may, but only within six (6) months from the Termination Date, exercise this Option to the extent Optionee was vested in the Option Shares as of such Termination Date.</w:t>
      </w:r>
    </w:p>
    <w:p>
      <w:pPr>
        <w:spacing w:after="0" w:line="176" w:lineRule="exact"/>
        <w:rPr>
          <w:rFonts w:ascii="Arial" w:cs="Arial" w:eastAsia="Arial" w:hAnsi="Arial"/>
          <w:sz w:val="18"/>
          <w:szCs w:val="18"/>
          <w:color w:val="auto"/>
        </w:rPr>
      </w:pPr>
    </w:p>
    <w:p>
      <w:pPr>
        <w:jc w:val="both"/>
        <w:ind w:right="60" w:firstLine="1492"/>
        <w:spacing w:after="0" w:line="303" w:lineRule="auto"/>
        <w:tabs>
          <w:tab w:leader="none" w:pos="1748" w:val="left"/>
        </w:tabs>
        <w:numPr>
          <w:ilvl w:val="2"/>
          <w:numId w:val="294"/>
        </w:numPr>
        <w:rPr>
          <w:rFonts w:ascii="Arial" w:cs="Arial" w:eastAsia="Arial" w:hAnsi="Arial"/>
          <w:sz w:val="16"/>
          <w:szCs w:val="16"/>
          <w:color w:val="auto"/>
        </w:rPr>
      </w:pPr>
      <w:r>
        <w:rPr>
          <w:rFonts w:ascii="Arial" w:cs="Arial" w:eastAsia="Arial" w:hAnsi="Arial"/>
          <w:sz w:val="16"/>
          <w:szCs w:val="16"/>
          <w:b w:val="1"/>
          <w:bCs w:val="1"/>
          <w:u w:val="single" w:color="auto"/>
          <w:color w:val="auto"/>
        </w:rPr>
        <w:t>Death of Optionee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the death of Optionee (a) during the term of this Option and while an Employee or Consultant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having been in Continuous Service Status since the date of grant of the Option, or (b) within thirty (30) days after Optionee’s Termination Date, the Option may be exercised at any time within six (6) months following the date of death by Optionee’s estate or by a person who acquired the right to exercise the Option by bequest or inheritance, but only to the extent Optionee was vested in the Option as of the Termination Date.</w:t>
      </w:r>
    </w:p>
    <w:p>
      <w:pPr>
        <w:spacing w:after="0" w:line="151" w:lineRule="exact"/>
        <w:rPr>
          <w:rFonts w:ascii="Arial" w:cs="Arial" w:eastAsia="Arial" w:hAnsi="Arial"/>
          <w:sz w:val="16"/>
          <w:szCs w:val="16"/>
          <w:color w:val="auto"/>
        </w:rPr>
      </w:pPr>
    </w:p>
    <w:p>
      <w:pPr>
        <w:ind w:firstLine="464"/>
        <w:spacing w:after="0" w:line="266" w:lineRule="auto"/>
        <w:tabs>
          <w:tab w:leader="none" w:pos="636"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the Notice, this Option may not be transferred in any manner otherwise than by will</w:t>
      </w:r>
      <w:r>
        <w:rPr>
          <w:rFonts w:ascii="Arial" w:cs="Arial" w:eastAsia="Arial" w:hAnsi="Arial"/>
          <w:sz w:val="18"/>
          <w:szCs w:val="18"/>
          <w:b w:val="1"/>
          <w:bCs w:val="1"/>
          <w:color w:val="auto"/>
        </w:rPr>
        <w:t xml:space="preserve"> </w:t>
      </w:r>
      <w:r>
        <w:rPr>
          <w:rFonts w:ascii="Arial" w:cs="Arial" w:eastAsia="Arial" w:hAnsi="Arial"/>
          <w:sz w:val="18"/>
          <w:szCs w:val="18"/>
          <w:color w:val="auto"/>
        </w:rPr>
        <w:t>or by the laws of descent or distribution and may be exercised during the lifetime of Optionee only by him or her. The terms of this Option shall be binding upon the executors, administrators, heirs, successors and assigns of Optionee.</w:t>
      </w:r>
    </w:p>
    <w:p>
      <w:pPr>
        <w:spacing w:after="0" w:line="176" w:lineRule="exact"/>
        <w:rPr>
          <w:rFonts w:ascii="Arial" w:cs="Arial" w:eastAsia="Arial" w:hAnsi="Arial"/>
          <w:sz w:val="18"/>
          <w:szCs w:val="18"/>
          <w:color w:val="auto"/>
        </w:rPr>
      </w:pPr>
    </w:p>
    <w:p>
      <w:pPr>
        <w:ind w:right="140" w:firstLine="464"/>
        <w:spacing w:after="0" w:line="266" w:lineRule="auto"/>
        <w:tabs>
          <w:tab w:leader="none" w:pos="636" w:val="left"/>
        </w:tabs>
        <w:numPr>
          <w:ilvl w:val="0"/>
          <w:numId w:val="294"/>
        </w:numPr>
        <w:rPr>
          <w:rFonts w:ascii="Arial" w:cs="Arial" w:eastAsia="Arial" w:hAnsi="Arial"/>
          <w:sz w:val="18"/>
          <w:szCs w:val="18"/>
          <w:color w:val="auto"/>
        </w:rPr>
      </w:pPr>
      <w:r>
        <w:rPr>
          <w:rFonts w:ascii="Arial" w:cs="Arial" w:eastAsia="Arial" w:hAnsi="Arial"/>
          <w:sz w:val="18"/>
          <w:szCs w:val="18"/>
          <w:b w:val="1"/>
          <w:bCs w:val="1"/>
          <w:u w:val="single" w:color="auto"/>
          <w:color w:val="auto"/>
        </w:rPr>
        <w:t>Tax Consequences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Below is a brief summary as of the date of this Option of certain of the federal tax consequences of exercise of this Option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of the Shares under the laws in effect as of the Date of Grant. THIS SUMMARY IS INCOMPLETE, AND THE TAX LAWS AND REGULATIONS ARE SUBJECT TO CHANGE. OPTIONEE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451" w:name="page452"/>
    <w:bookmarkEnd w:id="4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CONSULT A TAX ADVISER BEFORE EXERCISING THIS OPTION OR DISPOSING OF THE SHARES.</w:t>
      </w:r>
    </w:p>
    <w:p>
      <w:pPr>
        <w:spacing w:after="0" w:line="221" w:lineRule="exact"/>
        <w:rPr>
          <w:sz w:val="20"/>
          <w:szCs w:val="20"/>
          <w:color w:val="auto"/>
        </w:rPr>
      </w:pPr>
    </w:p>
    <w:p>
      <w:pPr>
        <w:ind w:left="1160" w:hanging="239"/>
        <w:spacing w:after="0"/>
        <w:tabs>
          <w:tab w:leader="none" w:pos="1160" w:val="left"/>
        </w:tabs>
        <w:numPr>
          <w:ilvl w:val="1"/>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Incentive Stock Option</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60" w:firstLine="1492"/>
        <w:spacing w:after="0" w:line="291" w:lineRule="auto"/>
        <w:tabs>
          <w:tab w:leader="none" w:pos="1698" w:val="left"/>
        </w:tabs>
        <w:numPr>
          <w:ilvl w:val="2"/>
          <w:numId w:val="295"/>
        </w:numPr>
        <w:rPr>
          <w:rFonts w:ascii="Arial" w:cs="Arial" w:eastAsia="Arial" w:hAnsi="Arial"/>
          <w:sz w:val="16"/>
          <w:szCs w:val="16"/>
          <w:color w:val="auto"/>
        </w:rPr>
      </w:pPr>
      <w:r>
        <w:rPr>
          <w:rFonts w:ascii="Arial" w:cs="Arial" w:eastAsia="Arial" w:hAnsi="Arial"/>
          <w:sz w:val="16"/>
          <w:szCs w:val="16"/>
          <w:b w:val="1"/>
          <w:bCs w:val="1"/>
          <w:u w:val="single" w:color="auto"/>
          <w:color w:val="auto"/>
        </w:rPr>
        <w:t>Tax Treatment upon Exercise and Sale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If this Option qualifies as an Incentive Stock Option, there will be no regular</w:t>
      </w:r>
      <w:r>
        <w:rPr>
          <w:rFonts w:ascii="Arial" w:cs="Arial" w:eastAsia="Arial" w:hAnsi="Arial"/>
          <w:sz w:val="16"/>
          <w:szCs w:val="16"/>
          <w:b w:val="1"/>
          <w:bCs w:val="1"/>
          <w:color w:val="auto"/>
        </w:rPr>
        <w:t xml:space="preserve"> </w:t>
      </w:r>
      <w:r>
        <w:rPr>
          <w:rFonts w:ascii="Arial" w:cs="Arial" w:eastAsia="Arial" w:hAnsi="Arial"/>
          <w:sz w:val="16"/>
          <w:szCs w:val="16"/>
          <w:color w:val="auto"/>
        </w:rPr>
        <w:t>federal income tax liability upon the exercise of the Option, although the excess, if any, of the fair market value of the Shares on the date of exercise over the Exercise Price will be treated as an adjustment to the alternative minimum tax for federal tax purposes and may subject Optionee to the alternative minimum tax in the year of exercise. If Shares issued upon exercise of an Incentive Stock Option are held for at least one (1) year after exercise and are disposed of at least two (2) years after the Option grant date, any gain realized on disposition of the Shares will also be treated as long-term capital gain for federal income tax purposes. If Shares issued upon exercise of an Incentive Stock Option are disposed of within such one (1)-year period or within two (2) years after the Option grant date, any gain realized on such disposition will be treated as compensation income (taxable at ordinary income rates) to the extent of the difference between the Exercise Price and the lesser of (i) the Fair Market Value of the Shares on the date of exercise, or (ii) the sale price of the Shares.</w:t>
      </w:r>
    </w:p>
    <w:p>
      <w:pPr>
        <w:spacing w:after="0" w:line="160" w:lineRule="exact"/>
        <w:rPr>
          <w:rFonts w:ascii="Arial" w:cs="Arial" w:eastAsia="Arial" w:hAnsi="Arial"/>
          <w:sz w:val="16"/>
          <w:szCs w:val="16"/>
          <w:color w:val="auto"/>
        </w:rPr>
      </w:pPr>
    </w:p>
    <w:p>
      <w:pPr>
        <w:ind w:firstLine="1492"/>
        <w:spacing w:after="0" w:line="258" w:lineRule="auto"/>
        <w:tabs>
          <w:tab w:leader="none" w:pos="1748" w:val="left"/>
        </w:tabs>
        <w:numPr>
          <w:ilvl w:val="2"/>
          <w:numId w:val="295"/>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Disqualifying Dispositions</w:t>
      </w:r>
      <w:r>
        <w:rPr>
          <w:rFonts w:ascii="Arial" w:cs="Arial" w:eastAsia="Arial" w:hAnsi="Arial"/>
          <w:sz w:val="18"/>
          <w:szCs w:val="18"/>
          <w:color w:val="auto"/>
        </w:rPr>
        <w:t>. With respect to any Shares issued upon exercise of an Incentive Stock Option, if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sells or otherwise disposes of such Shares on or before the later of (i) the date two (2) years after the Option grant date, or (ii) the date one (1) year after the date of exercise, Optionee shall immediately notify the Company in writing of such disposition. Optionee acknowledges and agrees that he or she may be subject to income tax withholding by the Company on the compensation income recognized by Optionee from the early disposition by payment in cash or out of the current earnings paid to Optionee.</w:t>
      </w:r>
    </w:p>
    <w:p>
      <w:pPr>
        <w:spacing w:after="0" w:line="183" w:lineRule="exact"/>
        <w:rPr>
          <w:rFonts w:ascii="Arial" w:cs="Arial" w:eastAsia="Arial" w:hAnsi="Arial"/>
          <w:sz w:val="18"/>
          <w:szCs w:val="18"/>
          <w:color w:val="auto"/>
        </w:rPr>
      </w:pPr>
    </w:p>
    <w:p>
      <w:pPr>
        <w:ind w:right="60" w:firstLine="921"/>
        <w:spacing w:after="0" w:line="274" w:lineRule="auto"/>
        <w:tabs>
          <w:tab w:leader="none" w:pos="1168" w:val="left"/>
        </w:tabs>
        <w:numPr>
          <w:ilvl w:val="1"/>
          <w:numId w:val="295"/>
        </w:numPr>
        <w:rPr>
          <w:rFonts w:ascii="Arial" w:cs="Arial" w:eastAsia="Arial" w:hAnsi="Arial"/>
          <w:sz w:val="17"/>
          <w:szCs w:val="17"/>
          <w:color w:val="auto"/>
        </w:rPr>
      </w:pPr>
      <w:r>
        <w:rPr>
          <w:rFonts w:ascii="Arial" w:cs="Arial" w:eastAsia="Arial" w:hAnsi="Arial"/>
          <w:sz w:val="17"/>
          <w:szCs w:val="17"/>
          <w:b w:val="1"/>
          <w:bCs w:val="1"/>
          <w:u w:val="single" w:color="auto"/>
          <w:color w:val="auto"/>
        </w:rPr>
        <w:t>Nonstatutory Stock Option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this Option does not qualify as an Incentive Stock Option, there may be a regular federal (and state) income</w:t>
      </w:r>
      <w:r>
        <w:rPr>
          <w:rFonts w:ascii="Arial" w:cs="Arial" w:eastAsia="Arial" w:hAnsi="Arial"/>
          <w:sz w:val="17"/>
          <w:szCs w:val="17"/>
          <w:b w:val="1"/>
          <w:bCs w:val="1"/>
          <w:color w:val="auto"/>
        </w:rPr>
        <w:t xml:space="preserve"> </w:t>
      </w:r>
      <w:r>
        <w:rPr>
          <w:rFonts w:ascii="Arial" w:cs="Arial" w:eastAsia="Arial" w:hAnsi="Arial"/>
          <w:sz w:val="17"/>
          <w:szCs w:val="17"/>
          <w:color w:val="auto"/>
        </w:rPr>
        <w:t>tax liability upon the exercise of the Option. Optionee will be treated as having received compensation income (taxable at ordinary income tax rates) equal to the excess, if any, of the Fair Market Value of the Shares on the date of exercise over the Exercise Price. If Optionee is an Employee, the Company will be required to withhold from Optionee’s compensation or collect from Optionee and pay to the applicable taxing authorities an amount equal to a percentage of this compensation income at the time of exercise. If Shares issued upon exercise of a Nonstatutory Stock Option are held for at least one (1) year, any gain realized on disposition of the Shares will be treated as long-term capital gain for federal income tax purposes.</w:t>
      </w:r>
    </w:p>
    <w:p>
      <w:pPr>
        <w:spacing w:after="0" w:line="173" w:lineRule="exact"/>
        <w:rPr>
          <w:rFonts w:ascii="Arial" w:cs="Arial" w:eastAsia="Arial" w:hAnsi="Arial"/>
          <w:sz w:val="17"/>
          <w:szCs w:val="17"/>
          <w:color w:val="auto"/>
        </w:rPr>
      </w:pPr>
    </w:p>
    <w:p>
      <w:pPr>
        <w:ind w:right="180" w:firstLine="464"/>
        <w:spacing w:after="0" w:line="298" w:lineRule="auto"/>
        <w:tabs>
          <w:tab w:leader="none" w:pos="636" w:val="left"/>
        </w:tabs>
        <w:numPr>
          <w:ilvl w:val="0"/>
          <w:numId w:val="296"/>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without the prior written consent of the Company or such underwriters, as the case may be, for such period of time (not to exceed one hundred eighty (180) days) from the effective date of such registration as may be requested by the Company or such managing underwriters and to execute</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452" w:name="page453"/>
    <w:bookmarkEnd w:id="4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agreement reflecting the foregoing as may be requested by the underwriters at the time of the public offering.</w:t>
      </w:r>
    </w:p>
    <w:p>
      <w:pPr>
        <w:spacing w:after="0" w:line="221" w:lineRule="exact"/>
        <w:rPr>
          <w:sz w:val="20"/>
          <w:szCs w:val="20"/>
          <w:color w:val="auto"/>
        </w:rPr>
      </w:pPr>
    </w:p>
    <w:p>
      <w:pPr>
        <w:ind w:firstLine="464"/>
        <w:spacing w:after="0" w:line="255" w:lineRule="auto"/>
        <w:tabs>
          <w:tab w:leader="none" w:pos="636" w:val="left"/>
        </w:tabs>
        <w:numPr>
          <w:ilvl w:val="0"/>
          <w:numId w:val="297"/>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Agreement</w:t>
      </w:r>
      <w:r>
        <w:rPr>
          <w:rFonts w:ascii="Arial" w:cs="Arial" w:eastAsia="Arial" w:hAnsi="Arial"/>
          <w:sz w:val="18"/>
          <w:szCs w:val="18"/>
          <w:color w:val="auto"/>
        </w:rPr>
        <w:t>. Optionee acknowledges receipt of a copy of the Plan and represents that he or she is familiar with the terms and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(and has had an opportunity to consult counsel regarding the Option terms), and hereby accepts this Option and agrees to be bound by its contractual terms as set forth herein and in the Plan. Optionee hereby agrees to accept as binding, conclusive and final all decisions and interpretations of the Plan Administrator regarding any questions relating to the Option. In the event of a conflict between the terms and provisions of the Plan and the terms and provisions of the Notice and this Agreement, the Plan terms and provisions shall prevail. The Option, including the Plan, constitutes the entire agreement between Optionee and the Company on the subject matter hereof and supersedes all proposals, written or oral, and all other communications between the parties relating to such subject matter.</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273" w:right="399" w:bottom="1440" w:gutter="0" w:footer="0" w:header="0"/>
        </w:sectPr>
      </w:pPr>
    </w:p>
    <w:bookmarkStart w:id="453" w:name="page454"/>
    <w:bookmarkEnd w:id="453"/>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Agreement may be executed in two (2) or more counterparts, each of which shall be deemed an original and all of which together shall constitute one document.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gridSpan w:val="2"/>
          </w:tcPr>
          <w:p>
            <w:pPr>
              <w:spacing w:after="0"/>
              <w:rPr>
                <w:sz w:val="20"/>
                <w:szCs w:val="20"/>
                <w:color w:val="auto"/>
              </w:rPr>
            </w:pPr>
            <w:r>
              <w:rPr>
                <w:rFonts w:ascii="Arial" w:cs="Arial" w:eastAsia="Arial" w:hAnsi="Arial"/>
                <w:sz w:val="18"/>
                <w:szCs w:val="18"/>
                <w:color w:val="auto"/>
              </w:rPr>
              <w:t>Dated:</w:t>
            </w:r>
          </w:p>
        </w:tc>
        <w:tc>
          <w:tcPr>
            <w:tcW w:w="10800" w:type="dxa"/>
            <w:vAlign w:val="bottom"/>
            <w:gridSpan w:val="3"/>
          </w:tcPr>
          <w:p>
            <w:pPr>
              <w:spacing w:after="0"/>
              <w:rPr>
                <w:sz w:val="20"/>
                <w:szCs w:val="20"/>
                <w:color w:val="auto"/>
              </w:rPr>
            </w:pPr>
            <w:r>
              <w:rPr>
                <w:rFonts w:ascii="Arial" w:cs="Arial" w:eastAsia="Arial" w:hAnsi="Arial"/>
                <w:sz w:val="18"/>
                <w:szCs w:val="18"/>
                <w:color w:val="auto"/>
              </w:rPr>
              <w:t>«Date»</w:t>
            </w: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120" w:type="dxa"/>
            <w:vAlign w:val="bottom"/>
            <w:gridSpan w:val="2"/>
          </w:tcPr>
          <w:p>
            <w:pPr>
              <w:ind w:left="660"/>
              <w:spacing w:after="0"/>
              <w:rPr>
                <w:sz w:val="20"/>
                <w:szCs w:val="20"/>
                <w:color w:val="auto"/>
              </w:rPr>
            </w:pPr>
            <w:r>
              <w:rPr>
                <w:rFonts w:ascii="Arial" w:cs="Arial" w:eastAsia="Arial" w:hAnsi="Arial"/>
                <w:sz w:val="18"/>
                <w:szCs w:val="18"/>
                <w:color w:val="auto"/>
              </w:rPr>
              <w:t>SYNDAX PHARMACEUTICALS, INC.</w:t>
            </w: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120" w:type="dxa"/>
            <w:vAlign w:val="bottom"/>
            <w:gridSpan w:val="2"/>
          </w:tcPr>
          <w:p>
            <w:pPr>
              <w:ind w:left="660"/>
              <w:spacing w:after="0"/>
              <w:rPr>
                <w:sz w:val="20"/>
                <w:szCs w:val="20"/>
                <w:color w:val="auto"/>
              </w:rPr>
            </w:pPr>
            <w:r>
              <w:rPr>
                <w:rFonts w:ascii="Arial" w:cs="Arial" w:eastAsia="Arial" w:hAnsi="Arial"/>
                <w:sz w:val="18"/>
                <w:szCs w:val="18"/>
                <w:color w:val="auto"/>
              </w:rPr>
              <w:t>By:</w:t>
            </w:r>
          </w:p>
        </w:tc>
      </w:tr>
      <w:tr>
        <w:trPr>
          <w:trHeight w:val="209"/>
        </w:trPr>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«Name»</w:t>
            </w:r>
          </w:p>
        </w:tc>
        <w:tc>
          <w:tcPr>
            <w:tcW w:w="4680" w:type="dxa"/>
            <w:vAlign w:val="bottom"/>
            <w:tcBorders>
              <w:top w:val="single" w:sz="8" w:color="auto"/>
            </w:tcBorders>
          </w:tcPr>
          <w:p>
            <w:pPr>
              <w:spacing w:after="0"/>
              <w:rPr>
                <w:sz w:val="18"/>
                <w:szCs w:val="18"/>
                <w:color w:val="auto"/>
              </w:rPr>
            </w:pPr>
          </w:p>
        </w:tc>
        <w:tc>
          <w:tcPr>
            <w:tcW w:w="1440" w:type="dxa"/>
            <w:vAlign w:val="bottom"/>
          </w:tcPr>
          <w:p>
            <w:pPr>
              <w:ind w:left="660"/>
              <w:spacing w:after="0"/>
              <w:rPr>
                <w:sz w:val="20"/>
                <w:szCs w:val="20"/>
                <w:color w:val="auto"/>
              </w:rPr>
            </w:pPr>
            <w:r>
              <w:rPr>
                <w:rFonts w:ascii="Arial" w:cs="Arial" w:eastAsia="Arial" w:hAnsi="Arial"/>
                <w:sz w:val="18"/>
                <w:szCs w:val="18"/>
                <w:color w:val="auto"/>
              </w:rPr>
              <w:t>«Name»</w:t>
            </w:r>
          </w:p>
        </w:tc>
        <w:tc>
          <w:tcPr>
            <w:tcW w:w="4680" w:type="dxa"/>
            <w:vAlign w:val="bottom"/>
            <w:tcBorders>
              <w:top w:val="single" w:sz="8" w:color="auto"/>
            </w:tcBorders>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6120" w:type="dxa"/>
            <w:vAlign w:val="bottom"/>
            <w:gridSpan w:val="2"/>
          </w:tcPr>
          <w:p>
            <w:pPr>
              <w:ind w:left="660"/>
              <w:spacing w:after="0"/>
              <w:rPr>
                <w:sz w:val="20"/>
                <w:szCs w:val="20"/>
                <w:color w:val="auto"/>
              </w:rPr>
            </w:pPr>
            <w:r>
              <w:rPr>
                <w:rFonts w:ascii="Arial" w:cs="Arial" w:eastAsia="Arial" w:hAnsi="Arial"/>
                <w:sz w:val="18"/>
                <w:szCs w:val="18"/>
                <w:color w:val="auto"/>
              </w:rPr>
              <w:t>«Title»</w:t>
            </w:r>
          </w:p>
        </w:tc>
      </w:tr>
      <w:tr>
        <w:trPr>
          <w:trHeight w:val="432"/>
        </w:trPr>
        <w:tc>
          <w:tcPr>
            <w:tcW w:w="11420" w:type="dxa"/>
            <w:vAlign w:val="bottom"/>
            <w:gridSpan w:val="5"/>
          </w:tcPr>
          <w:p>
            <w:pPr>
              <w:spacing w:after="0"/>
              <w:rPr>
                <w:sz w:val="20"/>
                <w:szCs w:val="20"/>
                <w:color w:val="auto"/>
              </w:rPr>
            </w:pPr>
            <w:r>
              <w:rPr>
                <w:rFonts w:ascii="Arial" w:cs="Arial" w:eastAsia="Arial" w:hAnsi="Arial"/>
                <w:sz w:val="18"/>
                <w:szCs w:val="18"/>
                <w:color w:val="auto"/>
              </w:rPr>
              <w:t>Address for Notice: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«Address_1»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54" w:name="page455"/>
    <w:bookmarkEnd w:id="45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EARLY EXERCISE NOTICE AND RESTRICTED STOCK PURCHASE AGREEMENT</w:t>
      </w:r>
    </w:p>
    <w:p>
      <w:pPr>
        <w:spacing w:after="0" w:line="229"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by and between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«Name»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b w:val="1"/>
          <w:bCs w:val="1"/>
          <w:u w:val="single" w:color="auto"/>
          <w:color w:val="auto"/>
        </w:rPr>
        <w:t>Exercise of Option</w:t>
      </w:r>
      <w:r>
        <w:rPr>
          <w:rFonts w:ascii="Arial" w:cs="Arial" w:eastAsia="Arial" w:hAnsi="Arial"/>
          <w:sz w:val="16"/>
          <w:szCs w:val="16"/>
          <w:b w:val="1"/>
          <w:bCs w:val="1"/>
          <w:color w:val="auto"/>
        </w:rPr>
        <w:t>.</w:t>
      </w:r>
      <w:r>
        <w:rPr>
          <w:rFonts w:ascii="Arial" w:cs="Arial" w:eastAsia="Arial" w:hAnsi="Arial"/>
          <w:sz w:val="16"/>
          <w:szCs w:val="16"/>
          <w:color w:val="auto"/>
        </w:rPr>
        <w:t xml:space="preserve"> Subject to the terms and conditions hereof, Purchaser hereby elects to exercise his or her option to purchase shares of the Common Stock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 under and pursuant to the Plan and the Stock Option Agreement granted (the “</w:t>
      </w:r>
      <w:r>
        <w:rPr>
          <w:rFonts w:ascii="Arial" w:cs="Arial" w:eastAsia="Arial" w:hAnsi="Arial"/>
          <w:sz w:val="16"/>
          <w:szCs w:val="16"/>
          <w:u w:val="single" w:color="auto"/>
          <w:color w:val="auto"/>
        </w:rPr>
        <w:t>Option Agreement</w:t>
      </w:r>
      <w:r>
        <w:rPr>
          <w:rFonts w:ascii="Arial" w:cs="Arial" w:eastAsia="Arial" w:hAnsi="Arial"/>
          <w:sz w:val="16"/>
          <w:szCs w:val="16"/>
          <w:color w:val="auto"/>
        </w:rPr>
        <w:t>”). Of</w:t>
      </w:r>
    </w:p>
    <w:tbl>
      <w:tblPr>
        <w:tblLayout w:type="fixed"/>
        <w:tblInd w:w="0" w:type="dxa"/>
        <w:tblCellMar>
          <w:top w:w="0" w:type="dxa"/>
          <w:left w:w="0" w:type="dxa"/>
          <w:bottom w:w="0" w:type="dxa"/>
          <w:right w:w="0" w:type="dxa"/>
        </w:tblCellMar>
      </w:tblPr>
      <w:tr>
        <w:trPr>
          <w:trHeight w:val="203"/>
        </w:trPr>
        <w:tc>
          <w:tcPr>
            <w:tcW w:w="3820" w:type="dxa"/>
            <w:vAlign w:val="bottom"/>
            <w:gridSpan w:val="3"/>
          </w:tcPr>
          <w:p>
            <w:pPr>
              <w:spacing w:after="0" w:line="203" w:lineRule="exact"/>
              <w:rPr>
                <w:sz w:val="20"/>
                <w:szCs w:val="20"/>
                <w:color w:val="auto"/>
              </w:rPr>
            </w:pPr>
            <w:r>
              <w:rPr>
                <w:rFonts w:ascii="Arial" w:cs="Arial" w:eastAsia="Arial" w:hAnsi="Arial"/>
                <w:sz w:val="18"/>
                <w:szCs w:val="18"/>
                <w:color w:val="auto"/>
                <w:w w:val="96"/>
              </w:rPr>
              <w:t>these Shares, Purchaser has elected to purchase</w:t>
            </w:r>
          </w:p>
        </w:tc>
        <w:tc>
          <w:tcPr>
            <w:tcW w:w="7480" w:type="dxa"/>
            <w:vAlign w:val="bottom"/>
            <w:gridSpan w:val="7"/>
          </w:tcPr>
          <w:p>
            <w:pPr>
              <w:ind w:left="400"/>
              <w:spacing w:after="0" w:line="203" w:lineRule="exact"/>
              <w:rPr>
                <w:sz w:val="20"/>
                <w:szCs w:val="20"/>
                <w:color w:val="auto"/>
              </w:rPr>
            </w:pPr>
            <w:r>
              <w:rPr>
                <w:rFonts w:ascii="Arial" w:cs="Arial" w:eastAsia="Arial" w:hAnsi="Arial"/>
                <w:sz w:val="18"/>
                <w:szCs w:val="18"/>
                <w:color w:val="auto"/>
                <w:w w:val="95"/>
              </w:rPr>
              <w:t>of those Shares which have become vested as of the date hereof under the Vesting/Exercise</w:t>
            </w:r>
          </w:p>
        </w:tc>
      </w:tr>
      <w:tr>
        <w:trPr>
          <w:trHeight w:val="190"/>
        </w:trPr>
        <w:tc>
          <w:tcPr>
            <w:tcW w:w="6240" w:type="dxa"/>
            <w:vAlign w:val="bottom"/>
            <w:gridSpan w:val="6"/>
          </w:tcPr>
          <w:p>
            <w:pPr>
              <w:spacing w:after="0" w:line="190" w:lineRule="exact"/>
              <w:rPr>
                <w:sz w:val="20"/>
                <w:szCs w:val="20"/>
                <w:color w:val="auto"/>
              </w:rPr>
            </w:pPr>
            <w:r>
              <w:rPr>
                <w:rFonts w:ascii="Arial" w:cs="Arial" w:eastAsia="Arial" w:hAnsi="Arial"/>
                <w:sz w:val="18"/>
                <w:szCs w:val="18"/>
                <w:color w:val="auto"/>
                <w:w w:val="97"/>
              </w:rPr>
              <w:t>Schedule set forth in the Notice of Stock Option Grant (the “Vested Shares”) and</w:t>
            </w:r>
          </w:p>
        </w:tc>
        <w:tc>
          <w:tcPr>
            <w:tcW w:w="5060" w:type="dxa"/>
            <w:vAlign w:val="bottom"/>
            <w:gridSpan w:val="4"/>
          </w:tcPr>
          <w:p>
            <w:pPr>
              <w:ind w:left="400"/>
              <w:spacing w:after="0" w:line="190" w:lineRule="exact"/>
              <w:rPr>
                <w:sz w:val="20"/>
                <w:szCs w:val="20"/>
                <w:color w:val="auto"/>
              </w:rPr>
            </w:pPr>
            <w:r>
              <w:rPr>
                <w:rFonts w:ascii="Arial" w:cs="Arial" w:eastAsia="Arial" w:hAnsi="Arial"/>
                <w:sz w:val="18"/>
                <w:szCs w:val="18"/>
                <w:color w:val="auto"/>
                <w:w w:val="92"/>
              </w:rPr>
              <w:t>Shares which have not yet vested under such Vesting/Exercise</w:t>
            </w:r>
          </w:p>
        </w:tc>
      </w:tr>
      <w:tr>
        <w:trPr>
          <w:trHeight w:val="20"/>
        </w:trPr>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9240" w:type="dxa"/>
            <w:vAlign w:val="bottom"/>
            <w:gridSpan w:val="7"/>
          </w:tcPr>
          <w:p>
            <w:pPr>
              <w:spacing w:after="0" w:line="196" w:lineRule="exact"/>
              <w:rPr>
                <w:sz w:val="20"/>
                <w:szCs w:val="20"/>
                <w:color w:val="auto"/>
              </w:rPr>
            </w:pPr>
            <w:r>
              <w:rPr>
                <w:rFonts w:ascii="Arial" w:cs="Arial" w:eastAsia="Arial" w:hAnsi="Arial"/>
                <w:sz w:val="18"/>
                <w:szCs w:val="18"/>
                <w:color w:val="auto"/>
                <w:w w:val="91"/>
              </w:rPr>
              <w:t>Schedule (the “Unvested Shares”). The purchase price for the Shares shall be «Price» per Share for a total purchase price of $</w:t>
            </w:r>
          </w:p>
        </w:tc>
        <w:tc>
          <w:tcPr>
            <w:tcW w:w="2060" w:type="dxa"/>
            <w:vAlign w:val="bottom"/>
            <w:gridSpan w:val="3"/>
          </w:tcPr>
          <w:p>
            <w:pPr>
              <w:ind w:left="180"/>
              <w:spacing w:after="0" w:line="196" w:lineRule="exact"/>
              <w:rPr>
                <w:sz w:val="20"/>
                <w:szCs w:val="20"/>
                <w:color w:val="auto"/>
              </w:rPr>
            </w:pPr>
            <w:r>
              <w:rPr>
                <w:rFonts w:ascii="Arial" w:cs="Arial" w:eastAsia="Arial" w:hAnsi="Arial"/>
                <w:sz w:val="18"/>
                <w:szCs w:val="18"/>
                <w:color w:val="auto"/>
                <w:w w:val="89"/>
              </w:rPr>
              <w:t>. The term “Shares” refers</w:t>
            </w:r>
          </w:p>
        </w:tc>
      </w:tr>
      <w:tr>
        <w:trPr>
          <w:trHeight w:val="20"/>
        </w:trPr>
        <w:tc>
          <w:tcPr>
            <w:tcW w:w="1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77" w:lineRule="exact"/>
        <w:rPr>
          <w:sz w:val="20"/>
          <w:szCs w:val="20"/>
          <w:color w:val="auto"/>
        </w:rPr>
      </w:pPr>
    </w:p>
    <w:p>
      <w:pPr>
        <w:ind w:left="640" w:hanging="176"/>
        <w:spacing w:after="0"/>
        <w:tabs>
          <w:tab w:leader="none" w:pos="640" w:val="left"/>
        </w:tabs>
        <w:numPr>
          <w:ilvl w:val="0"/>
          <w:numId w:val="298"/>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and sale of the Shares under this Agreement shall occur at the principal office of the Company</w:t>
      </w:r>
    </w:p>
    <w:p>
      <w:pPr>
        <w:spacing w:after="0" w:line="38"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simultaneously with the execution and delivery of this Agreement in accordance with the provisions of Section 3(b) of the Option Agreement. On such date, provided that all of the conditions set forth in Section 12 of the Plan have been fulfilled, the Company will deliver to Purchaser a certificate representing the Shares to be purchased by Purchaser (which shall be issued in Purchaser’s name) against payment of the exercise price therefor by Purchaser by any method listed in Section 4 of the Option Agreement, and the satisfaction of Purchaser’s tax withholding obligations pursuant to Section 3(b)(ii) of the Option Agreement.</w:t>
      </w:r>
    </w:p>
    <w:p>
      <w:pPr>
        <w:spacing w:after="0" w:line="187" w:lineRule="exact"/>
        <w:rPr>
          <w:rFonts w:ascii="Arial" w:cs="Arial" w:eastAsia="Arial" w:hAnsi="Arial"/>
          <w:sz w:val="17"/>
          <w:szCs w:val="17"/>
          <w:color w:val="auto"/>
        </w:rPr>
      </w:pPr>
    </w:p>
    <w:p>
      <w:pPr>
        <w:ind w:right="100" w:firstLine="464"/>
        <w:spacing w:after="0" w:line="261" w:lineRule="auto"/>
        <w:tabs>
          <w:tab w:leader="none" w:pos="636" w:val="left"/>
        </w:tabs>
        <w:numPr>
          <w:ilvl w:val="0"/>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while the Shares are subject to the Company’s Repurchase Option (as defined below). After any Shares have been released from such Repurchase Option, Purchaser shall not assign, encumber or dispose of any interest in such Shares except in compliance with the provisions below and applicable securities laws.</w:t>
      </w:r>
    </w:p>
    <w:p>
      <w:pPr>
        <w:spacing w:after="0" w:line="180" w:lineRule="exact"/>
        <w:rPr>
          <w:rFonts w:ascii="Arial" w:cs="Arial" w:eastAsia="Arial" w:hAnsi="Arial"/>
          <w:sz w:val="18"/>
          <w:szCs w:val="18"/>
          <w:color w:val="auto"/>
        </w:rPr>
      </w:pPr>
    </w:p>
    <w:p>
      <w:pPr>
        <w:ind w:left="1160" w:hanging="239"/>
        <w:spacing w:after="0"/>
        <w:tabs>
          <w:tab w:leader="none" w:pos="1160" w:val="left"/>
        </w:tabs>
        <w:numPr>
          <w:ilvl w:val="1"/>
          <w:numId w:val="298"/>
        </w:numPr>
        <w:rPr>
          <w:rFonts w:ascii="Arial" w:cs="Arial" w:eastAsia="Arial" w:hAnsi="Arial"/>
          <w:sz w:val="18"/>
          <w:szCs w:val="18"/>
          <w:color w:val="auto"/>
        </w:rPr>
      </w:pPr>
      <w:r>
        <w:rPr>
          <w:rFonts w:ascii="Arial" w:cs="Arial" w:eastAsia="Arial" w:hAnsi="Arial"/>
          <w:sz w:val="18"/>
          <w:szCs w:val="18"/>
          <w:b w:val="1"/>
          <w:bCs w:val="1"/>
          <w:u w:val="single" w:color="auto"/>
          <w:color w:val="auto"/>
        </w:rPr>
        <w:t>Repurchase Option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color w:val="auto"/>
        </w:rPr>
      </w:pPr>
    </w:p>
    <w:p>
      <w:pPr>
        <w:ind w:left="1700" w:hanging="208"/>
        <w:spacing w:after="0"/>
        <w:tabs>
          <w:tab w:leader="none" w:pos="1700" w:val="left"/>
        </w:tabs>
        <w:numPr>
          <w:ilvl w:val="2"/>
          <w:numId w:val="298"/>
        </w:numPr>
        <w:rPr>
          <w:rFonts w:ascii="Arial" w:cs="Arial" w:eastAsia="Arial" w:hAnsi="Arial"/>
          <w:sz w:val="16"/>
          <w:szCs w:val="16"/>
          <w:color w:val="auto"/>
        </w:rPr>
      </w:pPr>
      <w:r>
        <w:rPr>
          <w:rFonts w:ascii="Arial" w:cs="Arial" w:eastAsia="Arial" w:hAnsi="Arial"/>
          <w:sz w:val="16"/>
          <w:szCs w:val="16"/>
          <w:color w:val="auto"/>
        </w:rPr>
        <w:t>In the event of the voluntary or involuntary termination of Purchaser’s Continuous Service Status with the Company for any reason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(including death 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55" w:name="page456"/>
    <w:bookmarkEnd w:id="455"/>
    <w:p>
      <w:pPr>
        <w:jc w:val="both"/>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disability), with or without cause, the Company shall upon the date of such termination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have an irrevocable, exclusive option (the “</w:t>
      </w:r>
      <w:r>
        <w:rPr>
          <w:rFonts w:ascii="Arial" w:cs="Arial" w:eastAsia="Arial" w:hAnsi="Arial"/>
          <w:sz w:val="18"/>
          <w:szCs w:val="18"/>
          <w:u w:val="single" w:color="auto"/>
          <w:color w:val="auto"/>
        </w:rPr>
        <w:t>Repurchase Option</w:t>
      </w:r>
      <w:r>
        <w:rPr>
          <w:rFonts w:ascii="Arial" w:cs="Arial" w:eastAsia="Arial" w:hAnsi="Arial"/>
          <w:sz w:val="18"/>
          <w:szCs w:val="18"/>
          <w:color w:val="auto"/>
        </w:rPr>
        <w:t>”) for a period of ninety (90) days from such date to repurchase all or any portion of the Shares held by Purchaser as of the Termination Date which have not yet been released from the Company’s Repurchase Option at the original purchase price per Share specified in Section 1 (adjusted for any stock splits, stock dividends and the like).</w:t>
      </w:r>
    </w:p>
    <w:p>
      <w:pPr>
        <w:spacing w:after="0" w:line="187" w:lineRule="exact"/>
        <w:rPr>
          <w:sz w:val="20"/>
          <w:szCs w:val="20"/>
          <w:color w:val="auto"/>
        </w:rPr>
      </w:pPr>
    </w:p>
    <w:p>
      <w:pPr>
        <w:ind w:firstLine="1492"/>
        <w:spacing w:after="0" w:line="286" w:lineRule="auto"/>
        <w:tabs>
          <w:tab w:leader="none" w:pos="174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Unless the Company notifies Purchaser within ninety (90) days from the date of termination of Purchaser’s Continuous Service Status that it does not intend to exercise its Repurchase Option with respect to some or all of the Shares, the Repurchase Option shall be deemed automatically exercised by the Company as of the ninetieth (90</w:t>
      </w:r>
      <w:r>
        <w:rPr>
          <w:rFonts w:ascii="Arial" w:cs="Arial" w:eastAsia="Arial" w:hAnsi="Arial"/>
          <w:sz w:val="13"/>
          <w:szCs w:val="13"/>
          <w:color w:val="auto"/>
        </w:rPr>
        <w:t>th</w:t>
      </w:r>
      <w:r>
        <w:rPr>
          <w:rFonts w:ascii="Arial" w:cs="Arial" w:eastAsia="Arial" w:hAnsi="Arial"/>
          <w:sz w:val="16"/>
          <w:szCs w:val="16"/>
          <w:color w:val="auto"/>
        </w:rPr>
        <w:t>) day following such termination, provided that the Company may notify Purchaser that it is exercising its Repurchase Option as of a date prior to such ninetieth (90</w:t>
      </w:r>
      <w:r>
        <w:rPr>
          <w:rFonts w:ascii="Arial" w:cs="Arial" w:eastAsia="Arial" w:hAnsi="Arial"/>
          <w:sz w:val="13"/>
          <w:szCs w:val="13"/>
          <w:color w:val="auto"/>
        </w:rPr>
        <w:t>th</w:t>
      </w:r>
      <w:r>
        <w:rPr>
          <w:rFonts w:ascii="Arial" w:cs="Arial" w:eastAsia="Arial" w:hAnsi="Arial"/>
          <w:sz w:val="16"/>
          <w:szCs w:val="16"/>
          <w:color w:val="auto"/>
        </w:rPr>
        <w:t>) day. Unless Purchaser is otherwise notified by the Company pursuant to the preceding sentence that the Company does not intend to exercise its Repurchase Option as to some or all of the Shares to which it applies at the time of termination, execution of this Agreement by Purchaser constitutes written notice to Purchaser of the Company’s intention to exercise its Repurchase Option with respect to all Shares to which such Repurchase Option applies. The Company, at its choice, may satisfy its payment obligation to Purchaser with respect to exercise of the Repurchase Option by either (A) delivering a check to Purchaser in the amount of the purchase price for the Shares being repurchased, or (B) in the event Purchaser is indebted to the Company, canceling an amount of such indebtedness equal to the purchase price for the Shares being repurchased, or (C) by a combination of (A) and (B) so that the combined payment and cancellation of indebtedness equals such purchase price. In the event of any deemed automatic exercise of the Repurchase Option pursuant to this Section 3(a)(ii) in which Purchaser is indebted to the Company, such indebtedness equal to the purchase price of the Shares being repurchased shall be deemed automatically canceled as of the ninetieth (90</w:t>
      </w:r>
      <w:r>
        <w:rPr>
          <w:rFonts w:ascii="Arial" w:cs="Arial" w:eastAsia="Arial" w:hAnsi="Arial"/>
          <w:sz w:val="13"/>
          <w:szCs w:val="13"/>
          <w:color w:val="auto"/>
        </w:rPr>
        <w:t>th</w:t>
      </w:r>
      <w:r>
        <w:rPr>
          <w:rFonts w:ascii="Arial" w:cs="Arial" w:eastAsia="Arial" w:hAnsi="Arial"/>
          <w:sz w:val="16"/>
          <w:szCs w:val="16"/>
          <w:color w:val="auto"/>
        </w:rPr>
        <w:t>) day following termination of Purchaser’s Continuous Service Status unless the Company otherwise satisfies its payment obligations. As a result of any repurchase of Shares pursuant to this Section 3(a), the Company shall become the legal and beneficial owner of the Shares being repurchased and shall have all rights and interest therein or related thereto, and the Company shall have the right to transfer to its own name the number of Shares being repurchased by the Company, without further action by Purchaser.</w:t>
      </w:r>
    </w:p>
    <w:p>
      <w:pPr>
        <w:spacing w:after="0" w:line="168" w:lineRule="exact"/>
        <w:rPr>
          <w:rFonts w:ascii="Arial" w:cs="Arial" w:eastAsia="Arial" w:hAnsi="Arial"/>
          <w:sz w:val="16"/>
          <w:szCs w:val="16"/>
          <w:color w:val="auto"/>
        </w:rPr>
      </w:pPr>
    </w:p>
    <w:p>
      <w:pPr>
        <w:jc w:val="both"/>
        <w:ind w:right="40" w:firstLine="1492"/>
        <w:spacing w:after="0" w:line="264" w:lineRule="auto"/>
        <w:tabs>
          <w:tab w:leader="none" w:pos="179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One hundred percent (100%) of the Shares shall initially be subject to the Repurchase Option. The Unvested Shares shall be released from the Repurchase Option in accordance with the Vesting/Exercise Schedule set forth in the Notice of Stock Option Grant until all Shares are released from the Repurchase Option. Fractional shares shall be rounded to the nearest whole share.</w:t>
      </w:r>
    </w:p>
    <w:p>
      <w:pPr>
        <w:spacing w:after="0" w:line="181" w:lineRule="exact"/>
        <w:rPr>
          <w:rFonts w:ascii="Arial" w:cs="Arial" w:eastAsia="Arial" w:hAnsi="Arial"/>
          <w:sz w:val="18"/>
          <w:szCs w:val="18"/>
          <w:color w:val="auto"/>
        </w:rPr>
      </w:pPr>
    </w:p>
    <w:p>
      <w:pPr>
        <w:ind w:firstLine="1492"/>
        <w:spacing w:after="0" w:line="276" w:lineRule="auto"/>
        <w:tabs>
          <w:tab w:leader="none" w:pos="178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In the event of a Company Sale (as such term is defined below), the Repurchase Option shall expire with respect to fifty percent (50%) of the shares of Common Stock then subject to the Repurchase Option. Thereafter, the Repurchase Option shall expire with respect to any shares of Common Stock remaining subject to the Repurchase Option in equal monthly installments over the number of months remaining of the forty-eight (48) month period provided for in the Vesting/Exercise Schedule set forth in the Notice of Stock Option Grant. In addition, if within the period beginning on the first (1st) day of the calendar month immediately preceding the calendar month in which the effective date of such Company Sale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456" w:name="page457"/>
    <w:bookmarkEnd w:id="456"/>
    <w:p>
      <w:pPr>
        <w:ind w:right="1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occurs and ending on the last day of the thirteenth (13th) calendar month following the calendar month in which the effective date of Company Sale occurs, the Purchaser’s employment with the Company terminates due to an involuntary termination thereof by the Company (or any successor) without cause (not including death or disability) or due to a Constructive Termination (as such term is defined below), then the Repurchase Option shall expire in full with respect to all shares of Common Stock subject thereto as of the date of such termination of the Purchaser’s employment.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Section 3(a)(iv) only:</w:t>
      </w:r>
    </w:p>
    <w:p>
      <w:pPr>
        <w:spacing w:after="0" w:line="225" w:lineRule="exact"/>
        <w:rPr>
          <w:sz w:val="20"/>
          <w:szCs w:val="20"/>
          <w:color w:val="auto"/>
        </w:rPr>
      </w:pPr>
    </w:p>
    <w:p>
      <w:pPr>
        <w:ind w:firstLine="921"/>
        <w:spacing w:after="0" w:line="257" w:lineRule="auto"/>
        <w:tabs>
          <w:tab w:leader="none" w:pos="120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 “Company Sale” shall mean (i) the acquisition of the Company by another entity by means of any transaction or series of related transactions (including, without limitation, any reorganization, merger, stock purchase or consolidation) or (ii) a sale of all or substantially all of the assets of the Company; unless the Company’s stockholders of record as constituted immediately prior to any such transaction will, immediately after such transaction (by virtue of securities issued as consideration for the Company’s capital stock, assets or otherwise) hold more than fifty percent (50%) of the voting power of the surviving or acquiring entity.</w:t>
      </w:r>
    </w:p>
    <w:p>
      <w:pPr>
        <w:spacing w:after="0" w:line="188" w:lineRule="exact"/>
        <w:rPr>
          <w:rFonts w:ascii="Arial" w:cs="Arial" w:eastAsia="Arial" w:hAnsi="Arial"/>
          <w:sz w:val="18"/>
          <w:szCs w:val="18"/>
          <w:color w:val="auto"/>
        </w:rPr>
      </w:pPr>
    </w:p>
    <w:p>
      <w:pPr>
        <w:ind w:right="60" w:firstLine="921"/>
        <w:spacing w:after="0" w:line="276" w:lineRule="auto"/>
        <w:tabs>
          <w:tab w:leader="none" w:pos="119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“Constructive Termination” means Purchaser’s voluntary resignation following (i) a material reduction in the level of responsibility associated with the Purchaser’s employment with the Company or any surviving entity (other than a change in job title or officer title), (ii) any reduction in the Purchaser’s level of base salary, or (iii) a relocation of the Purchaser’s principal place of employment by more than fifty (50) miles (other than reasonable business travel required as part of the job duties associated with the Purchaser’s position), provided, and only in the event that, such change, reduction or relocation is effected by the Company without cause and without the Purchaser’s consent.</w:t>
      </w:r>
    </w:p>
    <w:p>
      <w:pPr>
        <w:spacing w:after="0" w:line="169" w:lineRule="exact"/>
        <w:rPr>
          <w:sz w:val="20"/>
          <w:szCs w:val="20"/>
          <w:color w:val="auto"/>
        </w:rPr>
      </w:pPr>
    </w:p>
    <w:p>
      <w:pPr>
        <w:ind w:right="80" w:firstLine="921"/>
        <w:spacing w:after="0" w:line="266" w:lineRule="auto"/>
        <w:tabs>
          <w:tab w:leader="none" w:pos="1168" w:val="left"/>
        </w:tabs>
        <w:numPr>
          <w:ilvl w:val="1"/>
          <w:numId w:val="30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3(b)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right="200" w:firstLine="1492"/>
        <w:spacing w:after="0" w:line="293" w:lineRule="auto"/>
        <w:tabs>
          <w:tab w:leader="none" w:pos="1698" w:val="left"/>
        </w:tabs>
        <w:numPr>
          <w:ilvl w:val="2"/>
          <w:numId w:val="30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Holder’s bona fide 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80" w:firstLine="8"/>
        <w:spacing w:after="0" w:line="255" w:lineRule="auto"/>
        <w:tabs>
          <w:tab w:leader="none" w:pos="31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number of Shares to be transferred to each Proposed Transferee; and (iv) the terms and conditions of each proposed sale or transfer. The Holder shall offer the Shares at the same price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upon the same terms (or terms as similar as reasonably possible) to the Company or its assignee(s).</w:t>
      </w:r>
    </w:p>
    <w:p>
      <w:pPr>
        <w:spacing w:after="0" w:line="186" w:lineRule="exact"/>
        <w:rPr>
          <w:rFonts w:ascii="Arial" w:cs="Arial" w:eastAsia="Arial" w:hAnsi="Arial"/>
          <w:sz w:val="18"/>
          <w:szCs w:val="18"/>
          <w:color w:val="auto"/>
        </w:rPr>
      </w:pPr>
    </w:p>
    <w:p>
      <w:pPr>
        <w:ind w:right="60" w:firstLine="1492"/>
        <w:spacing w:after="0" w:line="266" w:lineRule="auto"/>
        <w:tabs>
          <w:tab w:leader="none" w:pos="1748" w:val="left"/>
        </w:tabs>
        <w:numPr>
          <w:ilvl w:val="2"/>
          <w:numId w:val="30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457" w:name="page458"/>
    <w:bookmarkEnd w:id="457"/>
    <w:p>
      <w:pPr>
        <w:ind w:left="-20" w:right="260" w:firstLine="1492"/>
        <w:spacing w:after="0" w:line="266" w:lineRule="auto"/>
        <w:tabs>
          <w:tab w:leader="none" w:pos="1778" w:val="left"/>
        </w:tabs>
        <w:numPr>
          <w:ilvl w:val="1"/>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3(b) shall be the Offered Price. If the Offered Price includes consideration other than cash, the cash equivalent value of the non-cash consideration shall be determined by the Board of Directors of the Company in good faith.</w:t>
      </w:r>
    </w:p>
    <w:p>
      <w:pPr>
        <w:spacing w:after="0" w:line="176" w:lineRule="exact"/>
        <w:rPr>
          <w:rFonts w:ascii="Arial" w:cs="Arial" w:eastAsia="Arial" w:hAnsi="Arial"/>
          <w:sz w:val="18"/>
          <w:szCs w:val="18"/>
          <w:color w:val="auto"/>
        </w:rPr>
      </w:pPr>
    </w:p>
    <w:p>
      <w:pPr>
        <w:ind w:left="-20" w:right="400" w:firstLine="1492"/>
        <w:spacing w:after="0" w:line="266" w:lineRule="auto"/>
        <w:tabs>
          <w:tab w:leader="none" w:pos="1768" w:val="left"/>
        </w:tabs>
        <w:numPr>
          <w:ilvl w:val="1"/>
          <w:numId w:val="30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thirty (30) days after receipt of the Notice or in the manner and at the times set forth in the Notice.</w:t>
      </w:r>
    </w:p>
    <w:p>
      <w:pPr>
        <w:spacing w:after="0" w:line="176" w:lineRule="exact"/>
        <w:rPr>
          <w:rFonts w:ascii="Arial" w:cs="Arial" w:eastAsia="Arial" w:hAnsi="Arial"/>
          <w:sz w:val="18"/>
          <w:szCs w:val="18"/>
          <w:color w:val="auto"/>
        </w:rPr>
      </w:pPr>
    </w:p>
    <w:p>
      <w:pPr>
        <w:ind w:left="-20" w:right="20" w:firstLine="1492"/>
        <w:spacing w:after="0" w:line="272" w:lineRule="auto"/>
        <w:tabs>
          <w:tab w:leader="none" w:pos="1718" w:val="left"/>
        </w:tabs>
        <w:numPr>
          <w:ilvl w:val="1"/>
          <w:numId w:val="303"/>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of the Shares proposed in the Notice to be transferred to a given Proposed Transferee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by the Company and/or its assignee(s) as provided in this Section 3(b), then the Holder may sell or otherwise transfer such Shares to that Proposed Transferee at the Offered Price or at a higher price, provided that such sale or other transfer is consummated within sixty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72" w:lineRule="exact"/>
        <w:rPr>
          <w:rFonts w:ascii="Arial" w:cs="Arial" w:eastAsia="Arial" w:hAnsi="Arial"/>
          <w:sz w:val="17"/>
          <w:szCs w:val="17"/>
          <w:color w:val="auto"/>
        </w:rPr>
      </w:pPr>
    </w:p>
    <w:p>
      <w:pPr>
        <w:ind w:left="-20" w:right="60" w:firstLine="1492"/>
        <w:spacing w:after="0" w:line="295" w:lineRule="auto"/>
        <w:tabs>
          <w:tab w:leader="none" w:pos="1768" w:val="left"/>
        </w:tabs>
        <w:numPr>
          <w:ilvl w:val="1"/>
          <w:numId w:val="303"/>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3(b)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3(b).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any child, stepchild, grandchild, parent, stepparent, grandparent, spouse, former spouse, sibling, niece, nephew, mother-in-law, father-in-law, son-in-law, daughter-in-law, brother-in-law, or sister-in-law (including adoptive relationships).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155" w:lineRule="exact"/>
        <w:rPr>
          <w:rFonts w:ascii="Arial" w:cs="Arial" w:eastAsia="Arial" w:hAnsi="Arial"/>
          <w:sz w:val="16"/>
          <w:szCs w:val="16"/>
          <w:color w:val="auto"/>
        </w:rPr>
      </w:pPr>
    </w:p>
    <w:p>
      <w:pPr>
        <w:ind w:left="1140" w:hanging="239"/>
        <w:spacing w:after="0"/>
        <w:tabs>
          <w:tab w:leader="none" w:pos="1140" w:val="left"/>
        </w:tabs>
        <w:numPr>
          <w:ilvl w:val="0"/>
          <w:numId w:val="304"/>
        </w:numPr>
        <w:rPr>
          <w:rFonts w:ascii="Arial" w:cs="Arial" w:eastAsia="Arial" w:hAnsi="Arial"/>
          <w:sz w:val="18"/>
          <w:szCs w:val="18"/>
          <w:color w:val="auto"/>
        </w:rPr>
      </w:pPr>
      <w:r>
        <w:rPr>
          <w:rFonts w:ascii="Arial" w:cs="Arial" w:eastAsia="Arial" w:hAnsi="Arial"/>
          <w:sz w:val="18"/>
          <w:szCs w:val="18"/>
          <w:b w:val="1"/>
          <w:bCs w:val="1"/>
          <w:u w:val="single" w:color="auto"/>
          <w:color w:val="auto"/>
        </w:rPr>
        <w:t>Involuntary Transfer</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1492"/>
        <w:spacing w:after="0" w:line="298" w:lineRule="auto"/>
        <w:tabs>
          <w:tab w:leader="none" w:pos="1678" w:val="left"/>
        </w:tabs>
        <w:numPr>
          <w:ilvl w:val="1"/>
          <w:numId w:val="304"/>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by operation of law or other involuntary transfer (including death or divorce, but excluding a transfer to Immediate Family as set forth in Section 3(b)(vi) above) of all or a portion of the Shares by the record holder thereof, the Company shall have an option to purchase all of the Shares transferred.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69" w:right="259" w:bottom="1440" w:gutter="0" w:footer="0" w:header="0"/>
        </w:sectPr>
      </w:pPr>
    </w:p>
    <w:bookmarkStart w:id="458" w:name="page459"/>
    <w:bookmarkEnd w:id="458"/>
    <w:p>
      <w:pPr>
        <w:ind w:left="-20" w:right="60" w:firstLine="1492"/>
        <w:spacing w:after="0" w:line="295" w:lineRule="auto"/>
        <w:tabs>
          <w:tab w:leader="none" w:pos="1728" w:val="left"/>
        </w:tabs>
        <w:numPr>
          <w:ilvl w:val="2"/>
          <w:numId w:val="305"/>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3(c)(i), the price per Share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or his or her executor does not agree with the valuation as determined by the Board of Directors of the Company, the Purchaser or the executor shall be entitled to have the valuation determined by an independent appraiser to be mutually agreed upon by the Company and the Purchaser or the executor and whose fees shall be borne equally by the Company and the Purchaser or the Purchaser’s estate.</w:t>
      </w:r>
    </w:p>
    <w:p>
      <w:pPr>
        <w:spacing w:after="0" w:line="155" w:lineRule="exact"/>
        <w:rPr>
          <w:rFonts w:ascii="Arial" w:cs="Arial" w:eastAsia="Arial" w:hAnsi="Arial"/>
          <w:sz w:val="16"/>
          <w:szCs w:val="16"/>
          <w:color w:val="auto"/>
        </w:rPr>
      </w:pPr>
    </w:p>
    <w:p>
      <w:pPr>
        <w:ind w:left="-20" w:right="720" w:firstLine="921"/>
        <w:spacing w:after="0" w:line="282" w:lineRule="auto"/>
        <w:tabs>
          <w:tab w:leader="none" w:pos="1148" w:val="left"/>
        </w:tabs>
        <w:numPr>
          <w:ilvl w:val="1"/>
          <w:numId w:val="306"/>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Company to purchase any part of the Shares may be assigned in whole or in part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or other persons or organizations.</w:t>
      </w:r>
    </w:p>
    <w:p>
      <w:pPr>
        <w:spacing w:after="0" w:line="161" w:lineRule="exact"/>
        <w:rPr>
          <w:rFonts w:ascii="Arial" w:cs="Arial" w:eastAsia="Arial" w:hAnsi="Arial"/>
          <w:sz w:val="18"/>
          <w:szCs w:val="18"/>
          <w:color w:val="auto"/>
        </w:rPr>
      </w:pPr>
    </w:p>
    <w:p>
      <w:pPr>
        <w:ind w:left="-20" w:firstLine="921"/>
        <w:spacing w:after="0" w:line="272" w:lineRule="auto"/>
        <w:tabs>
          <w:tab w:leader="none" w:pos="1137" w:val="left"/>
        </w:tabs>
        <w:numPr>
          <w:ilvl w:val="1"/>
          <w:numId w:val="306"/>
        </w:numPr>
        <w:rPr>
          <w:rFonts w:ascii="Arial" w:cs="Arial" w:eastAsia="Arial" w:hAnsi="Arial"/>
          <w:sz w:val="17"/>
          <w:szCs w:val="17"/>
          <w:color w:val="auto"/>
        </w:rPr>
      </w:pPr>
      <w:r>
        <w:rPr>
          <w:rFonts w:ascii="Arial" w:cs="Arial" w:eastAsia="Arial" w:hAnsi="Arial"/>
          <w:sz w:val="17"/>
          <w:szCs w:val="17"/>
          <w:b w:val="1"/>
          <w:bCs w:val="1"/>
          <w:u w:val="single" w:color="auto"/>
          <w:color w:val="auto"/>
        </w:rPr>
        <w:t>Restrictions Binding on Transferees</w:t>
      </w:r>
      <w:r>
        <w:rPr>
          <w:rFonts w:ascii="Arial" w:cs="Arial" w:eastAsia="Arial" w:hAnsi="Arial"/>
          <w:sz w:val="17"/>
          <w:szCs w:val="17"/>
          <w:b w:val="1"/>
          <w:bCs w:val="1"/>
          <w:color w:val="auto"/>
        </w:rPr>
        <w:t xml:space="preserve">. </w:t>
      </w:r>
      <w:r>
        <w:rPr>
          <w:rFonts w:ascii="Arial" w:cs="Arial" w:eastAsia="Arial" w:hAnsi="Arial"/>
          <w:sz w:val="17"/>
          <w:szCs w:val="17"/>
          <w:color w:val="auto"/>
        </w:rPr>
        <w:t>All transferees of Shares or any interest therein will receive and hold such Shares or interest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provisions of this Agreement, including, insofar as applicable, the Repurchase Option. In the event of any purchase by the Company hereunder where the Shares or interest are held by a transferee, the transferee shall be obligated, if requested by the Company, to transfer the Shares or interest to the Purchaser for consideration equal to the amount to be paid by the Company hereunder. In the event the Repurchase Option is deemed exercised by the Company pursuant to Section 3(a)(ii) hereof, the Company may deem any transferee to have transferred the Shares or interest to Purchaser prior to their purchase by the Company, and payment of the purchase price by the Company to such transferee shall be deemed to satisfy Purchaser’s obligation to pay such transferee for such Shares or interest, and also to satisfy the Company’s obligation to pay Purchaser for such Shares or interest. Any sale or transfer of the Shares shall be void unless the provisions of this Agreement are satisfied.</w:t>
      </w:r>
    </w:p>
    <w:p>
      <w:pPr>
        <w:spacing w:after="0" w:line="172" w:lineRule="exact"/>
        <w:rPr>
          <w:rFonts w:ascii="Arial" w:cs="Arial" w:eastAsia="Arial" w:hAnsi="Arial"/>
          <w:sz w:val="17"/>
          <w:szCs w:val="17"/>
          <w:color w:val="auto"/>
        </w:rPr>
      </w:pPr>
    </w:p>
    <w:p>
      <w:pPr>
        <w:ind w:left="-20" w:right="200" w:firstLine="921"/>
        <w:spacing w:after="0" w:line="298" w:lineRule="auto"/>
        <w:tabs>
          <w:tab w:leader="none" w:pos="1118" w:val="left"/>
        </w:tabs>
        <w:numPr>
          <w:ilvl w:val="1"/>
          <w:numId w:val="30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3(b) above and the option to repurchase the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an involuntary transfer granted the Company by Section 3(c)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3(b) above, a new certificate or certificates representing the Shares not repurchased shall be issued, on request, without the legend referred to in Section 6(a)(ii) herein and delivered to Purchaser.</w:t>
      </w:r>
    </w:p>
    <w:p>
      <w:pPr>
        <w:spacing w:after="0" w:line="154" w:lineRule="exact"/>
        <w:rPr>
          <w:rFonts w:ascii="Arial" w:cs="Arial" w:eastAsia="Arial" w:hAnsi="Arial"/>
          <w:sz w:val="16"/>
          <w:szCs w:val="16"/>
          <w:color w:val="auto"/>
        </w:rPr>
      </w:pPr>
    </w:p>
    <w:p>
      <w:pPr>
        <w:ind w:left="-20" w:right="40" w:firstLine="464"/>
        <w:spacing w:after="0" w:line="298" w:lineRule="auto"/>
        <w:tabs>
          <w:tab w:leader="none" w:pos="616" w:val="left"/>
        </w:tabs>
        <w:numPr>
          <w:ilvl w:val="0"/>
          <w:numId w:val="307"/>
        </w:numPr>
        <w:rPr>
          <w:rFonts w:ascii="Arial" w:cs="Arial" w:eastAsia="Arial" w:hAnsi="Arial"/>
          <w:sz w:val="16"/>
          <w:szCs w:val="16"/>
          <w:color w:val="auto"/>
        </w:rPr>
      </w:pPr>
      <w:r>
        <w:rPr>
          <w:rFonts w:ascii="Arial" w:cs="Arial" w:eastAsia="Arial" w:hAnsi="Arial"/>
          <w:sz w:val="16"/>
          <w:szCs w:val="16"/>
          <w:b w:val="1"/>
          <w:bCs w:val="1"/>
          <w:u w:val="single" w:color="auto"/>
          <w:color w:val="auto"/>
        </w:rPr>
        <w:t>Escrow of Unvested Shares</w:t>
      </w:r>
      <w:r>
        <w:rPr>
          <w:rFonts w:ascii="Arial" w:cs="Arial" w:eastAsia="Arial" w:hAnsi="Arial"/>
          <w:sz w:val="16"/>
          <w:szCs w:val="16"/>
          <w:b w:val="1"/>
          <w:bCs w:val="1"/>
          <w:color w:val="auto"/>
        </w:rPr>
        <w:t xml:space="preserve">. </w:t>
      </w:r>
      <w:r>
        <w:rPr>
          <w:rFonts w:ascii="Arial" w:cs="Arial" w:eastAsia="Arial" w:hAnsi="Arial"/>
          <w:sz w:val="16"/>
          <w:szCs w:val="16"/>
          <w:color w:val="auto"/>
        </w:rPr>
        <w:t>For purposes of facilitating the enforcement of the provisions of Section 3 above, Purchaser agrees, immediately upon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receipt of the certificate(s) for the Shares subject to the Repurchase Option, to deliver such certificate(s), together with an Assignment Separate from Certificate in the form attached to this Agreement as </w:t>
      </w:r>
      <w:r>
        <w:rPr>
          <w:rFonts w:ascii="Arial" w:cs="Arial" w:eastAsia="Arial" w:hAnsi="Arial"/>
          <w:sz w:val="16"/>
          <w:szCs w:val="16"/>
          <w:u w:val="single" w:color="auto"/>
          <w:color w:val="auto"/>
        </w:rPr>
        <w:t>Attachment A</w:t>
      </w:r>
      <w:r>
        <w:rPr>
          <w:rFonts w:ascii="Arial" w:cs="Arial" w:eastAsia="Arial" w:hAnsi="Arial"/>
          <w:sz w:val="16"/>
          <w:szCs w:val="16"/>
          <w:color w:val="auto"/>
        </w:rPr>
        <w:t xml:space="preserve"> executed by Purchaser and by Purchaser’s spouse (if required for transfer), in blank, to the Secretary of the Company, or the Secretary’s designee, to hold such certificate(s) and Assignment Separate from Certificate in escrow and to take all such actions and to effectuate all such transfers and/or releases as are in accordance with the terms of this Agreement. Purchaser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60" w:top="270" w:right="239" w:bottom="1440" w:gutter="0" w:footer="0" w:header="0"/>
        </w:sectPr>
      </w:pPr>
    </w:p>
    <w:bookmarkStart w:id="459" w:name="page460"/>
    <w:bookmarkEnd w:id="45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hereby acknowledges that the Secretary of the Company, or the Secretary’s designee, is so appointed as the escrow holder with the foregoing authorities as a material inducement to make this Agreement and that said appointment is coupled with an interest and is accordingly irrevocable. Purchaser agrees that said escrow holder shall not be liable to any party hereof (or to any other party). The escrow holder may rely upon any letter, notice or other document executed by any signature purported to be genuine and may resign at any time. Purchaser agrees that if the Secretary of the Company, or the Secretary’s designee, resigns as escrow holder for any or no reason, the Board of Directors of the Company shall have the power to appoint a successor to serve as escrow holder pursuant to the terms of this Agreement.</w:t>
      </w:r>
    </w:p>
    <w:p>
      <w:pPr>
        <w:spacing w:after="0" w:line="189" w:lineRule="exact"/>
        <w:rPr>
          <w:sz w:val="20"/>
          <w:szCs w:val="20"/>
          <w:color w:val="auto"/>
        </w:rPr>
      </w:pPr>
    </w:p>
    <w:p>
      <w:pPr>
        <w:ind w:left="640" w:hanging="176"/>
        <w:spacing w:after="0"/>
        <w:tabs>
          <w:tab w:leader="none" w:pos="640" w:val="left"/>
        </w:tabs>
        <w:numPr>
          <w:ilvl w:val="0"/>
          <w:numId w:val="308"/>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52" w:lineRule="exact"/>
        <w:rPr>
          <w:rFonts w:ascii="Arial" w:cs="Arial" w:eastAsia="Arial" w:hAnsi="Arial"/>
          <w:sz w:val="16"/>
          <w:szCs w:val="16"/>
          <w:color w:val="auto"/>
        </w:rPr>
      </w:pPr>
    </w:p>
    <w:p>
      <w:pPr>
        <w:ind w:right="100" w:firstLine="921"/>
        <w:spacing w:after="0" w:line="279" w:lineRule="auto"/>
        <w:tabs>
          <w:tab w:leader="none" w:pos="1158" w:val="left"/>
        </w:tabs>
        <w:numPr>
          <w:ilvl w:val="1"/>
          <w:numId w:val="308"/>
        </w:numPr>
        <w:rPr>
          <w:rFonts w:ascii="Arial" w:cs="Arial" w:eastAsia="Arial" w:hAnsi="Arial"/>
          <w:sz w:val="17"/>
          <w:szCs w:val="17"/>
          <w:color w:val="auto"/>
        </w:rPr>
      </w:pPr>
      <w:r>
        <w:rPr>
          <w:rFonts w:ascii="Arial" w:cs="Arial" w:eastAsia="Arial" w:hAnsi="Arial"/>
          <w:sz w:val="17"/>
          <w:szCs w:val="17"/>
          <w:color w:val="auto"/>
        </w:rPr>
        <w:t>Purchaser is aware of the Company’s business affairs and financial condition and has acquired sufficient information about the Company to reach an informed 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71" w:lineRule="exact"/>
        <w:rPr>
          <w:rFonts w:ascii="Arial" w:cs="Arial" w:eastAsia="Arial" w:hAnsi="Arial"/>
          <w:sz w:val="17"/>
          <w:szCs w:val="17"/>
          <w:color w:val="auto"/>
        </w:rPr>
      </w:pPr>
    </w:p>
    <w:p>
      <w:pPr>
        <w:ind w:right="200" w:firstLine="921"/>
        <w:spacing w:after="0" w:line="277" w:lineRule="auto"/>
        <w:tabs>
          <w:tab w:leader="none" w:pos="116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70" w:lineRule="exact"/>
        <w:rPr>
          <w:rFonts w:ascii="Arial" w:cs="Arial" w:eastAsia="Arial" w:hAnsi="Arial"/>
          <w:sz w:val="18"/>
          <w:szCs w:val="18"/>
          <w:color w:val="auto"/>
        </w:rPr>
      </w:pPr>
    </w:p>
    <w:p>
      <w:pPr>
        <w:ind w:right="20" w:firstLine="921"/>
        <w:spacing w:after="0" w:line="279" w:lineRule="auto"/>
        <w:tabs>
          <w:tab w:leader="none" w:pos="1158" w:val="left"/>
        </w:tabs>
        <w:numPr>
          <w:ilvl w:val="1"/>
          <w:numId w:val="308"/>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71" w:lineRule="exact"/>
        <w:rPr>
          <w:rFonts w:ascii="Arial" w:cs="Arial" w:eastAsia="Arial" w:hAnsi="Arial"/>
          <w:sz w:val="17"/>
          <w:szCs w:val="17"/>
          <w:color w:val="auto"/>
        </w:rPr>
      </w:pPr>
    </w:p>
    <w:p>
      <w:pPr>
        <w:ind w:right="180" w:firstLine="921"/>
        <w:spacing w:after="0" w:line="291" w:lineRule="auto"/>
        <w:tabs>
          <w:tab w:leader="none" w:pos="1168" w:val="left"/>
        </w:tabs>
        <w:numPr>
          <w:ilvl w:val="1"/>
          <w:numId w:val="308"/>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60" w:name="page461"/>
    <w:bookmarkEnd w:id="460"/>
    <w:p>
      <w:pPr>
        <w:ind w:left="-40" w:right="100" w:firstLine="921"/>
        <w:spacing w:after="0" w:line="255" w:lineRule="auto"/>
        <w:tabs>
          <w:tab w:leader="none" w:pos="1118" w:val="left"/>
        </w:tabs>
        <w:numPr>
          <w:ilvl w:val="1"/>
          <w:numId w:val="3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93" w:lineRule="exact"/>
        <w:rPr>
          <w:rFonts w:ascii="Arial" w:cs="Arial" w:eastAsia="Arial" w:hAnsi="Arial"/>
          <w:sz w:val="18"/>
          <w:szCs w:val="18"/>
          <w:color w:val="auto"/>
        </w:rPr>
      </w:pPr>
    </w:p>
    <w:p>
      <w:pPr>
        <w:ind w:left="-40" w:right="60" w:firstLine="921"/>
        <w:spacing w:after="0" w:line="264" w:lineRule="auto"/>
        <w:tabs>
          <w:tab w:leader="none" w:pos="1098" w:val="left"/>
        </w:tabs>
        <w:numPr>
          <w:ilvl w:val="1"/>
          <w:numId w:val="309"/>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77" w:lineRule="exact"/>
        <w:rPr>
          <w:rFonts w:ascii="Arial" w:cs="Arial" w:eastAsia="Arial" w:hAnsi="Arial"/>
          <w:sz w:val="18"/>
          <w:szCs w:val="18"/>
          <w:color w:val="auto"/>
        </w:rPr>
      </w:pPr>
    </w:p>
    <w:p>
      <w:pPr>
        <w:ind w:left="600" w:hanging="176"/>
        <w:spacing w:after="0"/>
        <w:tabs>
          <w:tab w:leader="none" w:pos="600" w:val="left"/>
        </w:tabs>
        <w:numPr>
          <w:ilvl w:val="0"/>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Legends and Stop-Transfer Orders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40" w:firstLine="921"/>
        <w:spacing w:after="0" w:line="282" w:lineRule="auto"/>
        <w:tabs>
          <w:tab w:leader="none" w:pos="1117" w:val="left"/>
        </w:tabs>
        <w:numPr>
          <w:ilvl w:val="1"/>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880" w:right="60" w:hanging="440"/>
        <w:spacing w:after="0" w:line="276" w:lineRule="auto"/>
        <w:tabs>
          <w:tab w:leader="none" w:pos="1880" w:val="left"/>
        </w:tabs>
        <w:numPr>
          <w:ilvl w:val="2"/>
          <w:numId w:val="310"/>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7" w:lineRule="exact"/>
        <w:rPr>
          <w:rFonts w:ascii="Arial" w:cs="Arial" w:eastAsia="Arial" w:hAnsi="Arial"/>
          <w:sz w:val="17"/>
          <w:szCs w:val="17"/>
          <w:color w:val="auto"/>
        </w:rPr>
      </w:pPr>
    </w:p>
    <w:p>
      <w:pPr>
        <w:ind w:left="1880" w:right="100" w:hanging="440"/>
        <w:spacing w:after="0" w:line="264" w:lineRule="auto"/>
        <w:tabs>
          <w:tab w:leader="none" w:pos="1880" w:val="left"/>
        </w:tabs>
        <w:numPr>
          <w:ilvl w:val="2"/>
          <w:numId w:val="310"/>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177" w:lineRule="exact"/>
        <w:rPr>
          <w:rFonts w:ascii="Arial" w:cs="Arial" w:eastAsia="Arial" w:hAnsi="Arial"/>
          <w:sz w:val="18"/>
          <w:szCs w:val="18"/>
          <w:color w:val="auto"/>
        </w:rPr>
      </w:pPr>
    </w:p>
    <w:p>
      <w:pPr>
        <w:jc w:val="both"/>
        <w:ind w:left="-40" w:right="100" w:firstLine="921"/>
        <w:spacing w:after="0" w:line="266" w:lineRule="auto"/>
        <w:tabs>
          <w:tab w:leader="none" w:pos="1128" w:val="left"/>
        </w:tabs>
        <w:numPr>
          <w:ilvl w:val="1"/>
          <w:numId w:val="310"/>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80" w:top="274" w:right="259" w:bottom="1440" w:gutter="0" w:footer="0" w:header="0"/>
        </w:sectPr>
      </w:pPr>
    </w:p>
    <w:bookmarkStart w:id="461" w:name="page462"/>
    <w:bookmarkEnd w:id="461"/>
    <w:p>
      <w:pPr>
        <w:ind w:right="20" w:firstLine="921"/>
        <w:spacing w:after="0" w:line="266" w:lineRule="auto"/>
        <w:tabs>
          <w:tab w:leader="none" w:pos="1157" w:val="left"/>
        </w:tabs>
        <w:numPr>
          <w:ilvl w:val="1"/>
          <w:numId w:val="3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Arial" w:cs="Arial" w:eastAsia="Arial" w:hAnsi="Arial"/>
          <w:sz w:val="18"/>
          <w:szCs w:val="18"/>
          <w:color w:val="auto"/>
        </w:rPr>
      </w:pPr>
    </w:p>
    <w:p>
      <w:pPr>
        <w:ind w:right="600" w:firstLine="464"/>
        <w:spacing w:after="0" w:line="313" w:lineRule="auto"/>
        <w:tabs>
          <w:tab w:leader="none" w:pos="636" w:val="left"/>
        </w:tabs>
        <w:numPr>
          <w:ilvl w:val="0"/>
          <w:numId w:val="312"/>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138" w:lineRule="exact"/>
        <w:rPr>
          <w:rFonts w:ascii="Arial" w:cs="Arial" w:eastAsia="Arial" w:hAnsi="Arial"/>
          <w:sz w:val="17"/>
          <w:szCs w:val="17"/>
          <w:color w:val="auto"/>
        </w:rPr>
      </w:pPr>
    </w:p>
    <w:p>
      <w:pPr>
        <w:ind w:firstLine="464"/>
        <w:spacing w:after="0" w:line="287" w:lineRule="auto"/>
        <w:tabs>
          <w:tab w:leader="none" w:pos="636" w:val="left"/>
        </w:tabs>
        <w:numPr>
          <w:ilvl w:val="0"/>
          <w:numId w:val="312"/>
        </w:numPr>
        <w:rPr>
          <w:rFonts w:ascii="Arial" w:cs="Arial" w:eastAsia="Arial" w:hAnsi="Arial"/>
          <w:sz w:val="16"/>
          <w:szCs w:val="16"/>
          <w:color w:val="auto"/>
        </w:rPr>
      </w:pPr>
      <w:r>
        <w:rPr>
          <w:rFonts w:ascii="Arial" w:cs="Arial" w:eastAsia="Arial" w:hAnsi="Arial"/>
          <w:sz w:val="16"/>
          <w:szCs w:val="16"/>
          <w:b w:val="1"/>
          <w:bCs w:val="1"/>
          <w:u w:val="single" w:color="auto"/>
          <w:color w:val="auto"/>
        </w:rPr>
        <w:t>Section 83(b)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understands that Section 83(a)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taxes as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income for a Nonstatutory Stock Option and as alternative minimum taxable income for an Incentive Stock Option the difference between the amount paid for the Shares and the Fair Market Value of the Shares as of the date any restrictions on the Shares lapse. In this context, “</w:t>
      </w:r>
      <w:r>
        <w:rPr>
          <w:rFonts w:ascii="Arial" w:cs="Arial" w:eastAsia="Arial" w:hAnsi="Arial"/>
          <w:sz w:val="16"/>
          <w:szCs w:val="16"/>
          <w:u w:val="single" w:color="auto"/>
          <w:color w:val="auto"/>
        </w:rPr>
        <w:t>restriction</w:t>
      </w:r>
      <w:r>
        <w:rPr>
          <w:rFonts w:ascii="Arial" w:cs="Arial" w:eastAsia="Arial" w:hAnsi="Arial"/>
          <w:sz w:val="16"/>
          <w:szCs w:val="16"/>
          <w:color w:val="auto"/>
        </w:rPr>
        <w:t>” means the right of the Company to buy back the Shares pursuant to the Repurchase Option set forth in Section 3(a) of this Agreement. Purchaser understands that Purchaser may elect to be taxed at the time the Shares are purchased, rather than when and as the Repurchase Option expires, by filing an election under Section 83(b) (an “</w:t>
      </w:r>
      <w:r>
        <w:rPr>
          <w:rFonts w:ascii="Arial" w:cs="Arial" w:eastAsia="Arial" w:hAnsi="Arial"/>
          <w:sz w:val="16"/>
          <w:szCs w:val="16"/>
          <w:u w:val="single" w:color="auto"/>
          <w:color w:val="auto"/>
        </w:rPr>
        <w:t>83(b) Election</w:t>
      </w:r>
      <w:r>
        <w:rPr>
          <w:rFonts w:ascii="Arial" w:cs="Arial" w:eastAsia="Arial" w:hAnsi="Arial"/>
          <w:sz w:val="16"/>
          <w:szCs w:val="16"/>
          <w:color w:val="auto"/>
        </w:rPr>
        <w:t>”) of the Code with the Internal Revenue Service within thirty (30) days from the date of purchase. Even if the Fair Market Value of the Shares at the time of the execution of this Agreement equals the amount paid for the Shares, the election must be made to avoid income and alternative minimum tax treatment under Section 83(a) in the future. Purchaser understands that failure to file such an election in a timely manner may result in adverse tax consequences for Purchaser. Purchaser further understands that an additional copy of such election form should be filed with his or her federal income tax return for the calendar year in which the date of this Agreement falls. Purchaser acknowledges that the foregoing is only a summary of the effect of United States federal income taxation with respect to purchase of the Shares hereunder, and does not purport to be complete. Purchaser further acknowledges that the Company has directed Purchaser to seek independent advice regarding the applicable provisions of the Code, the income tax laws of any municipality, state or foreign country in which Purchaser may reside, and the tax consequences of Purchaser’s death.</w:t>
      </w:r>
    </w:p>
    <w:p>
      <w:pPr>
        <w:spacing w:after="0" w:line="169"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Purchaser agrees that he or she will execute and deliver to the Company with this executed Agreement a copy of the Acknowledgment and Statement of Decision Regarding Section 83(b) Election (the “</w:t>
      </w:r>
      <w:r>
        <w:rPr>
          <w:rFonts w:ascii="Arial" w:cs="Arial" w:eastAsia="Arial" w:hAnsi="Arial"/>
          <w:sz w:val="17"/>
          <w:szCs w:val="17"/>
          <w:u w:val="single" w:color="auto"/>
          <w:color w:val="auto"/>
        </w:rPr>
        <w:t>Acknowledgment</w:t>
      </w:r>
      <w:r>
        <w:rPr>
          <w:rFonts w:ascii="Arial" w:cs="Arial" w:eastAsia="Arial" w:hAnsi="Arial"/>
          <w:sz w:val="17"/>
          <w:szCs w:val="17"/>
          <w:color w:val="auto"/>
        </w:rPr>
        <w:t xml:space="preserve">”) attached hereto as </w:t>
      </w:r>
      <w:r>
        <w:rPr>
          <w:rFonts w:ascii="Arial" w:cs="Arial" w:eastAsia="Arial" w:hAnsi="Arial"/>
          <w:sz w:val="17"/>
          <w:szCs w:val="17"/>
          <w:u w:val="single" w:color="auto"/>
          <w:color w:val="auto"/>
        </w:rPr>
        <w:t>Attachment B</w:t>
      </w:r>
      <w:r>
        <w:rPr>
          <w:rFonts w:ascii="Arial" w:cs="Arial" w:eastAsia="Arial" w:hAnsi="Arial"/>
          <w:sz w:val="17"/>
          <w:szCs w:val="17"/>
          <w:color w:val="auto"/>
        </w:rPr>
        <w:t xml:space="preserve">. Purchaser further agrees that he or she will execute and submit with the Acknowledgment a copy of the 83(b) Election attached hereto as </w:t>
      </w:r>
      <w:r>
        <w:rPr>
          <w:rFonts w:ascii="Arial" w:cs="Arial" w:eastAsia="Arial" w:hAnsi="Arial"/>
          <w:sz w:val="17"/>
          <w:szCs w:val="17"/>
          <w:u w:val="single" w:color="auto"/>
          <w:color w:val="auto"/>
        </w:rPr>
        <w:t>Attachment C</w:t>
      </w:r>
      <w:r>
        <w:rPr>
          <w:rFonts w:ascii="Arial" w:cs="Arial" w:eastAsia="Arial" w:hAnsi="Arial"/>
          <w:sz w:val="17"/>
          <w:szCs w:val="17"/>
          <w:color w:val="auto"/>
        </w:rPr>
        <w:t xml:space="preserve"> (for tax purposes in connection with the early exercise of an option) if Purchaser has indicated in the Acknowledgment his or her decision to make such an election.</w:t>
      </w:r>
    </w:p>
    <w:p>
      <w:pPr>
        <w:spacing w:after="0" w:line="167" w:lineRule="exact"/>
        <w:rPr>
          <w:sz w:val="20"/>
          <w:szCs w:val="20"/>
          <w:color w:val="auto"/>
        </w:rPr>
      </w:pPr>
    </w:p>
    <w:p>
      <w:pPr>
        <w:ind w:right="120" w:firstLine="464"/>
        <w:spacing w:after="0" w:line="261" w:lineRule="auto"/>
        <w:tabs>
          <w:tab w:leader="none" w:pos="636" w:val="left"/>
        </w:tabs>
        <w:numPr>
          <w:ilvl w:val="0"/>
          <w:numId w:val="313"/>
        </w:numPr>
        <w:rPr>
          <w:rFonts w:ascii="Arial" w:cs="Arial" w:eastAsia="Arial" w:hAnsi="Arial"/>
          <w:sz w:val="18"/>
          <w:szCs w:val="18"/>
          <w:color w:val="auto"/>
        </w:rPr>
      </w:pPr>
      <w:r>
        <w:rPr>
          <w:rFonts w:ascii="Arial" w:cs="Arial" w:eastAsia="Arial" w:hAnsi="Arial"/>
          <w:sz w:val="18"/>
          <w:szCs w:val="18"/>
          <w:b w:val="1"/>
          <w:bCs w:val="1"/>
          <w:u w:val="single" w:color="auto"/>
          <w:color w:val="auto"/>
        </w:rPr>
        <w:t>Lock-Up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initial public offering of the Company’s securities and upon request of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 without the prior written consent of the Company or such underwriters, as the case may be, for such</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462" w:name="page463"/>
    <w:bookmarkEnd w:id="462"/>
    <w:p>
      <w:pPr>
        <w:ind w:right="50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time (not to exceed one hundred eighty (180) 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20" w:lineRule="exact"/>
        <w:rPr>
          <w:sz w:val="20"/>
          <w:szCs w:val="20"/>
          <w:color w:val="auto"/>
        </w:rPr>
      </w:pPr>
    </w:p>
    <w:p>
      <w:pPr>
        <w:ind w:left="740" w:hanging="276"/>
        <w:spacing w:after="0"/>
        <w:tabs>
          <w:tab w:leader="none" w:pos="740" w:val="left"/>
        </w:tabs>
        <w:numPr>
          <w:ilvl w:val="0"/>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280" w:firstLine="921"/>
        <w:spacing w:after="0" w:line="347" w:lineRule="auto"/>
        <w:tabs>
          <w:tab w:leader="none" w:pos="1157" w:val="left"/>
        </w:tabs>
        <w:numPr>
          <w:ilvl w:val="1"/>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116" w:lineRule="exact"/>
        <w:rPr>
          <w:rFonts w:ascii="Arial" w:cs="Arial" w:eastAsia="Arial" w:hAnsi="Arial"/>
          <w:sz w:val="16"/>
          <w:szCs w:val="16"/>
          <w:color w:val="auto"/>
        </w:rPr>
      </w:pPr>
    </w:p>
    <w:p>
      <w:pPr>
        <w:ind w:firstLine="921"/>
        <w:spacing w:after="0" w:line="261" w:lineRule="auto"/>
        <w:tabs>
          <w:tab w:leader="none" w:pos="1168" w:val="left"/>
        </w:tabs>
        <w:numPr>
          <w:ilvl w:val="1"/>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rFonts w:ascii="Arial" w:cs="Arial" w:eastAsia="Arial" w:hAnsi="Arial"/>
          <w:sz w:val="18"/>
          <w:szCs w:val="18"/>
          <w:color w:val="auto"/>
        </w:rPr>
      </w:pPr>
    </w:p>
    <w:p>
      <w:pPr>
        <w:ind w:right="120" w:firstLine="921"/>
        <w:spacing w:after="0" w:line="261" w:lineRule="auto"/>
        <w:tabs>
          <w:tab w:leader="none" w:pos="1157" w:val="left"/>
        </w:tabs>
        <w:numPr>
          <w:ilvl w:val="1"/>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80" w:lineRule="exact"/>
        <w:rPr>
          <w:rFonts w:ascii="Arial" w:cs="Arial" w:eastAsia="Arial" w:hAnsi="Arial"/>
          <w:sz w:val="18"/>
          <w:szCs w:val="18"/>
          <w:color w:val="auto"/>
        </w:rPr>
      </w:pPr>
    </w:p>
    <w:p>
      <w:pPr>
        <w:jc w:val="both"/>
        <w:ind w:right="80" w:firstLine="921"/>
        <w:spacing w:after="0" w:line="266" w:lineRule="auto"/>
        <w:tabs>
          <w:tab w:leader="none" w:pos="1168" w:val="left"/>
        </w:tabs>
        <w:numPr>
          <w:ilvl w:val="1"/>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176" w:lineRule="exact"/>
        <w:rPr>
          <w:rFonts w:ascii="Arial" w:cs="Arial" w:eastAsia="Arial" w:hAnsi="Arial"/>
          <w:sz w:val="18"/>
          <w:szCs w:val="18"/>
          <w:color w:val="auto"/>
        </w:rPr>
      </w:pPr>
    </w:p>
    <w:p>
      <w:pPr>
        <w:jc w:val="both"/>
        <w:ind w:right="100" w:firstLine="921"/>
        <w:spacing w:after="0" w:line="289" w:lineRule="auto"/>
        <w:tabs>
          <w:tab w:leader="none" w:pos="1157" w:val="left"/>
        </w:tabs>
        <w:numPr>
          <w:ilvl w:val="1"/>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Agreement shall be in writing and shall be deemed sufficient when delivered personally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rFonts w:ascii="Arial" w:cs="Arial" w:eastAsia="Arial" w:hAnsi="Arial"/>
          <w:sz w:val="17"/>
          <w:szCs w:val="17"/>
          <w:color w:val="auto"/>
        </w:rPr>
      </w:pPr>
    </w:p>
    <w:p>
      <w:pPr>
        <w:ind w:right="60" w:firstLine="921"/>
        <w:spacing w:after="0" w:line="282" w:lineRule="auto"/>
        <w:tabs>
          <w:tab w:leader="none" w:pos="1138" w:val="left"/>
        </w:tabs>
        <w:numPr>
          <w:ilvl w:val="1"/>
          <w:numId w:val="314"/>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(2)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61" w:lineRule="exact"/>
        <w:rPr>
          <w:rFonts w:ascii="Arial" w:cs="Arial" w:eastAsia="Arial" w:hAnsi="Arial"/>
          <w:sz w:val="18"/>
          <w:szCs w:val="18"/>
          <w:color w:val="auto"/>
        </w:rPr>
      </w:pPr>
    </w:p>
    <w:p>
      <w:pPr>
        <w:ind w:right="200" w:firstLine="921"/>
        <w:spacing w:after="0" w:line="347" w:lineRule="auto"/>
        <w:tabs>
          <w:tab w:leader="none" w:pos="1168" w:val="left"/>
        </w:tabs>
        <w:numPr>
          <w:ilvl w:val="1"/>
          <w:numId w:val="314"/>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116" w:lineRule="exact"/>
        <w:rPr>
          <w:rFonts w:ascii="Arial" w:cs="Arial" w:eastAsia="Arial" w:hAnsi="Arial"/>
          <w:sz w:val="16"/>
          <w:szCs w:val="16"/>
          <w:color w:val="auto"/>
        </w:rPr>
      </w:pPr>
    </w:p>
    <w:p>
      <w:pPr>
        <w:ind w:left="1180" w:hanging="259"/>
        <w:spacing w:after="0"/>
        <w:tabs>
          <w:tab w:leader="none" w:pos="1180" w:val="left"/>
        </w:tabs>
        <w:numPr>
          <w:ilvl w:val="1"/>
          <w:numId w:val="314"/>
        </w:numPr>
        <w:rPr>
          <w:rFonts w:ascii="Arial" w:cs="Arial" w:eastAsia="Arial" w:hAnsi="Arial"/>
          <w:sz w:val="17"/>
          <w:szCs w:val="17"/>
          <w:color w:val="auto"/>
        </w:rPr>
      </w:pPr>
      <w:r>
        <w:rPr>
          <w:rFonts w:ascii="Arial" w:cs="Arial" w:eastAsia="Arial" w:hAnsi="Arial"/>
          <w:sz w:val="17"/>
          <w:szCs w:val="17"/>
          <w:b w:val="1"/>
          <w:bCs w:val="1"/>
          <w:u w:val="single" w:color="auto"/>
          <w:color w:val="auto"/>
        </w:rPr>
        <w:t>California Corporate Securities Law</w:t>
      </w:r>
      <w:r>
        <w:rPr>
          <w:rFonts w:ascii="Arial" w:cs="Arial" w:eastAsia="Arial" w:hAnsi="Arial"/>
          <w:sz w:val="17"/>
          <w:szCs w:val="17"/>
          <w:b w:val="1"/>
          <w:bCs w:val="1"/>
          <w:color w:val="auto"/>
        </w:rPr>
        <w:t xml:space="preserve">. </w:t>
      </w:r>
      <w:r>
        <w:rPr>
          <w:rFonts w:ascii="Arial" w:cs="Arial" w:eastAsia="Arial" w:hAnsi="Arial"/>
          <w:sz w:val="17"/>
          <w:szCs w:val="17"/>
          <w:color w:val="auto"/>
        </w:rPr>
        <w:t>THE SALE OF THE SECURITIES WHICH ARE THE SUBJECT OF THIS AGREEMENT HAS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NOT BEEN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3" w:right="279" w:bottom="1440" w:gutter="0" w:footer="0" w:header="0"/>
        </w:sectPr>
      </w:pPr>
    </w:p>
    <w:bookmarkStart w:id="463" w:name="page464"/>
    <w:bookmarkEnd w:id="46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464" w:name="page465"/>
    <w:bookmarkEnd w:id="4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Early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14605</wp:posOffset>
            </wp:positionV>
            <wp:extent cx="24009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7060" w:type="dxa"/>
            <w:vAlign w:val="bottom"/>
            <w:gridSpan w:val="2"/>
          </w:tcPr>
          <w:p>
            <w:pPr>
              <w:spacing w:after="0"/>
              <w:rPr>
                <w:sz w:val="19"/>
                <w:szCs w:val="19"/>
                <w:color w:val="auto"/>
              </w:rPr>
            </w:pPr>
          </w:p>
        </w:tc>
        <w:tc>
          <w:tcPr>
            <w:tcW w:w="3780" w:type="dxa"/>
            <w:vAlign w:val="bottom"/>
            <w:tcBorders>
              <w:bottom w:val="single" w:sz="8" w:color="auto"/>
            </w:tcBorders>
          </w:tcPr>
          <w:p>
            <w:pPr>
              <w:spacing w:after="0"/>
              <w:rPr>
                <w:sz w:val="19"/>
                <w:szCs w:val="19"/>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10840" w:type="dxa"/>
            <w:vAlign w:val="bottom"/>
            <w:gridSpan w:val="3"/>
          </w:tcPr>
          <w:p>
            <w:pPr>
              <w:ind w:left="480"/>
              <w:spacing w:after="0"/>
              <w:rPr>
                <w:sz w:val="20"/>
                <w:szCs w:val="20"/>
                <w:color w:val="auto"/>
              </w:rPr>
            </w:pPr>
            <w:r>
              <w:rPr>
                <w:rFonts w:ascii="Arial" w:cs="Arial" w:eastAsia="Arial" w:hAnsi="Arial"/>
                <w:sz w:val="18"/>
                <w:szCs w:val="18"/>
                <w:color w:val="auto"/>
                <w:w w:val="91"/>
              </w:rPr>
              <w:t>, spouse of «Name», have read and hereby approve the foregoing Agreement. In consideration of the Company’s granting my spouse the right</w:t>
            </w:r>
          </w:p>
        </w:tc>
      </w:tr>
    </w:tbl>
    <w:p>
      <w:pPr>
        <w:jc w:val="both"/>
        <w:ind w:right="40"/>
        <w:spacing w:after="0" w:line="255" w:lineRule="auto"/>
        <w:rPr>
          <w:sz w:val="20"/>
          <w:szCs w:val="20"/>
          <w:color w:val="auto"/>
        </w:rPr>
      </w:pPr>
      <w:r>
        <w:rPr>
          <w:rFonts w:ascii="Arial" w:cs="Arial" w:eastAsia="Arial" w:hAnsi="Arial"/>
          <w:sz w:val="18"/>
          <w:szCs w:val="18"/>
          <w:color w:val="auto"/>
        </w:rPr>
        <w:t>to purchase the Shares as set forth in the Agreement, I hereby agree to be bound irrevocably by the Agreement and further agree that any community property or other such interest that I may have in the Shares shall hereby be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284480</wp:posOffset>
            </wp:positionV>
            <wp:extent cx="289877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65" w:name="page466"/>
    <w:bookmarkEnd w:id="465"/>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ATTACHMENT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ASSIGNMENT SEPARATE FROM CERTIFICATE</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 VALUE RECEIVED and pursuant to that certain Early Exercise Notice and Restricted Stock Purchase Agreement between the undersigned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gridSpan w:val="7"/>
          </w:tcPr>
          <w:p>
            <w:pPr>
              <w:spacing w:after="0"/>
              <w:rPr>
                <w:sz w:val="20"/>
                <w:szCs w:val="20"/>
                <w:color w:val="auto"/>
              </w:rPr>
            </w:pPr>
            <w:r>
              <w:rPr>
                <w:rFonts w:ascii="Arial" w:cs="Arial" w:eastAsia="Arial" w:hAnsi="Arial"/>
                <w:sz w:val="18"/>
                <w:szCs w:val="18"/>
                <w:color w:val="auto"/>
                <w:w w:val="96"/>
              </w:rPr>
              <w:t>(“Purchaser”) and Syndax Pharmaceuticals, Inc. (the “Company”) dated</w:t>
            </w:r>
          </w:p>
        </w:tc>
        <w:tc>
          <w:tcPr>
            <w:tcW w:w="5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340" w:type="dxa"/>
            <w:vAlign w:val="bottom"/>
            <w:gridSpan w:val="3"/>
          </w:tcPr>
          <w:p>
            <w:pPr>
              <w:jc w:val="right"/>
              <w:ind w:right="50"/>
              <w:spacing w:after="0"/>
              <w:rPr>
                <w:sz w:val="20"/>
                <w:szCs w:val="20"/>
                <w:color w:val="auto"/>
              </w:rPr>
            </w:pPr>
            <w:r>
              <w:rPr>
                <w:rFonts w:ascii="Arial" w:cs="Arial" w:eastAsia="Arial" w:hAnsi="Arial"/>
                <w:sz w:val="18"/>
                <w:szCs w:val="18"/>
                <w:color w:val="auto"/>
                <w:w w:val="93"/>
              </w:rPr>
              <w:t>(the “Agreement”), Purchaser hereby sells, assigns and transfers unto</w:t>
            </w:r>
          </w:p>
        </w:tc>
      </w:tr>
      <w:tr>
        <w:trPr>
          <w:trHeight w:val="20"/>
        </w:trPr>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22"/>
        </w:trPr>
        <w:tc>
          <w:tcPr>
            <w:tcW w:w="2600" w:type="dxa"/>
            <w:vAlign w:val="bottom"/>
            <w:gridSpan w:val="3"/>
          </w:tcPr>
          <w:p>
            <w:pPr>
              <w:spacing w:after="0"/>
              <w:rPr>
                <w:sz w:val="20"/>
                <w:szCs w:val="20"/>
                <w:color w:val="auto"/>
              </w:rPr>
            </w:pPr>
            <w:r>
              <w:rPr>
                <w:rFonts w:ascii="Arial" w:cs="Arial" w:eastAsia="Arial" w:hAnsi="Arial"/>
                <w:sz w:val="18"/>
                <w:szCs w:val="18"/>
                <w:color w:val="auto"/>
              </w:rPr>
              <w:t>the Company</w:t>
            </w:r>
          </w:p>
        </w:tc>
        <w:tc>
          <w:tcPr>
            <w:tcW w:w="6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120" w:type="dxa"/>
            <w:vAlign w:val="bottom"/>
            <w:gridSpan w:val="7"/>
          </w:tcPr>
          <w:p>
            <w:pPr>
              <w:jc w:val="right"/>
              <w:spacing w:after="0"/>
              <w:rPr>
                <w:sz w:val="20"/>
                <w:szCs w:val="20"/>
                <w:color w:val="auto"/>
              </w:rPr>
            </w:pPr>
            <w:r>
              <w:rPr>
                <w:rFonts w:ascii="Arial" w:cs="Arial" w:eastAsia="Arial" w:hAnsi="Arial"/>
                <w:sz w:val="18"/>
                <w:szCs w:val="18"/>
                <w:color w:val="auto"/>
                <w:w w:val="93"/>
              </w:rPr>
              <w:t>) shares of the Common Stock of the Company, standing in Purchaser’s name on the books of the Company</w:t>
            </w:r>
          </w:p>
        </w:tc>
      </w:tr>
      <w:tr>
        <w:trPr>
          <w:trHeight w:val="230"/>
        </w:trPr>
        <w:tc>
          <w:tcPr>
            <w:tcW w:w="2600" w:type="dxa"/>
            <w:vAlign w:val="bottom"/>
            <w:gridSpan w:val="3"/>
          </w:tcPr>
          <w:p>
            <w:pPr>
              <w:spacing w:after="0"/>
              <w:rPr>
                <w:sz w:val="20"/>
                <w:szCs w:val="20"/>
                <w:color w:val="auto"/>
              </w:rPr>
            </w:pPr>
            <w:r>
              <w:rPr>
                <w:rFonts w:ascii="Arial" w:cs="Arial" w:eastAsia="Arial" w:hAnsi="Arial"/>
                <w:sz w:val="18"/>
                <w:szCs w:val="18"/>
                <w:color w:val="auto"/>
                <w:w w:val="94"/>
              </w:rPr>
              <w:t>and represented by Certificate No.</w:t>
            </w:r>
          </w:p>
        </w:tc>
        <w:tc>
          <w:tcPr>
            <w:tcW w:w="4080" w:type="dxa"/>
            <w:vAlign w:val="bottom"/>
            <w:gridSpan w:val="6"/>
          </w:tcPr>
          <w:p>
            <w:pPr>
              <w:ind w:left="100"/>
              <w:spacing w:after="0"/>
              <w:rPr>
                <w:sz w:val="20"/>
                <w:szCs w:val="20"/>
                <w:color w:val="auto"/>
              </w:rPr>
            </w:pPr>
            <w:r>
              <w:rPr>
                <w:rFonts w:ascii="Arial" w:cs="Arial" w:eastAsia="Arial" w:hAnsi="Arial"/>
                <w:sz w:val="18"/>
                <w:szCs w:val="18"/>
                <w:color w:val="auto"/>
                <w:w w:val="94"/>
              </w:rPr>
              <w:t>, and does hereby irrevocably constitute and appoint</w:t>
            </w:r>
          </w:p>
        </w:tc>
        <w:tc>
          <w:tcPr>
            <w:tcW w:w="800" w:type="dxa"/>
            <w:vAlign w:val="bottom"/>
          </w:tcPr>
          <w:p>
            <w:pPr>
              <w:spacing w:after="0"/>
              <w:rPr>
                <w:sz w:val="20"/>
                <w:szCs w:val="20"/>
                <w:color w:val="auto"/>
              </w:rPr>
            </w:pPr>
          </w:p>
        </w:tc>
        <w:tc>
          <w:tcPr>
            <w:tcW w:w="3920" w:type="dxa"/>
            <w:vAlign w:val="bottom"/>
          </w:tcPr>
          <w:p>
            <w:pPr>
              <w:jc w:val="right"/>
              <w:ind w:right="30"/>
              <w:spacing w:after="0"/>
              <w:rPr>
                <w:sz w:val="20"/>
                <w:szCs w:val="20"/>
                <w:color w:val="auto"/>
              </w:rPr>
            </w:pPr>
            <w:r>
              <w:rPr>
                <w:rFonts w:ascii="Arial" w:cs="Arial" w:eastAsia="Arial" w:hAnsi="Arial"/>
                <w:sz w:val="18"/>
                <w:szCs w:val="18"/>
                <w:color w:val="auto"/>
              </w:rPr>
              <w:t>to transfer said stock on the books of the</w:t>
            </w:r>
          </w:p>
        </w:tc>
      </w:tr>
    </w:tbl>
    <w:p>
      <w:pPr>
        <w:ind w:right="100"/>
        <w:spacing w:after="0" w:line="261" w:lineRule="auto"/>
        <w:rPr>
          <w:sz w:val="20"/>
          <w:szCs w:val="20"/>
          <w:color w:val="auto"/>
        </w:rPr>
      </w:pPr>
      <w:r>
        <w:rPr>
          <w:rFonts w:ascii="Arial" w:cs="Arial" w:eastAsia="Arial" w:hAnsi="Arial"/>
          <w:sz w:val="18"/>
          <w:szCs w:val="18"/>
          <w:color w:val="auto"/>
        </w:rPr>
        <w:t>Company with full power of substitution in the premises. THIS ASSIGNMENT MAY ONLY BE USED AS AUTHORIZED BY THE AGREEMENT AND THE ATTACHMENTS THERETO.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5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 of «Name» (if applicable)</w:t>
      </w:r>
    </w:p>
    <w:p>
      <w:pPr>
        <w:spacing w:after="0" w:line="221" w:lineRule="exact"/>
        <w:rPr>
          <w:sz w:val="20"/>
          <w:szCs w:val="20"/>
          <w:color w:val="auto"/>
        </w:rPr>
      </w:pPr>
    </w:p>
    <w:p>
      <w:pPr>
        <w:ind w:right="320"/>
        <w:spacing w:after="0" w:line="313" w:lineRule="auto"/>
        <w:rPr>
          <w:sz w:val="20"/>
          <w:szCs w:val="20"/>
          <w:color w:val="auto"/>
        </w:rPr>
      </w:pPr>
      <w:r>
        <w:rPr>
          <w:rFonts w:ascii="Arial" w:cs="Arial" w:eastAsia="Arial" w:hAnsi="Arial"/>
          <w:sz w:val="17"/>
          <w:szCs w:val="17"/>
          <w:b w:val="1"/>
          <w:bCs w:val="1"/>
          <w:color w:val="auto"/>
        </w:rPr>
        <w:t>Instruction: Please do not fill in any blanks other than the signature line. The purpose of this assignment is to enable the Company to exercise its Repurchase Option set forth in the Agreement without requiring additional signatures on the part of Purchaser.</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466" w:name="page467"/>
    <w:bookmarkEnd w:id="46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B</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ACKNOWLEDGMENT AND STATEMENT OF DECISION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REGARDING SECTION 83(b) ELECTION</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undersigned (which term includes the undersigned’s spouse), a purchaser of shares of Common Stock of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by exercise of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granted pursuant to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 hereby states as follows:</w:t>
      </w:r>
    </w:p>
    <w:p>
      <w:pPr>
        <w:spacing w:after="0" w:line="181" w:lineRule="exact"/>
        <w:rPr>
          <w:sz w:val="20"/>
          <w:szCs w:val="20"/>
          <w:color w:val="auto"/>
        </w:rPr>
      </w:pPr>
    </w:p>
    <w:p>
      <w:pPr>
        <w:ind w:right="100" w:firstLine="464"/>
        <w:spacing w:after="0" w:line="277" w:lineRule="auto"/>
        <w:tabs>
          <w:tab w:leader="none" w:pos="636"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undersigned acknowledges receipt of a copy of the Plan relating to the offering of such shares. The undersigned has carefully reviewed the Plan and the option agreement pursuant to which the Option was granted.</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undersigned either [check and complete as applicable]:</w:t>
      </w:r>
    </w:p>
    <w:p>
      <w:pPr>
        <w:spacing w:after="0" w:line="131" w:lineRule="exact"/>
        <w:rPr>
          <w:sz w:val="20"/>
          <w:szCs w:val="20"/>
          <w:color w:val="auto"/>
        </w:rPr>
      </w:pPr>
    </w:p>
    <w:p>
      <w:pPr>
        <w:ind w:left="460"/>
        <w:spacing w:after="0"/>
        <w:tabs>
          <w:tab w:leader="none" w:pos="1280" w:val="left"/>
          <w:tab w:leader="none" w:pos="89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has consulted, and has been fully advised by, the undersigned’s own tax advisor,</w:t>
      </w:r>
      <w:r>
        <w:rPr>
          <w:sz w:val="20"/>
          <w:szCs w:val="20"/>
          <w:color w:val="auto"/>
        </w:rPr>
        <w:tab/>
      </w:r>
      <w:r>
        <w:rPr>
          <w:rFonts w:ascii="Arial" w:cs="Arial" w:eastAsia="Arial" w:hAnsi="Arial"/>
          <w:sz w:val="15"/>
          <w:szCs w:val="15"/>
          <w:color w:val="auto"/>
        </w:rPr>
        <w:t>, whose business address is</w:t>
      </w:r>
    </w:p>
    <w:p>
      <w:pPr>
        <w:spacing w:after="0" w:line="23" w:lineRule="exact"/>
        <w:rPr>
          <w:sz w:val="20"/>
          <w:szCs w:val="20"/>
          <w:color w:val="auto"/>
        </w:rPr>
      </w:pPr>
    </w:p>
    <w:p>
      <w:pPr>
        <w:ind w:left="900" w:right="140" w:firstLine="1799"/>
        <w:spacing w:after="0" w:line="255" w:lineRule="auto"/>
        <w:tabs>
          <w:tab w:leader="none" w:pos="279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regarding the federal, state and local tax consequences of purchasing shares under the Plan, and particularly regarding the advisability of making elections pursuant to Section 83(b) of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and pursuant to the corresponding provisions, if any, of applicable state law; or</w:t>
      </w:r>
    </w:p>
    <w:p>
      <w:pPr>
        <w:spacing w:after="0" w:line="95" w:lineRule="exact"/>
        <w:rPr>
          <w:rFonts w:ascii="Arial" w:cs="Arial" w:eastAsia="Arial" w:hAnsi="Arial"/>
          <w:sz w:val="18"/>
          <w:szCs w:val="18"/>
          <w:color w:val="auto"/>
        </w:rPr>
      </w:pPr>
    </w:p>
    <w:p>
      <w:pPr>
        <w:ind w:left="1300" w:hanging="846"/>
        <w:spacing w:after="0"/>
        <w:tabs>
          <w:tab w:leader="none" w:pos="13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has knowingly chosen not to consult such a tax advisor.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 The undersigned hereby states that the undersigned has decided [check as applicable]:</w:t>
      </w:r>
    </w:p>
    <w:p>
      <w:pPr>
        <w:spacing w:after="0" w:line="131" w:lineRule="exact"/>
        <w:rPr>
          <w:sz w:val="20"/>
          <w:szCs w:val="20"/>
          <w:color w:val="auto"/>
        </w:rPr>
      </w:pPr>
    </w:p>
    <w:p>
      <w:pPr>
        <w:ind w:left="900" w:right="400" w:hanging="446"/>
        <w:spacing w:after="0" w:line="264" w:lineRule="auto"/>
        <w:tabs>
          <w:tab w:leader="none" w:pos="130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to make an election pursuant to Section 83(b) of the Code, and is submitting to the Company, together with the undersigned’s executed Early Exercise Notice and Restricted Stock Purchase Agreement, an executed form entitled “Election Under Section 83(b) of the Internal Revenue Code of 1986;” or</w:t>
      </w:r>
    </w:p>
    <w:p>
      <w:pPr>
        <w:spacing w:after="0" w:line="86" w:lineRule="exact"/>
        <w:rPr>
          <w:rFonts w:ascii="Arial" w:cs="Arial" w:eastAsia="Arial" w:hAnsi="Arial"/>
          <w:sz w:val="18"/>
          <w:szCs w:val="18"/>
          <w:color w:val="auto"/>
        </w:rPr>
      </w:pPr>
    </w:p>
    <w:p>
      <w:pPr>
        <w:ind w:left="1300" w:hanging="846"/>
        <w:spacing w:after="0"/>
        <w:tabs>
          <w:tab w:leader="none" w:pos="13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not to make an election pursuant to Section 83(b) of the Code.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67" w:name="page468"/>
    <w:bookmarkEnd w:id="467"/>
    <w:p>
      <w:pPr>
        <w:ind w:firstLine="464"/>
        <w:spacing w:after="0" w:line="264" w:lineRule="auto"/>
        <w:tabs>
          <w:tab w:leader="none" w:pos="636" w:val="left"/>
        </w:tabs>
        <w:numPr>
          <w:ilvl w:val="0"/>
          <w:numId w:val="3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any subsidiary or representative of the Company has made any warranty or representation to the undersigned with respect to the tax consequences of the undersigned’s purchase of shares under the Plan or of the making or failure to make an election pursuant to Section 83(b) of the Code or the corresponding provisions, if any, of applicable state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689483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1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68" w:name="page469"/>
    <w:bookmarkEnd w:id="468"/>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C</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ELECTION UNDER SECTION 83(b)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OF THE INTERNAL REVENUE CODE OF 1986</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to include in taxpayer’s gross income or alternative minimum taxable income, as applicable, for the current taxable year, the amount of any income that may be taxable to taxpayer in connection with taxpayer’s receipt of the property described below:</w:t>
      </w:r>
    </w:p>
    <w:p>
      <w:pPr>
        <w:spacing w:after="0" w:line="87" w:lineRule="exact"/>
        <w:rPr>
          <w:sz w:val="20"/>
          <w:szCs w:val="20"/>
          <w:color w:val="auto"/>
        </w:rPr>
      </w:pPr>
    </w:p>
    <w:p>
      <w:pPr>
        <w:ind w:left="460" w:right="3580" w:hanging="452"/>
        <w:spacing w:after="0" w:line="375" w:lineRule="auto"/>
        <w:tabs>
          <w:tab w:leader="none" w:pos="449"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name, address, taxpayer identification number and taxable year of the undersigned are as follows: NAME OF TAXPAYER: «Name»</w:t>
      </w:r>
    </w:p>
    <w:p>
      <w:pPr>
        <w:spacing w:after="0" w:line="1" w:lineRule="exact"/>
        <w:rPr>
          <w:rFonts w:ascii="Arial" w:cs="Arial" w:eastAsia="Arial" w:hAnsi="Arial"/>
          <w:sz w:val="18"/>
          <w:szCs w:val="18"/>
          <w:color w:val="auto"/>
        </w:rPr>
      </w:pPr>
    </w:p>
    <w:p>
      <w:pPr>
        <w:ind w:left="460" w:right="9360"/>
        <w:spacing w:after="0" w:line="397" w:lineRule="auto"/>
        <w:rPr>
          <w:rFonts w:ascii="Arial" w:cs="Arial" w:eastAsia="Arial" w:hAnsi="Arial"/>
          <w:sz w:val="18"/>
          <w:szCs w:val="18"/>
          <w:color w:val="auto"/>
        </w:rPr>
      </w:pPr>
      <w:r>
        <w:rPr>
          <w:rFonts w:ascii="Arial" w:cs="Arial" w:eastAsia="Arial" w:hAnsi="Arial"/>
          <w:sz w:val="17"/>
          <w:szCs w:val="17"/>
          <w:color w:val="auto"/>
        </w:rPr>
        <w:t>NAME OF SPOUSE: ADDRESS:</w:t>
      </w:r>
    </w:p>
    <w:p>
      <w:pPr>
        <w:spacing w:after="0" w:line="1" w:lineRule="exact"/>
        <w:rPr>
          <w:rFonts w:ascii="Arial" w:cs="Arial" w:eastAsia="Arial" w:hAnsi="Arial"/>
          <w:sz w:val="18"/>
          <w:szCs w:val="18"/>
          <w:color w:val="auto"/>
        </w:rPr>
      </w:pPr>
    </w:p>
    <w:p>
      <w:pPr>
        <w:ind w:left="460" w:right="7880"/>
        <w:spacing w:after="0" w:line="381" w:lineRule="auto"/>
        <w:rPr>
          <w:rFonts w:ascii="Arial" w:cs="Arial" w:eastAsia="Arial" w:hAnsi="Arial"/>
          <w:sz w:val="18"/>
          <w:szCs w:val="18"/>
          <w:color w:val="auto"/>
        </w:rPr>
      </w:pPr>
      <w:r>
        <w:rPr>
          <w:rFonts w:ascii="Arial" w:cs="Arial" w:eastAsia="Arial" w:hAnsi="Arial"/>
          <w:sz w:val="18"/>
          <w:szCs w:val="18"/>
          <w:color w:val="auto"/>
        </w:rPr>
        <w:t>IDENTIFICATION NO. OF TAXPAYER: IDENTIFICATION NO. OF SPOUSE: TAXABLE YEAR:</w:t>
      </w:r>
    </w:p>
    <w:p>
      <w:pPr>
        <w:ind w:left="460" w:hanging="452"/>
        <w:spacing w:after="0"/>
        <w:tabs>
          <w:tab w:leader="none" w:pos="4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The property with respect to which the election is made is described as follows:</w:t>
      </w:r>
    </w:p>
    <w:p>
      <w:pPr>
        <w:spacing w:after="0" w:line="11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shares of the Common Stock of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31"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date on which the property was transferred is: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property is subject to the following restrictions: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Repurchase option at cost in favor of the Company upon termination of taxpayer’s employment or consulting relationship.</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such property is: $</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amount (if any) paid for such property: $</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undersigned understands that the foregoing election may not be revoked except with the consent of the Commissioner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86943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686943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3" w:right="259" w:bottom="1440" w:gutter="0" w:footer="0" w:header="0"/>
        </w:sectPr>
      </w:pPr>
    </w:p>
    <w:bookmarkStart w:id="469" w:name="page470"/>
    <w:bookmarkEnd w:id="469"/>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520" w:type="dxa"/>
            <w:vAlign w:val="bottom"/>
            <w:gridSpan w:val="2"/>
          </w:tcPr>
          <w:p>
            <w:pPr>
              <w:spacing w:after="0"/>
              <w:rPr>
                <w:sz w:val="20"/>
                <w:szCs w:val="20"/>
                <w:color w:val="auto"/>
              </w:rPr>
            </w:pPr>
            <w:r>
              <w:rPr>
                <w:rFonts w:ascii="Arial" w:cs="Arial" w:eastAsia="Arial" w:hAnsi="Arial"/>
                <w:sz w:val="18"/>
                <w:szCs w:val="18"/>
                <w:b w:val="1"/>
                <w:bCs w:val="1"/>
                <w:color w:val="auto"/>
              </w:rPr>
              <w:t>RECEIPT AND CONSENT</w:t>
            </w:r>
          </w:p>
        </w:tc>
        <w:tc>
          <w:tcPr>
            <w:tcW w:w="424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38"/>
        </w:trPr>
        <w:tc>
          <w:tcPr>
            <w:tcW w:w="7160" w:type="dxa"/>
            <w:vAlign w:val="bottom"/>
            <w:gridSpan w:val="5"/>
          </w:tcPr>
          <w:p>
            <w:pPr>
              <w:ind w:left="460"/>
              <w:spacing w:after="0"/>
              <w:rPr>
                <w:sz w:val="20"/>
                <w:szCs w:val="20"/>
                <w:color w:val="auto"/>
              </w:rPr>
            </w:pPr>
            <w:r>
              <w:rPr>
                <w:rFonts w:ascii="Arial" w:cs="Arial" w:eastAsia="Arial" w:hAnsi="Arial"/>
                <w:sz w:val="18"/>
                <w:szCs w:val="18"/>
                <w:color w:val="auto"/>
                <w:w w:val="99"/>
              </w:rPr>
              <w:t>The undersigned hereby acknowledges receipt of a photocopy of Certificate No.   for</w:t>
            </w:r>
          </w:p>
        </w:tc>
        <w:tc>
          <w:tcPr>
            <w:tcW w:w="4240" w:type="dxa"/>
            <w:vAlign w:val="bottom"/>
          </w:tcPr>
          <w:p>
            <w:pPr>
              <w:ind w:left="360"/>
              <w:spacing w:after="0"/>
              <w:rPr>
                <w:sz w:val="20"/>
                <w:szCs w:val="20"/>
                <w:color w:val="auto"/>
              </w:rPr>
            </w:pPr>
            <w:r>
              <w:rPr>
                <w:rFonts w:ascii="Arial" w:cs="Arial" w:eastAsia="Arial" w:hAnsi="Arial"/>
                <w:sz w:val="18"/>
                <w:szCs w:val="18"/>
                <w:color w:val="auto"/>
                <w:w w:val="89"/>
              </w:rPr>
              <w:t>shares of Common Stock of Syndax Pharmaceuticals,</w:t>
            </w:r>
          </w:p>
        </w:tc>
      </w:tr>
      <w:tr>
        <w:trPr>
          <w:trHeight w:val="190"/>
        </w:trPr>
        <w:tc>
          <w:tcPr>
            <w:tcW w:w="7160" w:type="dxa"/>
            <w:vAlign w:val="bottom"/>
            <w:gridSpan w:val="5"/>
          </w:tcPr>
          <w:p>
            <w:pPr>
              <w:spacing w:after="0" w:line="190" w:lineRule="exact"/>
              <w:rPr>
                <w:sz w:val="20"/>
                <w:szCs w:val="20"/>
                <w:color w:val="auto"/>
              </w:rPr>
            </w:pPr>
            <w:r>
              <w:rPr>
                <w:rFonts w:ascii="Arial" w:cs="Arial" w:eastAsia="Arial" w:hAnsi="Arial"/>
                <w:sz w:val="18"/>
                <w:szCs w:val="18"/>
                <w:color w:val="auto"/>
              </w:rPr>
              <w:t>Inc. (the “Company”).</w:t>
            </w:r>
          </w:p>
        </w:tc>
        <w:tc>
          <w:tcPr>
            <w:tcW w:w="4240" w:type="dxa"/>
            <w:vAlign w:val="bottom"/>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20" w:firstLine="456"/>
        <w:spacing w:after="0" w:line="286" w:lineRule="auto"/>
        <w:rPr>
          <w:sz w:val="20"/>
          <w:szCs w:val="20"/>
          <w:color w:val="auto"/>
        </w:rPr>
      </w:pPr>
      <w:r>
        <w:rPr>
          <w:rFonts w:ascii="Arial" w:cs="Arial" w:eastAsia="Arial" w:hAnsi="Arial"/>
          <w:sz w:val="17"/>
          <w:szCs w:val="17"/>
          <w:color w:val="auto"/>
        </w:rPr>
        <w:t>The undersigned further acknowledges that the Secretary of the Company, or his or her designee, is acting as escrow holder pursuant to the Early Exercise Notice and Restricted Stock Purchase Agreement Purchaser has previously entered into with the Company. As escrow holder, the Secretary of the Company, or his or her designee, holds the original of the aforementioned certificate issued in the undersigned’s name.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588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306705</wp:posOffset>
            </wp:positionV>
            <wp:extent cx="325882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56" w:right="259" w:bottom="1440" w:gutter="0" w:footer="0" w:header="0"/>
        </w:sectPr>
      </w:pPr>
    </w:p>
    <w:bookmarkStart w:id="470" w:name="page471"/>
    <w:bookmarkEnd w:id="470"/>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SYNDAX PHARMACEUTICALS,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2007 STOCK PLAN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EXERCISE NOTICE AND RESTRICTED STOCK PURCHASE AGREEMENT</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This Agreement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by and between Syndax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w:t>
      </w:r>
      <w:r>
        <w:rPr>
          <w:rFonts w:ascii="Arial" w:cs="Arial" w:eastAsia="Arial" w:hAnsi="Arial"/>
          <w:sz w:val="18"/>
          <w:szCs w:val="18"/>
          <w:u w:val="single" w:color="auto"/>
          <w:color w:val="auto"/>
        </w:rPr>
        <w:t>Purchaser</w:t>
      </w:r>
      <w:r>
        <w:rPr>
          <w:rFonts w:ascii="Arial" w:cs="Arial" w:eastAsia="Arial" w:hAnsi="Arial"/>
          <w:sz w:val="18"/>
          <w:szCs w:val="18"/>
          <w:color w:val="auto"/>
        </w:rPr>
        <w:t>”). To the extent any capitalized terms used in this Agreement are not defined, they shall have the meaning ascribed to them in the Company’s 2007 Stock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w:t>
      </w:r>
      <w:r>
        <w:rPr>
          <w:rFonts w:ascii="Arial" w:cs="Arial" w:eastAsia="Arial" w:hAnsi="Arial"/>
          <w:sz w:val="18"/>
          <w:szCs w:val="18"/>
          <w:color w:val="auto"/>
        </w:rPr>
        <w:t xml:space="preserve"> Subject to the terms and conditions hereof, Purchaser hereby elects to exercise his or her option to purchase shares of the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 under and pursuant to the Plan and the Stock Option Agreement granted ,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The purchase price for the Shares shall be «Price» per Share for a total purchase price of $ . The term “</w:t>
      </w:r>
      <w:r>
        <w:rPr>
          <w:rFonts w:ascii="Arial" w:cs="Arial" w:eastAsia="Arial" w:hAnsi="Arial"/>
          <w:sz w:val="18"/>
          <w:szCs w:val="18"/>
          <w:u w:val="single" w:color="auto"/>
          <w:color w:val="auto"/>
        </w:rPr>
        <w:t>Shares</w:t>
      </w:r>
      <w:r>
        <w:rPr>
          <w:rFonts w:ascii="Arial" w:cs="Arial" w:eastAsia="Arial" w:hAnsi="Arial"/>
          <w:sz w:val="18"/>
          <w:szCs w:val="18"/>
          <w:color w:val="auto"/>
        </w:rPr>
        <w:t>” refers to the purchased Shares and all securities received in replacement of the Shares or as stock dividends or splits, all securities received in replacement of the Shares in a recapitalization, merger, reorganization, exchange or the like, and all new, substituted or additional securities or other properties to which Purchaser is entitled by reason of Purchaser’s ownership of the Shares.</w:t>
      </w:r>
    </w:p>
    <w:p>
      <w:pPr>
        <w:spacing w:after="0" w:line="188" w:lineRule="exact"/>
        <w:rPr>
          <w:sz w:val="20"/>
          <w:szCs w:val="20"/>
          <w:color w:val="auto"/>
        </w:rPr>
      </w:pPr>
    </w:p>
    <w:p>
      <w:pPr>
        <w:ind w:left="640" w:hanging="176"/>
        <w:spacing w:after="0"/>
        <w:tabs>
          <w:tab w:leader="none" w:pos="640" w:val="left"/>
        </w:tabs>
        <w:numPr>
          <w:ilvl w:val="0"/>
          <w:numId w:val="321"/>
        </w:numPr>
        <w:rPr>
          <w:rFonts w:ascii="Arial" w:cs="Arial" w:eastAsia="Arial" w:hAnsi="Arial"/>
          <w:sz w:val="17"/>
          <w:szCs w:val="17"/>
          <w:color w:val="auto"/>
        </w:rPr>
      </w:pPr>
      <w:r>
        <w:rPr>
          <w:rFonts w:ascii="Arial" w:cs="Arial" w:eastAsia="Arial" w:hAnsi="Arial"/>
          <w:sz w:val="17"/>
          <w:szCs w:val="17"/>
          <w:b w:val="1"/>
          <w:bCs w:val="1"/>
          <w:u w:val="single" w:color="auto"/>
          <w:color w:val="auto"/>
        </w:rPr>
        <w:t>Time and Place of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 and sale of the Shares under this Agreement shall occur at the principal office of the Company</w:t>
      </w:r>
    </w:p>
    <w:p>
      <w:pPr>
        <w:spacing w:after="0" w:line="38" w:lineRule="exact"/>
        <w:rPr>
          <w:rFonts w:ascii="Arial" w:cs="Arial" w:eastAsia="Arial" w:hAnsi="Arial"/>
          <w:sz w:val="17"/>
          <w:szCs w:val="17"/>
          <w:color w:val="auto"/>
        </w:rPr>
      </w:pPr>
    </w:p>
    <w:p>
      <w:pPr>
        <w:ind w:right="80"/>
        <w:spacing w:after="0" w:line="253" w:lineRule="auto"/>
        <w:rPr>
          <w:rFonts w:ascii="Arial" w:cs="Arial" w:eastAsia="Arial" w:hAnsi="Arial"/>
          <w:sz w:val="17"/>
          <w:szCs w:val="17"/>
          <w:color w:val="auto"/>
        </w:rPr>
      </w:pPr>
      <w:r>
        <w:rPr>
          <w:rFonts w:ascii="Arial" w:cs="Arial" w:eastAsia="Arial" w:hAnsi="Arial"/>
          <w:sz w:val="18"/>
          <w:szCs w:val="18"/>
          <w:color w:val="auto"/>
        </w:rPr>
        <w:t>simultaneously with the execution and delivery of this Agreement in accordance with the provisions of Section 3(b) of the Option Agreement. On such date, provided that all of the conditions set forth in Section 12 of the Plan have been fulfilled, the Company will deliver to Purchaser a certificate representing the Shares to be purchased by Purchaser (which shall be issued in Purchaser’s name) against payment of the exercise price therefor by Purchaser by any method listed in Section 4 of the Option Agreement, and the satisfaction of Purchaser’s tax withholding obligations pursuant to Section 3(b)(ii) of the Option Agreement.</w:t>
      </w:r>
    </w:p>
    <w:p>
      <w:pPr>
        <w:spacing w:after="0" w:line="187" w:lineRule="exact"/>
        <w:rPr>
          <w:rFonts w:ascii="Arial" w:cs="Arial" w:eastAsia="Arial" w:hAnsi="Arial"/>
          <w:sz w:val="17"/>
          <w:szCs w:val="17"/>
          <w:color w:val="auto"/>
        </w:rPr>
      </w:pPr>
    </w:p>
    <w:p>
      <w:pPr>
        <w:ind w:right="100" w:firstLine="464"/>
        <w:spacing w:after="0" w:line="282" w:lineRule="auto"/>
        <w:tabs>
          <w:tab w:leader="none" w:pos="636" w:val="left"/>
        </w:tabs>
        <w:numPr>
          <w:ilvl w:val="0"/>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any other limitation on transfer created by applicable securities laws, Purchaser shall not assign, encumber</w:t>
      </w:r>
      <w:r>
        <w:rPr>
          <w:rFonts w:ascii="Arial" w:cs="Arial" w:eastAsia="Arial" w:hAnsi="Arial"/>
          <w:sz w:val="18"/>
          <w:szCs w:val="18"/>
          <w:b w:val="1"/>
          <w:bCs w:val="1"/>
          <w:color w:val="auto"/>
        </w:rPr>
        <w:t xml:space="preserve"> </w:t>
      </w:r>
      <w:r>
        <w:rPr>
          <w:rFonts w:ascii="Arial" w:cs="Arial" w:eastAsia="Arial" w:hAnsi="Arial"/>
          <w:sz w:val="18"/>
          <w:szCs w:val="18"/>
          <w:color w:val="auto"/>
        </w:rPr>
        <w:t>or dispose of any interest in the Shares except in compliance with the provisions below and applicable securities laws.</w:t>
      </w:r>
    </w:p>
    <w:p>
      <w:pPr>
        <w:spacing w:after="0" w:line="161" w:lineRule="exact"/>
        <w:rPr>
          <w:rFonts w:ascii="Arial" w:cs="Arial" w:eastAsia="Arial" w:hAnsi="Arial"/>
          <w:sz w:val="18"/>
          <w:szCs w:val="18"/>
          <w:color w:val="auto"/>
        </w:rPr>
      </w:pPr>
    </w:p>
    <w:p>
      <w:pPr>
        <w:ind w:right="60" w:firstLine="921"/>
        <w:spacing w:after="0" w:line="266" w:lineRule="auto"/>
        <w:tabs>
          <w:tab w:leader="none" w:pos="1157" w:val="left"/>
        </w:tabs>
        <w:numPr>
          <w:ilvl w:val="1"/>
          <w:numId w:val="321"/>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Before any Shares held by Purchaser or any transferee of Purchaser (either being sometimes referred to herein as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may be sold or otherwise transferred (including transfer by gift or operation of law), the Company or its assignee(s) shall have a right of first refusal to purchase the Shares on the terms and conditions set forth in this Section 3(a) (the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1700" w:hanging="208"/>
        <w:spacing w:after="0"/>
        <w:tabs>
          <w:tab w:leader="none" w:pos="1700" w:val="left"/>
        </w:tabs>
        <w:numPr>
          <w:ilvl w:val="2"/>
          <w:numId w:val="321"/>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of Proposed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the Shares shall deliver to the Company a written notice (the “</w:t>
      </w:r>
      <w:r>
        <w:rPr>
          <w:rFonts w:ascii="Arial" w:cs="Arial" w:eastAsia="Arial" w:hAnsi="Arial"/>
          <w:sz w:val="16"/>
          <w:szCs w:val="16"/>
          <w:u w:val="single" w:color="auto"/>
          <w:color w:val="auto"/>
        </w:rPr>
        <w:t>Notice</w:t>
      </w:r>
      <w:r>
        <w:rPr>
          <w:rFonts w:ascii="Arial" w:cs="Arial" w:eastAsia="Arial" w:hAnsi="Arial"/>
          <w:sz w:val="16"/>
          <w:szCs w:val="16"/>
          <w:color w:val="auto"/>
        </w:rPr>
        <w:t>”) stating: (i)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Holder’s bona fide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74" w:right="299" w:bottom="1440" w:gutter="0" w:footer="0" w:header="0"/>
        </w:sectPr>
      </w:pPr>
    </w:p>
    <w:bookmarkStart w:id="471" w:name="page472"/>
    <w:bookmarkEnd w:id="471"/>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intention to sell or otherwise transfer such Shares; (ii) the name of each proposed purchaser or other transferee (“</w:t>
      </w:r>
      <w:r>
        <w:rPr>
          <w:rFonts w:ascii="Arial" w:cs="Arial" w:eastAsia="Arial" w:hAnsi="Arial"/>
          <w:sz w:val="16"/>
          <w:szCs w:val="16"/>
          <w:u w:val="single" w:color="auto"/>
          <w:color w:val="auto"/>
        </w:rPr>
        <w:t>Proposed Transferee</w:t>
      </w:r>
      <w:r>
        <w:rPr>
          <w:rFonts w:ascii="Arial" w:cs="Arial" w:eastAsia="Arial" w:hAnsi="Arial"/>
          <w:sz w:val="16"/>
          <w:szCs w:val="16"/>
          <w:color w:val="auto"/>
        </w:rPr>
        <w:t>”); (iii) the number of Shares to be transferred to each Proposed Transferee; and (iv) the terms and conditions of each proposed sale or transfer. The Holder shall offer the Shares at the same price (the “</w:t>
      </w:r>
      <w:r>
        <w:rPr>
          <w:rFonts w:ascii="Arial" w:cs="Arial" w:eastAsia="Arial" w:hAnsi="Arial"/>
          <w:sz w:val="16"/>
          <w:szCs w:val="16"/>
          <w:u w:val="single" w:color="auto"/>
          <w:color w:val="auto"/>
        </w:rPr>
        <w:t>Offered Price</w:t>
      </w:r>
      <w:r>
        <w:rPr>
          <w:rFonts w:ascii="Arial" w:cs="Arial" w:eastAsia="Arial" w:hAnsi="Arial"/>
          <w:sz w:val="16"/>
          <w:szCs w:val="16"/>
          <w:color w:val="auto"/>
        </w:rPr>
        <w:t>”) and upon the same terms (or terms as similar as reasonably possible) to the Company or its assignee(s).</w:t>
      </w:r>
    </w:p>
    <w:p>
      <w:pPr>
        <w:spacing w:after="0" w:line="143" w:lineRule="exact"/>
        <w:rPr>
          <w:sz w:val="20"/>
          <w:szCs w:val="20"/>
          <w:color w:val="auto"/>
        </w:rPr>
      </w:pPr>
    </w:p>
    <w:p>
      <w:pPr>
        <w:ind w:right="40" w:firstLine="1492"/>
        <w:spacing w:after="0" w:line="266" w:lineRule="auto"/>
        <w:tabs>
          <w:tab w:leader="none" w:pos="1748"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Right of First Refusal</w:t>
      </w:r>
      <w:r>
        <w:rPr>
          <w:rFonts w:ascii="Arial" w:cs="Arial" w:eastAsia="Arial" w:hAnsi="Arial"/>
          <w:sz w:val="18"/>
          <w:szCs w:val="18"/>
          <w:b w:val="1"/>
          <w:bCs w:val="1"/>
          <w:color w:val="auto"/>
        </w:rPr>
        <w:t xml:space="preserve">. </w:t>
      </w:r>
      <w:r>
        <w:rPr>
          <w:rFonts w:ascii="Arial" w:cs="Arial" w:eastAsia="Arial" w:hAnsi="Arial"/>
          <w:sz w:val="18"/>
          <w:szCs w:val="18"/>
          <w:color w:val="auto"/>
        </w:rPr>
        <w:t>At any time within thirty (30) days after receipt of the Notice, the Company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assignee(s) may, by giving written notice to the Holder, elect to purchase all, but not less than all, of the Shares proposed to be transferred to any one or more of the Proposed Transferees, at the purchase price determined in accordance with subsection (iii) below.</w:t>
      </w:r>
    </w:p>
    <w:p>
      <w:pPr>
        <w:spacing w:after="0" w:line="176" w:lineRule="exact"/>
        <w:rPr>
          <w:rFonts w:ascii="Arial" w:cs="Arial" w:eastAsia="Arial" w:hAnsi="Arial"/>
          <w:sz w:val="18"/>
          <w:szCs w:val="18"/>
          <w:color w:val="auto"/>
        </w:rPr>
      </w:pPr>
    </w:p>
    <w:p>
      <w:pPr>
        <w:ind w:right="260" w:firstLine="1492"/>
        <w:spacing w:after="0" w:line="266" w:lineRule="auto"/>
        <w:tabs>
          <w:tab w:leader="none" w:pos="1798"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3(a) shall be the Offered Price. If the Offered Price includes consideration other than cash, the cash equivalent value of the non-cash consideration shall be determined by the Board of Directors of the Company in good faith.</w:t>
      </w:r>
    </w:p>
    <w:p>
      <w:pPr>
        <w:spacing w:after="0" w:line="176" w:lineRule="exact"/>
        <w:rPr>
          <w:rFonts w:ascii="Arial" w:cs="Arial" w:eastAsia="Arial" w:hAnsi="Arial"/>
          <w:sz w:val="18"/>
          <w:szCs w:val="18"/>
          <w:color w:val="auto"/>
        </w:rPr>
      </w:pPr>
    </w:p>
    <w:p>
      <w:pPr>
        <w:ind w:right="380" w:firstLine="1492"/>
        <w:spacing w:after="0" w:line="266" w:lineRule="auto"/>
        <w:tabs>
          <w:tab w:leader="none" w:pos="1788" w:val="left"/>
        </w:tabs>
        <w:numPr>
          <w:ilvl w:val="0"/>
          <w:numId w:val="32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Purchase Price shall be made, at the option of the Company or its assignee(s), in cash (by check), by</w:t>
      </w:r>
      <w:r>
        <w:rPr>
          <w:rFonts w:ascii="Arial" w:cs="Arial" w:eastAsia="Arial" w:hAnsi="Arial"/>
          <w:sz w:val="18"/>
          <w:szCs w:val="18"/>
          <w:b w:val="1"/>
          <w:bCs w:val="1"/>
          <w:color w:val="auto"/>
        </w:rPr>
        <w:t xml:space="preserve"> </w:t>
      </w:r>
      <w:r>
        <w:rPr>
          <w:rFonts w:ascii="Arial" w:cs="Arial" w:eastAsia="Arial" w:hAnsi="Arial"/>
          <w:sz w:val="18"/>
          <w:szCs w:val="18"/>
          <w:color w:val="auto"/>
        </w:rPr>
        <w:t>cancellation of all or a portion of any outstanding indebtedness, or by any combination thereof within thirty (30) days after receipt of the Notice or in the manner and at the times set forth in the Notice.</w:t>
      </w:r>
    </w:p>
    <w:p>
      <w:pPr>
        <w:spacing w:after="0" w:line="176" w:lineRule="exact"/>
        <w:rPr>
          <w:rFonts w:ascii="Arial" w:cs="Arial" w:eastAsia="Arial" w:hAnsi="Arial"/>
          <w:sz w:val="18"/>
          <w:szCs w:val="18"/>
          <w:color w:val="auto"/>
        </w:rPr>
      </w:pPr>
    </w:p>
    <w:p>
      <w:pPr>
        <w:ind w:firstLine="1492"/>
        <w:spacing w:after="0" w:line="272" w:lineRule="auto"/>
        <w:tabs>
          <w:tab w:leader="none" w:pos="1738" w:val="left"/>
        </w:tabs>
        <w:numPr>
          <w:ilvl w:val="0"/>
          <w:numId w:val="322"/>
        </w:numPr>
        <w:rPr>
          <w:rFonts w:ascii="Arial" w:cs="Arial" w:eastAsia="Arial" w:hAnsi="Arial"/>
          <w:sz w:val="17"/>
          <w:szCs w:val="17"/>
          <w:color w:val="auto"/>
        </w:rPr>
      </w:pPr>
      <w:r>
        <w:rPr>
          <w:rFonts w:ascii="Arial" w:cs="Arial" w:eastAsia="Arial" w:hAnsi="Arial"/>
          <w:sz w:val="17"/>
          <w:szCs w:val="17"/>
          <w:b w:val="1"/>
          <w:bCs w:val="1"/>
          <w:u w:val="single" w:color="auto"/>
          <w:color w:val="auto"/>
        </w:rPr>
        <w:t>Holder’s Right to 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If all of the Shares proposed in the Notice to be transferred to a given Proposed Transferee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by the Company and/or its assignee(s) as provided in this Section 3(a), then the Holder may sell or otherwise transfer such Shares to that Proposed Transferee at the Offered Price or at a higher price, provided that such sale or other transfer is consummated within sixty (60) days after the date of the Notice and provided further that any such sale or other transfer is effected in accordance with any applicable securities laws and the Proposed Transferee agrees in writing that the provisions of this Section 3 shall continue to apply to the Shares in the hands of such Proposed Transferee. If the Shares described in the Notice are not transferred to the Proposed Transferee within such period, or if the Holder proposes to change the price or other terms to make them more favorable to the Proposed Transferee, a new Notice shall be given to the Company, and the Company and/or its assignees shall again be offered the Right of First Refusal before any Shares held by the Holder may be sold or otherwise transferred.</w:t>
      </w:r>
    </w:p>
    <w:p>
      <w:pPr>
        <w:spacing w:after="0" w:line="172" w:lineRule="exact"/>
        <w:rPr>
          <w:rFonts w:ascii="Arial" w:cs="Arial" w:eastAsia="Arial" w:hAnsi="Arial"/>
          <w:sz w:val="17"/>
          <w:szCs w:val="17"/>
          <w:color w:val="auto"/>
        </w:rPr>
      </w:pPr>
    </w:p>
    <w:p>
      <w:pPr>
        <w:ind w:right="40" w:firstLine="1492"/>
        <w:spacing w:after="0" w:line="295" w:lineRule="auto"/>
        <w:tabs>
          <w:tab w:leader="none" w:pos="1788" w:val="left"/>
        </w:tabs>
        <w:numPr>
          <w:ilvl w:val="0"/>
          <w:numId w:val="322"/>
        </w:numPr>
        <w:rPr>
          <w:rFonts w:ascii="Arial" w:cs="Arial" w:eastAsia="Arial" w:hAnsi="Arial"/>
          <w:sz w:val="16"/>
          <w:szCs w:val="16"/>
          <w:color w:val="auto"/>
        </w:rPr>
      </w:pPr>
      <w:r>
        <w:rPr>
          <w:rFonts w:ascii="Arial" w:cs="Arial" w:eastAsia="Arial" w:hAnsi="Arial"/>
          <w:sz w:val="16"/>
          <w:szCs w:val="16"/>
          <w:b w:val="1"/>
          <w:bCs w:val="1"/>
          <w:u w:val="single" w:color="auto"/>
          <w:color w:val="auto"/>
        </w:rPr>
        <w:t>Exception for Certain Family Transfers</w:t>
      </w:r>
      <w:r>
        <w:rPr>
          <w:rFonts w:ascii="Arial" w:cs="Arial" w:eastAsia="Arial" w:hAnsi="Arial"/>
          <w:sz w:val="16"/>
          <w:szCs w:val="16"/>
          <w:b w:val="1"/>
          <w:bCs w:val="1"/>
          <w:color w:val="auto"/>
        </w:rPr>
        <w:t xml:space="preserve">. </w:t>
      </w:r>
      <w:r>
        <w:rPr>
          <w:rFonts w:ascii="Arial" w:cs="Arial" w:eastAsia="Arial" w:hAnsi="Arial"/>
          <w:sz w:val="16"/>
          <w:szCs w:val="16"/>
          <w:color w:val="auto"/>
        </w:rPr>
        <w:t>Anything to the contrary contained in this Section 3(a) notwithstanding, the transfer of</w:t>
      </w:r>
      <w:r>
        <w:rPr>
          <w:rFonts w:ascii="Arial" w:cs="Arial" w:eastAsia="Arial" w:hAnsi="Arial"/>
          <w:sz w:val="16"/>
          <w:szCs w:val="16"/>
          <w:b w:val="1"/>
          <w:bCs w:val="1"/>
          <w:color w:val="auto"/>
        </w:rPr>
        <w:t xml:space="preserve"> </w:t>
      </w:r>
      <w:r>
        <w:rPr>
          <w:rFonts w:ascii="Arial" w:cs="Arial" w:eastAsia="Arial" w:hAnsi="Arial"/>
          <w:sz w:val="16"/>
          <w:szCs w:val="16"/>
          <w:color w:val="auto"/>
        </w:rPr>
        <w:t>any or all of the Shares during Purchaser’s lifetime or on Purchaser’s death by will or intestacy to Purchaser’s Immediate Family or a trust for the benefit of Purchaser’s Immediate Family shall be exempt from the provisions of this Section 3(a). “</w:t>
      </w:r>
      <w:r>
        <w:rPr>
          <w:rFonts w:ascii="Arial" w:cs="Arial" w:eastAsia="Arial" w:hAnsi="Arial"/>
          <w:sz w:val="16"/>
          <w:szCs w:val="16"/>
          <w:u w:val="single" w:color="auto"/>
          <w:color w:val="auto"/>
        </w:rPr>
        <w:t>Immediate Family</w:t>
      </w:r>
      <w:r>
        <w:rPr>
          <w:rFonts w:ascii="Arial" w:cs="Arial" w:eastAsia="Arial" w:hAnsi="Arial"/>
          <w:sz w:val="16"/>
          <w:szCs w:val="16"/>
          <w:color w:val="auto"/>
        </w:rPr>
        <w:t>” as used herein shall mean any child, stepchild, grandchild, parent, stepparent, grandparent, spouse, former spouse, sibling, niece, nephew, mother-in-law, father-in-law, son-in-law, daughter-in-law, brother-in-law, or sister-in-law (including adoptive relationships). In such case, the transferee or other recipient shall receive and hold the Shares so transferred subject to the provisions of this Section, and there shall be no further transfer of such Shares except in accordance with the terms of this Section 3.</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472" w:name="page473"/>
    <w:bookmarkEnd w:id="472"/>
    <w:p>
      <w:pPr>
        <w:ind w:left="1160" w:hanging="259"/>
        <w:spacing w:after="0"/>
        <w:tabs>
          <w:tab w:leader="none" w:pos="1160"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Involuntary Transfer</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1492"/>
        <w:spacing w:after="0" w:line="298" w:lineRule="auto"/>
        <w:tabs>
          <w:tab w:leader="none" w:pos="1678" w:val="left"/>
        </w:tabs>
        <w:numPr>
          <w:ilvl w:val="1"/>
          <w:numId w:val="323"/>
        </w:numPr>
        <w:rPr>
          <w:rFonts w:ascii="Arial" w:cs="Arial" w:eastAsia="Arial" w:hAnsi="Arial"/>
          <w:sz w:val="16"/>
          <w:szCs w:val="16"/>
          <w:color w:val="auto"/>
        </w:rPr>
      </w:pPr>
      <w:r>
        <w:rPr>
          <w:rFonts w:ascii="Arial" w:cs="Arial" w:eastAsia="Arial" w:hAnsi="Arial"/>
          <w:sz w:val="16"/>
          <w:szCs w:val="16"/>
          <w:b w:val="1"/>
          <w:bCs w:val="1"/>
          <w:u w:val="single" w:color="auto"/>
          <w:color w:val="auto"/>
        </w:rPr>
        <w:t>Company’s Right to Purchase upon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at any time after the date of this Agreement, of any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by operation of law or other involuntary transfer (including death or divorce, but excluding a transfer to Immediate Family as set forth in Section 3(a)(vi) above) of all or a portion of the Shares by the record holder thereof, the Company shall have an option to purchase all of the Shares transferred. Upon such a transfer, the person acquiring the Shares shall promptly notify the Secretary of the Company of such transfer. The right to purchase such Shares shall be provided to the Company for a period of thirty (30) days following receipt by the Company of written notice by the person acquiring the Shares.</w:t>
      </w:r>
    </w:p>
    <w:p>
      <w:pPr>
        <w:spacing w:after="0" w:line="154" w:lineRule="exact"/>
        <w:rPr>
          <w:rFonts w:ascii="Arial" w:cs="Arial" w:eastAsia="Arial" w:hAnsi="Arial"/>
          <w:sz w:val="16"/>
          <w:szCs w:val="16"/>
          <w:color w:val="auto"/>
        </w:rPr>
      </w:pPr>
    </w:p>
    <w:p>
      <w:pPr>
        <w:ind w:left="-20" w:right="60" w:firstLine="1492"/>
        <w:spacing w:after="0" w:line="295" w:lineRule="auto"/>
        <w:tabs>
          <w:tab w:leader="none" w:pos="1728" w:val="left"/>
        </w:tabs>
        <w:numPr>
          <w:ilvl w:val="1"/>
          <w:numId w:val="323"/>
        </w:numPr>
        <w:rPr>
          <w:rFonts w:ascii="Arial" w:cs="Arial" w:eastAsia="Arial" w:hAnsi="Arial"/>
          <w:sz w:val="16"/>
          <w:szCs w:val="16"/>
          <w:color w:val="auto"/>
        </w:rPr>
      </w:pPr>
      <w:r>
        <w:rPr>
          <w:rFonts w:ascii="Arial" w:cs="Arial" w:eastAsia="Arial" w:hAnsi="Arial"/>
          <w:sz w:val="16"/>
          <w:szCs w:val="16"/>
          <w:b w:val="1"/>
          <w:bCs w:val="1"/>
          <w:u w:val="single" w:color="auto"/>
          <w:color w:val="auto"/>
        </w:rPr>
        <w:t>Price for Involuntary Transfer</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any stock to be transferred pursuant to Section 3(b)(i), the price per Share shall be a</w:t>
      </w:r>
      <w:r>
        <w:rPr>
          <w:rFonts w:ascii="Arial" w:cs="Arial" w:eastAsia="Arial" w:hAnsi="Arial"/>
          <w:sz w:val="16"/>
          <w:szCs w:val="16"/>
          <w:b w:val="1"/>
          <w:bCs w:val="1"/>
          <w:color w:val="auto"/>
        </w:rPr>
        <w:t xml:space="preserve"> </w:t>
      </w:r>
      <w:r>
        <w:rPr>
          <w:rFonts w:ascii="Arial" w:cs="Arial" w:eastAsia="Arial" w:hAnsi="Arial"/>
          <w:sz w:val="16"/>
          <w:szCs w:val="16"/>
          <w:color w:val="auto"/>
        </w:rPr>
        <w:t>price set by the Board of Directors of the Company that will reflect the current value of the stock in terms of present earnings and future prospects of the Company. The Company shall notify Purchaser or his or her executor of the price so determined within thirty (30) days after receipt by it of written notice of the transfer or proposed transfer of Shares. However, if the Purchaser or his or her executor does not agree with the valuation as determined by the Board of Directors of the Company, the Purchaser or the executor shall be entitled to have the valuation determined by an independent appraiser to be mutually agreed upon by the Company and the Purchaser or the executor and whose fees shall be borne equally by the Company and the Purchaser or the Purchaser’s estate.</w:t>
      </w:r>
    </w:p>
    <w:p>
      <w:pPr>
        <w:spacing w:after="0" w:line="155" w:lineRule="exact"/>
        <w:rPr>
          <w:rFonts w:ascii="Arial" w:cs="Arial" w:eastAsia="Arial" w:hAnsi="Arial"/>
          <w:sz w:val="16"/>
          <w:szCs w:val="16"/>
          <w:color w:val="auto"/>
        </w:rPr>
      </w:pPr>
    </w:p>
    <w:p>
      <w:pPr>
        <w:ind w:left="-20" w:right="740" w:firstLine="921"/>
        <w:spacing w:after="0" w:line="282" w:lineRule="auto"/>
        <w:tabs>
          <w:tab w:leader="none" w:pos="1137" w:val="left"/>
        </w:tabs>
        <w:numPr>
          <w:ilvl w:val="0"/>
          <w:numId w:val="323"/>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of the Company to purchase any part of the Shares may be assigned in whole or in part to any stockholder or</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of the Company or other persons or organizations.</w:t>
      </w:r>
    </w:p>
    <w:p>
      <w:pPr>
        <w:spacing w:after="0" w:line="162" w:lineRule="exact"/>
        <w:rPr>
          <w:sz w:val="20"/>
          <w:szCs w:val="20"/>
          <w:color w:val="auto"/>
        </w:rPr>
      </w:pPr>
    </w:p>
    <w:p>
      <w:pPr>
        <w:ind w:left="-20" w:right="60" w:firstLine="921"/>
        <w:spacing w:after="0" w:line="347" w:lineRule="auto"/>
        <w:tabs>
          <w:tab w:leader="none" w:pos="1137" w:val="left"/>
        </w:tabs>
        <w:numPr>
          <w:ilvl w:val="1"/>
          <w:numId w:val="324"/>
        </w:numPr>
        <w:rPr>
          <w:rFonts w:ascii="Arial" w:cs="Arial" w:eastAsia="Arial" w:hAnsi="Arial"/>
          <w:sz w:val="16"/>
          <w:szCs w:val="16"/>
          <w:color w:val="auto"/>
        </w:rPr>
      </w:pPr>
      <w:r>
        <w:rPr>
          <w:rFonts w:ascii="Arial" w:cs="Arial" w:eastAsia="Arial" w:hAnsi="Arial"/>
          <w:sz w:val="16"/>
          <w:szCs w:val="16"/>
          <w:b w:val="1"/>
          <w:bCs w:val="1"/>
          <w:u w:val="single" w:color="auto"/>
          <w:color w:val="auto"/>
        </w:rPr>
        <w:t>Restrictions Binding on Transferees</w:t>
      </w:r>
      <w:r>
        <w:rPr>
          <w:rFonts w:ascii="Arial" w:cs="Arial" w:eastAsia="Arial" w:hAnsi="Arial"/>
          <w:sz w:val="16"/>
          <w:szCs w:val="16"/>
          <w:b w:val="1"/>
          <w:bCs w:val="1"/>
          <w:color w:val="auto"/>
        </w:rPr>
        <w:t xml:space="preserve">. </w:t>
      </w:r>
      <w:r>
        <w:rPr>
          <w:rFonts w:ascii="Arial" w:cs="Arial" w:eastAsia="Arial" w:hAnsi="Arial"/>
          <w:sz w:val="16"/>
          <w:szCs w:val="16"/>
          <w:color w:val="auto"/>
        </w:rPr>
        <w:t>All transferees of Shares or any interest therein will receive and hold such Shares or interest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provisions of this Agreement. Any sale or transfer of the Company’s Shares shall be void unless the provisions of this Agreement are satisfied.</w:t>
      </w:r>
    </w:p>
    <w:p>
      <w:pPr>
        <w:spacing w:after="0" w:line="116" w:lineRule="exact"/>
        <w:rPr>
          <w:rFonts w:ascii="Arial" w:cs="Arial" w:eastAsia="Arial" w:hAnsi="Arial"/>
          <w:sz w:val="16"/>
          <w:szCs w:val="16"/>
          <w:color w:val="auto"/>
        </w:rPr>
      </w:pPr>
    </w:p>
    <w:p>
      <w:pPr>
        <w:ind w:left="-20" w:right="200" w:firstLine="921"/>
        <w:spacing w:after="0" w:line="298" w:lineRule="auto"/>
        <w:tabs>
          <w:tab w:leader="none" w:pos="1118" w:val="left"/>
        </w:tabs>
        <w:numPr>
          <w:ilvl w:val="1"/>
          <w:numId w:val="32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 of first refusal granted the Company by Section 3(a) above and the option to repurchase the Shares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of an involuntary transfer granted the Company by Section 3(b) above shall terminate upon the first sale of Common Stock of the Company to the general public pursuant to a registration statement filed with and declared effective by the Securities and Exchange Commission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Upon termination of the right of first refusal described in Section 3(a) above, a new certificate or certificates representing the Shares not repurchased shall be issued, on request, without the legend referred to in Section 5(a)(ii) herein and delivered to Purchaser.</w:t>
      </w:r>
    </w:p>
    <w:p>
      <w:pPr>
        <w:spacing w:after="0" w:line="154" w:lineRule="exact"/>
        <w:rPr>
          <w:rFonts w:ascii="Arial" w:cs="Arial" w:eastAsia="Arial" w:hAnsi="Arial"/>
          <w:sz w:val="16"/>
          <w:szCs w:val="16"/>
          <w:color w:val="auto"/>
        </w:rPr>
      </w:pPr>
    </w:p>
    <w:p>
      <w:pPr>
        <w:ind w:left="620" w:hanging="176"/>
        <w:spacing w:after="0"/>
        <w:tabs>
          <w:tab w:leader="none" w:pos="620" w:val="left"/>
        </w:tabs>
        <w:numPr>
          <w:ilvl w:val="0"/>
          <w:numId w:val="325"/>
        </w:numPr>
        <w:rPr>
          <w:rFonts w:ascii="Arial" w:cs="Arial" w:eastAsia="Arial" w:hAnsi="Arial"/>
          <w:sz w:val="16"/>
          <w:szCs w:val="16"/>
          <w:color w:val="auto"/>
        </w:rPr>
      </w:pPr>
      <w:r>
        <w:rPr>
          <w:rFonts w:ascii="Arial" w:cs="Arial" w:eastAsia="Arial" w:hAnsi="Arial"/>
          <w:sz w:val="16"/>
          <w:szCs w:val="16"/>
          <w:b w:val="1"/>
          <w:bCs w:val="1"/>
          <w:u w:val="single" w:color="auto"/>
          <w:color w:val="auto"/>
        </w:rPr>
        <w:t>Investment and Taxation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purchase of the Shares, Purchaser represents to the Company the following:</w:t>
      </w:r>
    </w:p>
    <w:p>
      <w:pPr>
        <w:spacing w:after="0" w:line="252" w:lineRule="exact"/>
        <w:rPr>
          <w:rFonts w:ascii="Arial" w:cs="Arial" w:eastAsia="Arial" w:hAnsi="Arial"/>
          <w:sz w:val="16"/>
          <w:szCs w:val="16"/>
          <w:color w:val="auto"/>
        </w:rPr>
      </w:pPr>
    </w:p>
    <w:p>
      <w:pPr>
        <w:ind w:left="-20" w:right="200" w:firstLine="921"/>
        <w:spacing w:after="0" w:line="277" w:lineRule="auto"/>
        <w:tabs>
          <w:tab w:leader="none" w:pos="1138" w:val="left"/>
        </w:tabs>
        <w:numPr>
          <w:ilvl w:val="1"/>
          <w:numId w:val="325"/>
        </w:numPr>
        <w:rPr>
          <w:rFonts w:ascii="Arial" w:cs="Arial" w:eastAsia="Arial" w:hAnsi="Arial"/>
          <w:sz w:val="18"/>
          <w:szCs w:val="18"/>
          <w:color w:val="auto"/>
        </w:rPr>
      </w:pPr>
      <w:r>
        <w:rPr>
          <w:rFonts w:ascii="Arial" w:cs="Arial" w:eastAsia="Arial" w:hAnsi="Arial"/>
          <w:sz w:val="18"/>
          <w:szCs w:val="18"/>
          <w:color w:val="auto"/>
        </w:rPr>
        <w:t>Purchaser is aware of the Company’s business affairs and financial condition and has acquired sufficient information about the Company to reach an informed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60" w:top="269" w:right="239" w:bottom="1440" w:gutter="0" w:footer="0" w:header="0"/>
        </w:sectPr>
      </w:pPr>
    </w:p>
    <w:bookmarkStart w:id="473" w:name="page474"/>
    <w:bookmarkEnd w:id="47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knowledgeable decision to acquire the Shares. Purchaser is purchasing these securities for investment for his or her own account only and not with a view to, or for resale in connection with, any “distribution” thereof within the meaning of the Securities Act or under any applicable provision of state law. Purchaser does not have any present intention to transfer the Shares to any person or entity.</w:t>
      </w:r>
    </w:p>
    <w:p>
      <w:pPr>
        <w:spacing w:after="0" w:line="181" w:lineRule="exact"/>
        <w:rPr>
          <w:sz w:val="20"/>
          <w:szCs w:val="20"/>
          <w:color w:val="auto"/>
        </w:rPr>
      </w:pPr>
    </w:p>
    <w:p>
      <w:pPr>
        <w:ind w:right="180" w:firstLine="921"/>
        <w:spacing w:after="0" w:line="277" w:lineRule="auto"/>
        <w:tabs>
          <w:tab w:leader="none" w:pos="116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Purchaser understands that the Shares have not been registered under the Securities Act by reason of a specific exemption therefrom, which exemption depends upon, among other things, the bona fide nature of Purchaser’s investment intent as expressed herein.</w:t>
      </w:r>
    </w:p>
    <w:p>
      <w:pPr>
        <w:spacing w:after="0" w:line="170" w:lineRule="exact"/>
        <w:rPr>
          <w:rFonts w:ascii="Arial" w:cs="Arial" w:eastAsia="Arial" w:hAnsi="Arial"/>
          <w:sz w:val="18"/>
          <w:szCs w:val="18"/>
          <w:color w:val="auto"/>
        </w:rPr>
      </w:pPr>
    </w:p>
    <w:p>
      <w:pPr>
        <w:ind w:firstLine="921"/>
        <w:spacing w:after="0" w:line="279" w:lineRule="auto"/>
        <w:tabs>
          <w:tab w:leader="none" w:pos="1158" w:val="left"/>
        </w:tabs>
        <w:numPr>
          <w:ilvl w:val="0"/>
          <w:numId w:val="326"/>
        </w:numPr>
        <w:rPr>
          <w:rFonts w:ascii="Arial" w:cs="Arial" w:eastAsia="Arial" w:hAnsi="Arial"/>
          <w:sz w:val="17"/>
          <w:szCs w:val="17"/>
          <w:color w:val="auto"/>
        </w:rPr>
      </w:pPr>
      <w:r>
        <w:rPr>
          <w:rFonts w:ascii="Arial" w:cs="Arial" w:eastAsia="Arial" w:hAnsi="Arial"/>
          <w:sz w:val="17"/>
          <w:szCs w:val="17"/>
          <w:color w:val="auto"/>
        </w:rPr>
        <w:t>Purchaser further acknowledges and understands that the securities must be held indefinitely unless they are subsequently registered under the Securities Act or an exemption from such registration is available. Purchaser further acknowledges and understands that the Company is under no obligation to register the securities. Purchaser understands that the certificate(s) evidencing the securities will be imprinted with a legend which prohibits the transfer of the securities unless they are registered or such registration is not required in the opinion of counsel for the Company.</w:t>
      </w:r>
    </w:p>
    <w:p>
      <w:pPr>
        <w:spacing w:after="0" w:line="171" w:lineRule="exact"/>
        <w:rPr>
          <w:rFonts w:ascii="Arial" w:cs="Arial" w:eastAsia="Arial" w:hAnsi="Arial"/>
          <w:sz w:val="17"/>
          <w:szCs w:val="17"/>
          <w:color w:val="auto"/>
        </w:rPr>
      </w:pPr>
    </w:p>
    <w:p>
      <w:pPr>
        <w:ind w:right="160" w:firstLine="921"/>
        <w:spacing w:after="0" w:line="291" w:lineRule="auto"/>
        <w:tabs>
          <w:tab w:leader="none" w:pos="1168" w:val="left"/>
        </w:tabs>
        <w:numPr>
          <w:ilvl w:val="0"/>
          <w:numId w:val="326"/>
        </w:numPr>
        <w:rPr>
          <w:rFonts w:ascii="Arial" w:cs="Arial" w:eastAsia="Arial" w:hAnsi="Arial"/>
          <w:sz w:val="16"/>
          <w:szCs w:val="16"/>
          <w:color w:val="auto"/>
        </w:rPr>
      </w:pPr>
      <w:r>
        <w:rPr>
          <w:rFonts w:ascii="Arial" w:cs="Arial" w:eastAsia="Arial" w:hAnsi="Arial"/>
          <w:sz w:val="16"/>
          <w:szCs w:val="16"/>
          <w:color w:val="auto"/>
        </w:rPr>
        <w:t>Purchaser is familiar with the provisions of Rules 144 and 701, each promulgated under the Securities Act, which, in substance, permit limited public resale of “restricted securities” acquired, directly or indirectly, from the issuer of the securities (or from an affiliate of such issuer), in a non-public offering subject to the satisfaction of certain conditions. Purchaser understands that the Company provides no assurances as to whether he or she will be able to resell any or all of the Shares pursuant to Rule 144 or Rule 701, which rules require, among other things, that the Company be subject to the reporting requirements of the Securities Exchange Act of 1934, as amended, that resales of securities take place only after the holder of the Shares has held the Shares for certain specified time periods, and under certain circumstances, that resales of securities be limited in volume and take place only pursuant to brokered transactions. Notwithstanding this paragraph (d), Purchaser acknowledges and agrees to the restrictions set forth in paragraph (e) below.</w:t>
      </w:r>
    </w:p>
    <w:p>
      <w:pPr>
        <w:spacing w:after="0" w:line="167" w:lineRule="exact"/>
        <w:rPr>
          <w:rFonts w:ascii="Arial" w:cs="Arial" w:eastAsia="Arial" w:hAnsi="Arial"/>
          <w:sz w:val="16"/>
          <w:szCs w:val="16"/>
          <w:color w:val="auto"/>
        </w:rPr>
      </w:pPr>
    </w:p>
    <w:p>
      <w:pPr>
        <w:ind w:right="100" w:firstLine="921"/>
        <w:spacing w:after="0" w:line="255" w:lineRule="auto"/>
        <w:tabs>
          <w:tab w:leader="none" w:pos="115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Purchaser further understands that in the event all of the applicable requirements of Rule 144 or 701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 144 or 701 will have a substantial burden of proof in establishing that an exemption from registration is available for such offers or sales, and that such persons and their respective brokers who participate in such transactions do so at their own risk.</w:t>
      </w:r>
    </w:p>
    <w:p>
      <w:pPr>
        <w:spacing w:after="0" w:line="193" w:lineRule="exact"/>
        <w:rPr>
          <w:rFonts w:ascii="Arial" w:cs="Arial" w:eastAsia="Arial" w:hAnsi="Arial"/>
          <w:sz w:val="18"/>
          <w:szCs w:val="18"/>
          <w:color w:val="auto"/>
        </w:rPr>
      </w:pPr>
    </w:p>
    <w:p>
      <w:pPr>
        <w:ind w:right="60" w:firstLine="921"/>
        <w:spacing w:after="0" w:line="264" w:lineRule="auto"/>
        <w:tabs>
          <w:tab w:leader="none" w:pos="1138" w:val="left"/>
        </w:tabs>
        <w:numPr>
          <w:ilvl w:val="0"/>
          <w:numId w:val="326"/>
        </w:numPr>
        <w:rPr>
          <w:rFonts w:ascii="Arial" w:cs="Arial" w:eastAsia="Arial" w:hAnsi="Arial"/>
          <w:sz w:val="18"/>
          <w:szCs w:val="18"/>
          <w:color w:val="auto"/>
        </w:rPr>
      </w:pPr>
      <w:r>
        <w:rPr>
          <w:rFonts w:ascii="Arial" w:cs="Arial" w:eastAsia="Arial" w:hAnsi="Arial"/>
          <w:sz w:val="18"/>
          <w:szCs w:val="18"/>
          <w:color w:val="auto"/>
        </w:rPr>
        <w:t>Purchaser understands that Purchaser may suffer adverse tax consequences as a result of Purchaser’s purchase or disposition of the Shares. Purchaser represents that Purchaser has consulted any tax consultants Purchaser deems advisable in connection with the purchase or disposition of the Shares and that Purchaser is not relying on the Company for any tax advice.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3" w:right="259" w:bottom="1440" w:gutter="0" w:footer="0" w:header="0"/>
        </w:sectPr>
      </w:pPr>
    </w:p>
    <w:bookmarkStart w:id="474" w:name="page475"/>
    <w:bookmarkEnd w:id="474"/>
    <w:p>
      <w:pPr>
        <w:ind w:left="620" w:hanging="176"/>
        <w:spacing w:after="0"/>
        <w:tabs>
          <w:tab w:leader="none" w:pos="620"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Legends and Stop-Transfer Orders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20" w:firstLine="921"/>
        <w:spacing w:after="0" w:line="282" w:lineRule="auto"/>
        <w:tabs>
          <w:tab w:leader="none" w:pos="1137" w:val="left"/>
        </w:tabs>
        <w:numPr>
          <w:ilvl w:val="1"/>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Legends</w:t>
      </w:r>
      <w:r>
        <w:rPr>
          <w:rFonts w:ascii="Arial" w:cs="Arial" w:eastAsia="Arial" w:hAnsi="Arial"/>
          <w:sz w:val="18"/>
          <w:szCs w:val="18"/>
          <w:b w:val="1"/>
          <w:bCs w:val="1"/>
          <w:color w:val="auto"/>
        </w:rPr>
        <w:t xml:space="preserve">. </w:t>
      </w:r>
      <w:r>
        <w:rPr>
          <w:rFonts w:ascii="Arial" w:cs="Arial" w:eastAsia="Arial" w:hAnsi="Arial"/>
          <w:sz w:val="18"/>
          <w:szCs w:val="18"/>
          <w:color w:val="auto"/>
        </w:rPr>
        <w:t>The certificate or certificates representing the Shares shall bear the following legends (as well as any legends required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state and federal corporate and securities laws):</w:t>
      </w:r>
    </w:p>
    <w:p>
      <w:pPr>
        <w:spacing w:after="0" w:line="71" w:lineRule="exact"/>
        <w:rPr>
          <w:rFonts w:ascii="Arial" w:cs="Arial" w:eastAsia="Arial" w:hAnsi="Arial"/>
          <w:sz w:val="18"/>
          <w:szCs w:val="18"/>
          <w:color w:val="auto"/>
        </w:rPr>
      </w:pPr>
    </w:p>
    <w:p>
      <w:pPr>
        <w:ind w:left="1900" w:right="60" w:hanging="440"/>
        <w:spacing w:after="0" w:line="276" w:lineRule="auto"/>
        <w:tabs>
          <w:tab w:leader="none" w:pos="1900" w:val="left"/>
        </w:tabs>
        <w:numPr>
          <w:ilvl w:val="2"/>
          <w:numId w:val="327"/>
        </w:numPr>
        <w:rPr>
          <w:rFonts w:ascii="Arial" w:cs="Arial" w:eastAsia="Arial" w:hAnsi="Arial"/>
          <w:sz w:val="17"/>
          <w:szCs w:val="17"/>
          <w:color w:val="auto"/>
        </w:rPr>
      </w:pPr>
      <w:r>
        <w:rPr>
          <w:rFonts w:ascii="Arial" w:cs="Arial" w:eastAsia="Arial" w:hAnsi="Arial"/>
          <w:sz w:val="17"/>
          <w:szCs w:val="17"/>
          <w:color w:val="auto"/>
        </w:rPr>
        <w:t>THE SHARES REPRESENTED BY THIS CERTIFICATE HAVE NOT BEEN REGISTERED UNDER THE SECURITIES ACT OF 1933, AND HAVE BEEN ACQUIRED FOR INVESTMENT AND NOT WITH A VIEW TO, OR IN CONNECTION WITH, THE SALE OR DISTRIBUTION THEREOF. NO SUCH SALE OR DISTRIBUTION MAY BE EFFECTED WITHOUT AN EFFECTIVE REGISTRATION STATEMENT RELATED THERETO OR AN OPINION OF COUNSEL FOR THE COMPANY THAT SUCH REGISTRATION IS NOT REQUIRED UNDER THE SECURITIES ACT OF 1933.</w:t>
      </w:r>
    </w:p>
    <w:p>
      <w:pPr>
        <w:spacing w:after="0" w:line="77" w:lineRule="exact"/>
        <w:rPr>
          <w:rFonts w:ascii="Arial" w:cs="Arial" w:eastAsia="Arial" w:hAnsi="Arial"/>
          <w:sz w:val="17"/>
          <w:szCs w:val="17"/>
          <w:color w:val="auto"/>
        </w:rPr>
      </w:pPr>
    </w:p>
    <w:p>
      <w:pPr>
        <w:ind w:left="1900" w:right="100" w:hanging="440"/>
        <w:spacing w:after="0" w:line="264" w:lineRule="auto"/>
        <w:tabs>
          <w:tab w:leader="none" w:pos="1900" w:val="left"/>
        </w:tabs>
        <w:numPr>
          <w:ilvl w:val="2"/>
          <w:numId w:val="327"/>
        </w:numPr>
        <w:rPr>
          <w:rFonts w:ascii="Arial" w:cs="Arial" w:eastAsia="Arial" w:hAnsi="Arial"/>
          <w:sz w:val="18"/>
          <w:szCs w:val="18"/>
          <w:color w:val="auto"/>
        </w:rPr>
      </w:pPr>
      <w:r>
        <w:rPr>
          <w:rFonts w:ascii="Arial" w:cs="Arial" w:eastAsia="Arial" w:hAnsi="Arial"/>
          <w:sz w:val="18"/>
          <w:szCs w:val="18"/>
          <w:color w:val="auto"/>
        </w:rPr>
        <w:t>THE SHARES REPRESENTED BY THIS CERTIFICATE MAY BE TRANSFERRED ONLY IN ACCORDANCE WITH THE TERMS OF AN AGREEMENT BETWEEN THE COMPANY AND THE STOCKHOLDER, A COPY OF WHICH IS ON FILE WITH THE SECRETARY OF THE COMPANY.</w:t>
      </w:r>
    </w:p>
    <w:p>
      <w:pPr>
        <w:spacing w:after="0" w:line="177" w:lineRule="exact"/>
        <w:rPr>
          <w:rFonts w:ascii="Arial" w:cs="Arial" w:eastAsia="Arial" w:hAnsi="Arial"/>
          <w:sz w:val="18"/>
          <w:szCs w:val="18"/>
          <w:color w:val="auto"/>
        </w:rPr>
      </w:pPr>
    </w:p>
    <w:p>
      <w:pPr>
        <w:jc w:val="both"/>
        <w:ind w:left="-20" w:right="100" w:firstLine="921"/>
        <w:spacing w:after="0" w:line="266" w:lineRule="auto"/>
        <w:tabs>
          <w:tab w:leader="none" w:pos="1148" w:val="left"/>
        </w:tabs>
        <w:numPr>
          <w:ilvl w:val="1"/>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Stop-Transfer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agrees that, in order to ensure compliance with the restrictions referred to herein, the Company may issue</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“stop transfer” instructions to its transfer agent, if any, and that, if the Company transfers its own securities, it may make appropriate notations to the same effect in its own records.</w:t>
      </w:r>
    </w:p>
    <w:p>
      <w:pPr>
        <w:spacing w:after="0" w:line="176" w:lineRule="exact"/>
        <w:rPr>
          <w:rFonts w:ascii="Arial" w:cs="Arial" w:eastAsia="Arial" w:hAnsi="Arial"/>
          <w:sz w:val="18"/>
          <w:szCs w:val="18"/>
          <w:color w:val="auto"/>
        </w:rPr>
      </w:pPr>
    </w:p>
    <w:p>
      <w:pPr>
        <w:ind w:left="-20" w:firstLine="921"/>
        <w:spacing w:after="0" w:line="266" w:lineRule="auto"/>
        <w:tabs>
          <w:tab w:leader="none" w:pos="1137" w:val="left"/>
        </w:tabs>
        <w:numPr>
          <w:ilvl w:val="1"/>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Refusal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(i) to transfer on its books any Shares that have been sold or otherwise transferred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any of the provisions of this Agreement or (ii) to treat as owner of such Shares or to accord the right to vote or pay dividends to any purchaser or other transferee to whom such Shares shall have been so transferred.</w:t>
      </w:r>
    </w:p>
    <w:p>
      <w:pPr>
        <w:spacing w:after="0" w:line="176" w:lineRule="exact"/>
        <w:rPr>
          <w:rFonts w:ascii="Arial" w:cs="Arial" w:eastAsia="Arial" w:hAnsi="Arial"/>
          <w:sz w:val="18"/>
          <w:szCs w:val="18"/>
          <w:color w:val="auto"/>
        </w:rPr>
      </w:pPr>
    </w:p>
    <w:p>
      <w:pPr>
        <w:ind w:left="-20" w:right="560" w:firstLine="464"/>
        <w:spacing w:after="0" w:line="313" w:lineRule="auto"/>
        <w:tabs>
          <w:tab w:leader="none" w:pos="616" w:val="left"/>
        </w:tabs>
        <w:numPr>
          <w:ilvl w:val="0"/>
          <w:numId w:val="327"/>
        </w:numPr>
        <w:rPr>
          <w:rFonts w:ascii="Arial" w:cs="Arial" w:eastAsia="Arial" w:hAnsi="Arial"/>
          <w:sz w:val="17"/>
          <w:szCs w:val="17"/>
          <w:color w:val="auto"/>
        </w:rPr>
      </w:pPr>
      <w:r>
        <w:rPr>
          <w:rFonts w:ascii="Arial" w:cs="Arial" w:eastAsia="Arial" w:hAnsi="Arial"/>
          <w:sz w:val="17"/>
          <w:szCs w:val="17"/>
          <w:b w:val="1"/>
          <w:bCs w:val="1"/>
          <w:u w:val="single" w:color="auto"/>
          <w:color w:val="auto"/>
        </w:rPr>
        <w:t>No Employment Rights</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Agreement shall affect in any manner whatsoever the right or power of the Company, or a Parent or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of the Company, to terminate Purchaser’s employment or consulting relationship, for any reason, with or without cause.</w:t>
      </w:r>
    </w:p>
    <w:p>
      <w:pPr>
        <w:spacing w:after="0" w:line="138" w:lineRule="exact"/>
        <w:rPr>
          <w:rFonts w:ascii="Arial" w:cs="Arial" w:eastAsia="Arial" w:hAnsi="Arial"/>
          <w:sz w:val="17"/>
          <w:szCs w:val="17"/>
          <w:color w:val="auto"/>
        </w:rPr>
      </w:pPr>
    </w:p>
    <w:p>
      <w:pPr>
        <w:ind w:left="-20" w:right="100" w:firstLine="464"/>
        <w:spacing w:after="0" w:line="314" w:lineRule="auto"/>
        <w:tabs>
          <w:tab w:leader="none" w:pos="616" w:val="left"/>
        </w:tabs>
        <w:numPr>
          <w:ilvl w:val="0"/>
          <w:numId w:val="327"/>
        </w:numPr>
        <w:rPr>
          <w:rFonts w:ascii="Arial" w:cs="Arial" w:eastAsia="Arial" w:hAnsi="Arial"/>
          <w:sz w:val="16"/>
          <w:szCs w:val="16"/>
          <w:color w:val="auto"/>
        </w:rPr>
      </w:pPr>
      <w:r>
        <w:rPr>
          <w:rFonts w:ascii="Arial" w:cs="Arial" w:eastAsia="Arial" w:hAnsi="Arial"/>
          <w:sz w:val="16"/>
          <w:szCs w:val="16"/>
          <w:b w:val="1"/>
          <w:bCs w:val="1"/>
          <w:u w:val="single" w:color="auto"/>
          <w:color w:val="auto"/>
        </w:rPr>
        <w:t>Lock-Up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In connection with the initial public offering of the Company’s securities and upon request of the Company or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any underwritten offering of the Company’s securities, Purchaser agrees not to sell, make any short sale of, loan, grant any option for the purchase of, or otherwise dispose of any securities of the Company however or whenever acquired (other than those included in the registration)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70" w:right="259" w:bottom="1440" w:gutter="0" w:footer="0" w:header="0"/>
        </w:sectPr>
      </w:pPr>
    </w:p>
    <w:bookmarkStart w:id="475" w:name="page476"/>
    <w:bookmarkEnd w:id="47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the prior written consent of the Company or such underwriters, as the case may be, for such period of time (not to exceed one hundred eighty</w:t>
      </w:r>
    </w:p>
    <w:p>
      <w:pPr>
        <w:spacing w:after="0" w:line="35" w:lineRule="exact"/>
        <w:rPr>
          <w:sz w:val="20"/>
          <w:szCs w:val="20"/>
          <w:color w:val="auto"/>
        </w:rPr>
      </w:pPr>
    </w:p>
    <w:p>
      <w:pPr>
        <w:ind w:right="320" w:firstLine="8"/>
        <w:spacing w:after="0" w:line="261" w:lineRule="auto"/>
        <w:tabs>
          <w:tab w:leader="none" w:pos="43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days) from the effective date of such registration as may be requested by the Company or such managing underwriters and to execute an agreement reflecting the foregoing as may be requested by the underwriters at the time of the public offering.</w:t>
      </w:r>
    </w:p>
    <w:p>
      <w:pPr>
        <w:spacing w:after="0" w:line="179" w:lineRule="exact"/>
        <w:rPr>
          <w:rFonts w:ascii="Arial" w:cs="Arial" w:eastAsia="Arial" w:hAnsi="Arial"/>
          <w:sz w:val="18"/>
          <w:szCs w:val="18"/>
          <w:color w:val="auto"/>
        </w:rPr>
      </w:pPr>
    </w:p>
    <w:p>
      <w:pPr>
        <w:ind w:left="640" w:hanging="176"/>
        <w:spacing w:after="0"/>
        <w:tabs>
          <w:tab w:leader="none" w:pos="640" w:val="left"/>
        </w:tabs>
        <w:numPr>
          <w:ilvl w:val="1"/>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right="280" w:firstLine="921"/>
        <w:spacing w:after="0" w:line="347" w:lineRule="auto"/>
        <w:tabs>
          <w:tab w:leader="none" w:pos="1157" w:val="left"/>
        </w:tabs>
        <w:numPr>
          <w:ilvl w:val="2"/>
          <w:numId w:val="32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and all acts and transactions pursuant hereto and the rights and obligations of the parties hereto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construed and interpreted in accordance with the laws of the State of California, without giving effect to principles of conflicts of law.</w:t>
      </w:r>
    </w:p>
    <w:p>
      <w:pPr>
        <w:spacing w:after="0" w:line="116" w:lineRule="exact"/>
        <w:rPr>
          <w:rFonts w:ascii="Arial" w:cs="Arial" w:eastAsia="Arial" w:hAnsi="Arial"/>
          <w:sz w:val="16"/>
          <w:szCs w:val="16"/>
          <w:color w:val="auto"/>
        </w:rPr>
      </w:pPr>
    </w:p>
    <w:p>
      <w:pPr>
        <w:ind w:firstLine="921"/>
        <w:spacing w:after="0" w:line="261" w:lineRule="auto"/>
        <w:tabs>
          <w:tab w:leader="none" w:pos="1168" w:val="left"/>
        </w:tabs>
        <w:numPr>
          <w:ilvl w:val="2"/>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sets forth the entire agreement and understanding of the parties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rFonts w:ascii="Arial" w:cs="Arial" w:eastAsia="Arial" w:hAnsi="Arial"/>
          <w:sz w:val="18"/>
          <w:szCs w:val="18"/>
          <w:color w:val="auto"/>
        </w:rPr>
      </w:pPr>
    </w:p>
    <w:p>
      <w:pPr>
        <w:ind w:right="120" w:firstLine="921"/>
        <w:spacing w:after="0" w:line="261" w:lineRule="auto"/>
        <w:tabs>
          <w:tab w:leader="none" w:pos="1157" w:val="left"/>
        </w:tabs>
        <w:numPr>
          <w:ilvl w:val="2"/>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 parties agree to renegotiate</w:t>
      </w:r>
      <w:r>
        <w:rPr>
          <w:rFonts w:ascii="Arial" w:cs="Arial" w:eastAsia="Arial" w:hAnsi="Arial"/>
          <w:sz w:val="18"/>
          <w:szCs w:val="18"/>
          <w:b w:val="1"/>
          <w:bCs w:val="1"/>
          <w:color w:val="auto"/>
        </w:rPr>
        <w:t xml:space="preserve"> </w:t>
      </w:r>
      <w:r>
        <w:rPr>
          <w:rFonts w:ascii="Arial" w:cs="Arial" w:eastAsia="Arial" w:hAnsi="Arial"/>
          <w:sz w:val="18"/>
          <w:szCs w:val="18"/>
          <w:color w:val="auto"/>
        </w:rPr>
        <w:t>such provision in good faith. In the 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80" w:lineRule="exact"/>
        <w:rPr>
          <w:rFonts w:ascii="Arial" w:cs="Arial" w:eastAsia="Arial" w:hAnsi="Arial"/>
          <w:sz w:val="18"/>
          <w:szCs w:val="18"/>
          <w:color w:val="auto"/>
        </w:rPr>
      </w:pPr>
    </w:p>
    <w:p>
      <w:pPr>
        <w:jc w:val="both"/>
        <w:ind w:right="80" w:firstLine="921"/>
        <w:spacing w:after="0" w:line="266" w:lineRule="auto"/>
        <w:tabs>
          <w:tab w:leader="none" w:pos="1168" w:val="left"/>
        </w:tabs>
        <w:numPr>
          <w:ilvl w:val="2"/>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 hereto and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if any; accordingly, this Agreement shall be deemed to be the product of all of the parties hereto, and no ambiguity shall be construed in favor of or against any one of the parties hereto.</w:t>
      </w:r>
    </w:p>
    <w:p>
      <w:pPr>
        <w:spacing w:after="0" w:line="176" w:lineRule="exact"/>
        <w:rPr>
          <w:rFonts w:ascii="Arial" w:cs="Arial" w:eastAsia="Arial" w:hAnsi="Arial"/>
          <w:sz w:val="18"/>
          <w:szCs w:val="18"/>
          <w:color w:val="auto"/>
        </w:rPr>
      </w:pPr>
    </w:p>
    <w:p>
      <w:pPr>
        <w:jc w:val="both"/>
        <w:ind w:right="100" w:firstLine="921"/>
        <w:spacing w:after="0" w:line="289" w:lineRule="auto"/>
        <w:tabs>
          <w:tab w:leader="none" w:pos="1157" w:val="left"/>
        </w:tabs>
        <w:numPr>
          <w:ilvl w:val="2"/>
          <w:numId w:val="328"/>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Any notice required or permitted by this Agreement shall be in writing and shall be deemed sufficient when delivered personally or</w:t>
      </w:r>
      <w:r>
        <w:rPr>
          <w:rFonts w:ascii="Arial" w:cs="Arial" w:eastAsia="Arial" w:hAnsi="Arial"/>
          <w:sz w:val="17"/>
          <w:szCs w:val="17"/>
          <w:b w:val="1"/>
          <w:bCs w:val="1"/>
          <w:color w:val="auto"/>
        </w:rPr>
        <w:t xml:space="preserve"> </w:t>
      </w:r>
      <w:r>
        <w:rPr>
          <w:rFonts w:ascii="Arial" w:cs="Arial" w:eastAsia="Arial" w:hAnsi="Arial"/>
          <w:sz w:val="17"/>
          <w:szCs w:val="17"/>
          <w:color w:val="auto"/>
        </w:rPr>
        <w:t>sent by telegram or fax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rFonts w:ascii="Arial" w:cs="Arial" w:eastAsia="Arial" w:hAnsi="Arial"/>
          <w:sz w:val="17"/>
          <w:szCs w:val="17"/>
          <w:color w:val="auto"/>
        </w:rPr>
      </w:pPr>
    </w:p>
    <w:p>
      <w:pPr>
        <w:ind w:right="60" w:firstLine="921"/>
        <w:spacing w:after="0" w:line="282" w:lineRule="auto"/>
        <w:tabs>
          <w:tab w:leader="none" w:pos="1138" w:val="left"/>
        </w:tabs>
        <w:numPr>
          <w:ilvl w:val="2"/>
          <w:numId w:val="32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(2) or more counterparts, each of which shall be deemed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instrument.</w:t>
      </w:r>
    </w:p>
    <w:p>
      <w:pPr>
        <w:spacing w:after="0" w:line="161" w:lineRule="exact"/>
        <w:rPr>
          <w:rFonts w:ascii="Arial" w:cs="Arial" w:eastAsia="Arial" w:hAnsi="Arial"/>
          <w:sz w:val="18"/>
          <w:szCs w:val="18"/>
          <w:color w:val="auto"/>
        </w:rPr>
      </w:pPr>
    </w:p>
    <w:p>
      <w:pPr>
        <w:ind w:right="200" w:firstLine="921"/>
        <w:spacing w:after="0" w:line="347" w:lineRule="auto"/>
        <w:tabs>
          <w:tab w:leader="none" w:pos="1168" w:val="left"/>
        </w:tabs>
        <w:numPr>
          <w:ilvl w:val="2"/>
          <w:numId w:val="328"/>
        </w:numPr>
        <w:rPr>
          <w:rFonts w:ascii="Arial" w:cs="Arial" w:eastAsia="Arial" w:hAnsi="Arial"/>
          <w:sz w:val="16"/>
          <w:szCs w:val="16"/>
          <w:color w:val="auto"/>
        </w:rPr>
      </w:pPr>
      <w:r>
        <w:rPr>
          <w:rFonts w:ascii="Arial" w:cs="Arial" w:eastAsia="Arial" w:hAnsi="Arial"/>
          <w:sz w:val="16"/>
          <w:szCs w:val="16"/>
          <w:b w:val="1"/>
          <w:bCs w:val="1"/>
          <w:u w:val="single" w:color="auto"/>
          <w:color w:val="auto"/>
        </w:rPr>
        <w:t>Successors and Assigns</w:t>
      </w:r>
      <w:r>
        <w:rPr>
          <w:rFonts w:ascii="Arial" w:cs="Arial" w:eastAsia="Arial" w:hAnsi="Arial"/>
          <w:sz w:val="16"/>
          <w:szCs w:val="16"/>
          <w:b w:val="1"/>
          <w:bCs w:val="1"/>
          <w:color w:val="auto"/>
        </w:rPr>
        <w:t xml:space="preserve">. </w:t>
      </w:r>
      <w:r>
        <w:rPr>
          <w:rFonts w:ascii="Arial" w:cs="Arial" w:eastAsia="Arial" w:hAnsi="Arial"/>
          <w:sz w:val="16"/>
          <w:szCs w:val="16"/>
          <w:color w:val="auto"/>
        </w:rPr>
        <w:t>The rights and benefits of this Agreement shall inure to the benefit of, and be enforceable by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successors and assigns. The rights and obligations of Purchaser under this Agreement may only be assigned with the prior written consent of the Company.</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476" w:name="page477"/>
    <w:bookmarkEnd w:id="476"/>
    <w:p>
      <w:pPr>
        <w:ind w:left="-220" w:firstLine="921"/>
        <w:spacing w:after="0" w:line="256" w:lineRule="auto"/>
        <w:tabs>
          <w:tab w:leader="none" w:pos="948" w:val="left"/>
        </w:tabs>
        <w:numPr>
          <w:ilvl w:val="0"/>
          <w:numId w:val="32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California Corporate Securities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SALE OF THE SECURITIES WHICH ARE THE SUBJECT OF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QUALIFIED WITH THE COMMISSIONER OF CORPORATIONS OF THE STATE OF CALIFORNIA AND THE ISSUANCE OF THE SECURITIES OR THE PAYMENT OR RECEIPT OF ANY PART OF THE CONSIDERATION THEREFOR PRIOR TO THE QUALIFICATION IS UNLAWFUL, UNLESS THE SALE OF SECURITIES IS EXEMPT FROM QUALIFICATION BY SECTION 25100, 25102 OR 25105 OF THE CALIFORNIA CORPORATIONS CODE. THE RIGHTS OF ALL PARTIES TO THIS AGREEMENT ARE EXPRESSLY CONDITIONED UPON THE QUALIFICATION BEING OBTAINED, UNLESS THE SALE IS SO EXEMPT.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0" w:right="459" w:bottom="1440" w:gutter="0" w:footer="0" w:header="0"/>
        </w:sectPr>
      </w:pPr>
    </w:p>
    <w:bookmarkStart w:id="477" w:name="page478"/>
    <w:bookmarkEnd w:id="47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have executed this Exercise Notice and Restricted Stock Purchase Agreement as of the date first set forth above.</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SYNDAX PHARMACEUTICALS,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555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5552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14605</wp:posOffset>
            </wp:positionV>
            <wp:extent cx="22555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«Name»</w:t>
            </w:r>
          </w:p>
        </w:tc>
      </w:tr>
      <w:tr>
        <w:trPr>
          <w:trHeight w:val="432"/>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(Signature)</w:t>
            </w:r>
          </w:p>
        </w:tc>
      </w:tr>
      <w:tr>
        <w:trPr>
          <w:trHeight w:val="431"/>
        </w:trPr>
        <w:tc>
          <w:tcPr>
            <w:tcW w:w="58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3560" w:type="dxa"/>
            <w:vAlign w:val="bottom"/>
            <w:tcBorders>
              <w:bottom w:val="single" w:sz="8" w:color="auto"/>
            </w:tcBorders>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7280" w:type="dxa"/>
            <w:vAlign w:val="bottom"/>
            <w:gridSpan w:val="2"/>
          </w:tcPr>
          <w:p>
            <w:pPr>
              <w:spacing w:after="0"/>
              <w:rPr>
                <w:sz w:val="19"/>
                <w:szCs w:val="19"/>
                <w:color w:val="auto"/>
              </w:rPr>
            </w:pPr>
          </w:p>
        </w:tc>
        <w:tc>
          <w:tcPr>
            <w:tcW w:w="3560" w:type="dxa"/>
            <w:vAlign w:val="bottom"/>
            <w:tcBorders>
              <w:bottom w:val="single" w:sz="8" w:color="auto"/>
            </w:tcBorders>
          </w:tcPr>
          <w:p>
            <w:pPr>
              <w:spacing w:after="0"/>
              <w:rPr>
                <w:sz w:val="19"/>
                <w:szCs w:val="19"/>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I,</w:t>
            </w:r>
          </w:p>
        </w:tc>
        <w:tc>
          <w:tcPr>
            <w:tcW w:w="10840" w:type="dxa"/>
            <w:vAlign w:val="bottom"/>
            <w:gridSpan w:val="3"/>
          </w:tcPr>
          <w:p>
            <w:pPr>
              <w:ind w:left="480"/>
              <w:spacing w:after="0"/>
              <w:rPr>
                <w:sz w:val="20"/>
                <w:szCs w:val="20"/>
                <w:color w:val="auto"/>
              </w:rPr>
            </w:pPr>
            <w:r>
              <w:rPr>
                <w:rFonts w:ascii="Arial" w:cs="Arial" w:eastAsia="Arial" w:hAnsi="Arial"/>
                <w:sz w:val="18"/>
                <w:szCs w:val="18"/>
                <w:color w:val="auto"/>
                <w:w w:val="91"/>
              </w:rPr>
              <w:t>, spouse of «Name», have read and hereby approve the foregoing Agreement. In consideration of the Company’s granting my spouse the right</w:t>
            </w:r>
          </w:p>
        </w:tc>
      </w:tr>
    </w:tbl>
    <w:p>
      <w:pPr>
        <w:jc w:val="both"/>
        <w:ind w:right="40"/>
        <w:spacing w:after="0" w:line="255" w:lineRule="auto"/>
        <w:rPr>
          <w:sz w:val="20"/>
          <w:szCs w:val="20"/>
          <w:color w:val="auto"/>
        </w:rPr>
      </w:pPr>
      <w:r>
        <w:rPr>
          <w:rFonts w:ascii="Arial" w:cs="Arial" w:eastAsia="Arial" w:hAnsi="Arial"/>
          <w:sz w:val="18"/>
          <w:szCs w:val="18"/>
          <w:color w:val="auto"/>
        </w:rPr>
        <w:t>to purchase the Shares as set forth in the Agreement, I hereby agree to be irrevocably bound by the Agreement and further agree that any community property or other such interest shall hereby by similarly bound by the Agreement. I hereby appoint my spouse as my attorney-in-fact with respect to any amendment or exercise of any rights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284480</wp:posOffset>
            </wp:positionV>
            <wp:extent cx="28987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Spouse of «Name»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478" w:name="page479"/>
    <w:bookmarkEnd w:id="478"/>
    <w:p>
      <w:pPr>
        <w:jc w:val="center"/>
        <w:ind w:right="-8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w:t>
      </w:r>
    </w:p>
    <w:p>
      <w:pPr>
        <w:spacing w:after="0" w:line="229" w:lineRule="exact"/>
        <w:rPr>
          <w:sz w:val="20"/>
          <w:szCs w:val="20"/>
          <w:color w:val="auto"/>
        </w:rPr>
      </w:pPr>
    </w:p>
    <w:p>
      <w:pPr>
        <w:ind w:left="460"/>
        <w:spacing w:after="0"/>
        <w:tabs>
          <w:tab w:leader="none" w:pos="5360" w:val="left"/>
          <w:tab w:leader="none" w:pos="6380" w:val="left"/>
        </w:tabs>
        <w:rPr>
          <w:sz w:val="20"/>
          <w:szCs w:val="20"/>
          <w:color w:val="auto"/>
        </w:rPr>
      </w:pPr>
      <w:r>
        <w:rPr>
          <w:rFonts w:ascii="Arial" w:cs="Arial" w:eastAsia="Arial" w:hAnsi="Arial"/>
          <w:sz w:val="18"/>
          <w:szCs w:val="18"/>
          <w:color w:val="auto"/>
        </w:rPr>
        <w:t>The undersigned hereby acknowledges receipt of Certificate No.</w:t>
        <w:tab/>
        <w:t>for</w:t>
      </w:r>
      <w:r>
        <w:rPr>
          <w:sz w:val="20"/>
          <w:szCs w:val="20"/>
          <w:color w:val="auto"/>
        </w:rPr>
        <w:tab/>
      </w:r>
      <w:r>
        <w:rPr>
          <w:rFonts w:ascii="Arial" w:cs="Arial" w:eastAsia="Arial" w:hAnsi="Arial"/>
          <w:sz w:val="16"/>
          <w:szCs w:val="16"/>
          <w:color w:val="auto"/>
        </w:rPr>
        <w:t>shares of Common Stock of Syndax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25882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258820" cy="8890"/>
                    </a:xfrm>
                    <a:prstGeom prst="rect">
                      <a:avLst/>
                    </a:prstGeom>
                    <a:noFill/>
                  </pic:spPr>
                </pic:pic>
              </a:graphicData>
            </a:graphic>
          </wp:anchor>
        </w:drawing>
        <w:drawing>
          <wp:anchor simplePos="0" relativeHeight="251657728" behindDoc="1" locked="0" layoutInCell="0" allowOverlap="1">
            <wp:simplePos x="0" y="0"/>
            <wp:positionH relativeFrom="column">
              <wp:posOffset>3992880</wp:posOffset>
            </wp:positionH>
            <wp:positionV relativeFrom="paragraph">
              <wp:posOffset>306705</wp:posOffset>
            </wp:positionV>
            <wp:extent cx="325882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580"/>
          </w:cols>
          <w:pgMar w:left="240" w:top="269" w:right="1079" w:bottom="1440" w:gutter="0" w:footer="0" w:header="0"/>
        </w:sectPr>
      </w:pPr>
    </w:p>
    <w:bookmarkStart w:id="479" w:name="page480"/>
    <w:bookmarkEnd w:id="479"/>
    <w:tbl>
      <w:tblPr>
        <w:tblLayout w:type="fixed"/>
        <w:tblInd w:w="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RECEIPT</w:t>
            </w:r>
          </w:p>
        </w:tc>
        <w:tc>
          <w:tcPr>
            <w:tcW w:w="224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412"/>
        </w:trPr>
        <w:tc>
          <w:tcPr>
            <w:tcW w:w="8360" w:type="dxa"/>
            <w:vAlign w:val="bottom"/>
            <w:gridSpan w:val="6"/>
          </w:tcPr>
          <w:p>
            <w:pPr>
              <w:ind w:left="460"/>
              <w:spacing w:after="0"/>
              <w:rPr>
                <w:sz w:val="20"/>
                <w:szCs w:val="20"/>
                <w:color w:val="auto"/>
              </w:rPr>
            </w:pPr>
            <w:r>
              <w:rPr>
                <w:rFonts w:ascii="Arial" w:cs="Arial" w:eastAsia="Arial" w:hAnsi="Arial"/>
                <w:sz w:val="18"/>
                <w:szCs w:val="18"/>
                <w:color w:val="auto"/>
                <w:w w:val="92"/>
              </w:rPr>
              <w:t>Syndax Pharmaceuticals, Inc. (the “Company”) hereby acknowledges receipt of a check in the amount of $</w:t>
            </w:r>
          </w:p>
        </w:tc>
        <w:tc>
          <w:tcPr>
            <w:tcW w:w="2960" w:type="dxa"/>
            <w:vAlign w:val="bottom"/>
          </w:tcPr>
          <w:p>
            <w:pPr>
              <w:ind w:left="220"/>
              <w:spacing w:after="0"/>
              <w:rPr>
                <w:sz w:val="20"/>
                <w:szCs w:val="20"/>
                <w:color w:val="auto"/>
              </w:rPr>
            </w:pPr>
            <w:r>
              <w:rPr>
                <w:rFonts w:ascii="Arial" w:cs="Arial" w:eastAsia="Arial" w:hAnsi="Arial"/>
                <w:sz w:val="18"/>
                <w:szCs w:val="18"/>
                <w:color w:val="auto"/>
                <w:w w:val="90"/>
              </w:rPr>
              <w:t>given by «Name» as consideration for</w:t>
            </w:r>
          </w:p>
        </w:tc>
      </w:tr>
      <w:tr>
        <w:trPr>
          <w:trHeight w:val="20"/>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237"/>
        </w:trPr>
        <w:tc>
          <w:tcPr>
            <w:tcW w:w="1960" w:type="dxa"/>
            <w:vAlign w:val="bottom"/>
          </w:tcPr>
          <w:p>
            <w:pPr>
              <w:spacing w:after="0"/>
              <w:rPr>
                <w:sz w:val="20"/>
                <w:szCs w:val="20"/>
                <w:color w:val="auto"/>
              </w:rPr>
            </w:pPr>
            <w:r>
              <w:rPr>
                <w:rFonts w:ascii="Arial" w:cs="Arial" w:eastAsia="Arial" w:hAnsi="Arial"/>
                <w:sz w:val="18"/>
                <w:szCs w:val="18"/>
                <w:color w:val="auto"/>
              </w:rPr>
              <w:t>Certificate No.   for</w:t>
            </w:r>
          </w:p>
        </w:tc>
        <w:tc>
          <w:tcPr>
            <w:tcW w:w="6400" w:type="dxa"/>
            <w:vAlign w:val="bottom"/>
            <w:gridSpan w:val="5"/>
          </w:tcPr>
          <w:p>
            <w:pPr>
              <w:ind w:left="400"/>
              <w:spacing w:after="0"/>
              <w:rPr>
                <w:sz w:val="20"/>
                <w:szCs w:val="20"/>
                <w:color w:val="auto"/>
              </w:rPr>
            </w:pPr>
            <w:r>
              <w:rPr>
                <w:rFonts w:ascii="Arial" w:cs="Arial" w:eastAsia="Arial" w:hAnsi="Arial"/>
                <w:sz w:val="18"/>
                <w:szCs w:val="18"/>
                <w:color w:val="auto"/>
              </w:rPr>
              <w:t>shares of Common Stock of the Company.</w:t>
            </w:r>
          </w:p>
        </w:tc>
        <w:tc>
          <w:tcPr>
            <w:tcW w:w="2960" w:type="dxa"/>
            <w:vAlign w:val="bottom"/>
          </w:tcPr>
          <w:p>
            <w:pPr>
              <w:spacing w:after="0"/>
              <w:rPr>
                <w:sz w:val="20"/>
                <w:szCs w:val="20"/>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3593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SYNDAX PHARMACEUTICALS, INC.</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24"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ectPr>
          <w:pgSz w:w="11900" w:h="16838" w:orient="portrait"/>
          <w:cols w:equalWidth="0" w:num="1">
            <w:col w:w="11320"/>
          </w:cols>
          <w:pgMar w:left="240" w:top="257" w:right="33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List of Subsidiaries</w:t>
      </w: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85"/>
        </w:trPr>
        <w:tc>
          <w:tcPr>
            <w:tcW w:w="3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Name</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4"/>
              </w:rPr>
              <w:t>Jurisdiction of Incorporation</w:t>
            </w:r>
          </w:p>
        </w:tc>
      </w:tr>
      <w:tr>
        <w:trPr>
          <w:trHeight w:val="224"/>
        </w:trPr>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Syndax Securities Corporation</w:t>
            </w:r>
          </w:p>
        </w:tc>
        <w:tc>
          <w:tcPr>
            <w:tcW w:w="200" w:type="dxa"/>
            <w:vAlign w:val="bottom"/>
          </w:tcPr>
          <w:p>
            <w:pPr>
              <w:spacing w:after="0"/>
              <w:rPr>
                <w:sz w:val="19"/>
                <w:szCs w:val="19"/>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Massachusetts</w:t>
            </w:r>
          </w:p>
        </w:tc>
      </w:tr>
      <w:tr>
        <w:trPr>
          <w:trHeight w:val="310"/>
        </w:trPr>
        <w:tc>
          <w:tcPr>
            <w:tcW w:w="33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Syndax Limited</w:t>
            </w:r>
          </w:p>
        </w:tc>
        <w:tc>
          <w:tcPr>
            <w:tcW w:w="306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r>
    </w:tbl>
    <w:p>
      <w:pPr>
        <w:spacing w:after="0" w:line="1" w:lineRule="exact"/>
        <w:rPr>
          <w:sz w:val="20"/>
          <w:szCs w:val="20"/>
          <w:color w:val="auto"/>
        </w:rPr>
      </w:pPr>
    </w:p>
    <w:sectPr>
      <w:pgSz w:w="11900" w:h="16838" w:orient="portrait"/>
      <w:cols w:equalWidth="0" w:num="1">
        <w:col w:w="10220"/>
      </w:cols>
      <w:pgMar w:left="14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85850"/>
    <w:multiLevelType w:val="hybridMultilevel"/>
    <w:lvl w:ilvl="0">
      <w:lvlJc w:val="left"/>
      <w:lvlText w:val="(%1)"/>
      <w:numFmt w:val="decimal"/>
      <w:start w:val="1"/>
    </w:lvl>
  </w:abstractNum>
  <w:abstractNum w:abstractNumId="1">
    <w:nsid w:val="744939A3"/>
    <w:multiLevelType w:val="hybridMultilevel"/>
    <w:lvl w:ilvl="0">
      <w:lvlJc w:val="left"/>
      <w:lvlText w:val="(%1)"/>
      <w:numFmt w:val="decimal"/>
      <w:start w:val="1"/>
    </w:lvl>
  </w:abstractNum>
  <w:abstractNum w:abstractNumId="2">
    <w:nsid w:val="4FA0D2E3"/>
    <w:multiLevelType w:val="hybridMultilevel"/>
    <w:lvl w:ilvl="0">
      <w:lvlJc w:val="left"/>
      <w:lvlText w:val="•"/>
      <w:numFmt w:val="bullet"/>
      <w:start w:val="1"/>
    </w:lvl>
  </w:abstractNum>
  <w:abstractNum w:abstractNumId="3">
    <w:nsid w:val="6B1D2C14"/>
    <w:multiLevelType w:val="hybridMultilevel"/>
    <w:lvl w:ilvl="0">
      <w:lvlJc w:val="left"/>
      <w:lvlText w:val="•"/>
      <w:numFmt w:val="bullet"/>
      <w:start w:val="1"/>
    </w:lvl>
  </w:abstractNum>
  <w:abstractNum w:abstractNumId="4">
    <w:nsid w:val="68B867D3"/>
    <w:multiLevelType w:val="hybridMultilevel"/>
    <w:lvl w:ilvl="0">
      <w:lvlJc w:val="left"/>
      <w:lvlText w:val="•"/>
      <w:numFmt w:val="bullet"/>
      <w:start w:val="1"/>
    </w:lvl>
  </w:abstractNum>
  <w:abstractNum w:abstractNumId="5">
    <w:nsid w:val="3F7F5DD9"/>
    <w:multiLevelType w:val="hybridMultilevel"/>
    <w:lvl w:ilvl="0">
      <w:lvlJc w:val="left"/>
      <w:lvlText w:val="•"/>
      <w:numFmt w:val="bullet"/>
      <w:start w:val="1"/>
    </w:lvl>
  </w:abstractNum>
  <w:abstractNum w:abstractNumId="6">
    <w:nsid w:val="2AE05A34"/>
    <w:multiLevelType w:val="hybridMultilevel"/>
    <w:lvl w:ilvl="0">
      <w:lvlJc w:val="left"/>
      <w:lvlText w:val="•"/>
      <w:numFmt w:val="bullet"/>
      <w:start w:val="1"/>
    </w:lvl>
  </w:abstractNum>
  <w:abstractNum w:abstractNumId="7">
    <w:nsid w:val="32794FF7"/>
    <w:multiLevelType w:val="hybridMultilevel"/>
    <w:lvl w:ilvl="0">
      <w:lvlJc w:val="left"/>
      <w:lvlText w:val="•"/>
      <w:numFmt w:val="bullet"/>
      <w:start w:val="1"/>
    </w:lvl>
  </w:abstractNum>
  <w:abstractNum w:abstractNumId="8">
    <w:nsid w:val="5454945E"/>
    <w:multiLevelType w:val="hybridMultilevel"/>
    <w:lvl w:ilvl="0">
      <w:lvlJc w:val="left"/>
      <w:lvlText w:val="•"/>
      <w:numFmt w:val="bullet"/>
      <w:start w:val="1"/>
    </w:lvl>
  </w:abstractNum>
  <w:abstractNum w:abstractNumId="9">
    <w:nsid w:val="4DEFDFA0"/>
    <w:multiLevelType w:val="hybridMultilevel"/>
    <w:lvl w:ilvl="0">
      <w:lvlJc w:val="left"/>
      <w:lvlText w:val="•"/>
      <w:numFmt w:val="bullet"/>
      <w:start w:val="1"/>
    </w:lvl>
  </w:abstractNum>
  <w:abstractNum w:abstractNumId="10">
    <w:nsid w:val="2123D5F2"/>
    <w:multiLevelType w:val="hybridMultilevel"/>
    <w:lvl w:ilvl="0">
      <w:lvlJc w:val="left"/>
      <w:lvlText w:val="(%1)"/>
      <w:numFmt w:val="decimal"/>
      <w:start w:val="1"/>
    </w:lvl>
  </w:abstractNum>
  <w:abstractNum w:abstractNumId="11">
    <w:nsid w:val="135B8110"/>
    <w:multiLevelType w:val="hybridMultilevel"/>
    <w:lvl w:ilvl="0">
      <w:lvlJc w:val="left"/>
      <w:lvlText w:val="(%1)"/>
      <w:numFmt w:val="decimal"/>
      <w:start w:val="1"/>
    </w:lvl>
  </w:abstractNum>
  <w:abstractNum w:abstractNumId="12">
    <w:nsid w:val="94927A8"/>
    <w:multiLevelType w:val="hybridMultilevel"/>
    <w:lvl w:ilvl="0">
      <w:lvlJc w:val="left"/>
      <w:lvlText w:val="•"/>
      <w:numFmt w:val="bullet"/>
      <w:start w:val="1"/>
    </w:lvl>
  </w:abstractNum>
  <w:abstractNum w:abstractNumId="13">
    <w:nsid w:val="DCDF8F6"/>
    <w:multiLevelType w:val="hybridMultilevel"/>
    <w:lvl w:ilvl="0">
      <w:lvlJc w:val="left"/>
      <w:lvlText w:val="•"/>
      <w:numFmt w:val="bullet"/>
      <w:start w:val="1"/>
    </w:lvl>
  </w:abstractNum>
  <w:abstractNum w:abstractNumId="14">
    <w:nsid w:val="52D7B105"/>
    <w:multiLevelType w:val="hybridMultilevel"/>
    <w:lvl w:ilvl="0">
      <w:lvlJc w:val="left"/>
      <w:lvlText w:val="•"/>
      <w:numFmt w:val="bullet"/>
      <w:start w:val="1"/>
    </w:lvl>
  </w:abstractNum>
  <w:abstractNum w:abstractNumId="15">
    <w:nsid w:val="2E8A6394"/>
    <w:multiLevelType w:val="hybridMultilevel"/>
    <w:lvl w:ilvl="0">
      <w:lvlJc w:val="left"/>
      <w:lvlText w:val="•"/>
      <w:numFmt w:val="bullet"/>
      <w:start w:val="1"/>
    </w:lvl>
  </w:abstractNum>
  <w:abstractNum w:abstractNumId="16">
    <w:nsid w:val="24E60401"/>
    <w:multiLevelType w:val="hybridMultilevel"/>
    <w:lvl w:ilvl="0">
      <w:lvlJc w:val="left"/>
      <w:lvlText w:val="•"/>
      <w:numFmt w:val="bullet"/>
      <w:start w:val="1"/>
    </w:lvl>
  </w:abstractNum>
  <w:abstractNum w:abstractNumId="17">
    <w:nsid w:val="2A6AD9BE"/>
    <w:multiLevelType w:val="hybridMultilevel"/>
    <w:lvl w:ilvl="0">
      <w:lvlJc w:val="left"/>
      <w:lvlText w:val="•"/>
      <w:numFmt w:val="bullet"/>
      <w:start w:val="1"/>
    </w:lvl>
  </w:abstractNum>
  <w:abstractNum w:abstractNumId="18">
    <w:nsid w:val="BAAC1B4"/>
    <w:multiLevelType w:val="hybridMultilevel"/>
    <w:lvl w:ilvl="0">
      <w:lvlJc w:val="left"/>
      <w:lvlText w:val="•"/>
      <w:numFmt w:val="bullet"/>
      <w:start w:val="1"/>
    </w:lvl>
  </w:abstractNum>
  <w:abstractNum w:abstractNumId="19">
    <w:nsid w:val="36B2ACBC"/>
    <w:multiLevelType w:val="hybridMultilevel"/>
    <w:lvl w:ilvl="0">
      <w:lvlJc w:val="left"/>
      <w:lvlText w:val="•"/>
      <w:numFmt w:val="bullet"/>
      <w:start w:val="1"/>
    </w:lvl>
  </w:abstractNum>
  <w:abstractNum w:abstractNumId="20">
    <w:nsid w:val="779D8544"/>
    <w:multiLevelType w:val="hybridMultilevel"/>
    <w:lvl w:ilvl="0">
      <w:lvlJc w:val="left"/>
      <w:lvlText w:val="•"/>
      <w:numFmt w:val="bullet"/>
      <w:start w:val="1"/>
    </w:lvl>
  </w:abstractNum>
  <w:abstractNum w:abstractNumId="21">
    <w:nsid w:val="4AB26E78"/>
    <w:multiLevelType w:val="hybridMultilevel"/>
    <w:lvl w:ilvl="0">
      <w:lvlJc w:val="left"/>
      <w:lvlText w:val="•"/>
      <w:numFmt w:val="bullet"/>
      <w:start w:val="1"/>
    </w:lvl>
  </w:abstractNum>
  <w:abstractNum w:abstractNumId="22">
    <w:nsid w:val="21FAA2FA"/>
    <w:multiLevelType w:val="hybridMultilevel"/>
    <w:lvl w:ilvl="0">
      <w:lvlJc w:val="left"/>
      <w:lvlText w:val="•"/>
      <w:numFmt w:val="bullet"/>
      <w:start w:val="1"/>
    </w:lvl>
  </w:abstractNum>
  <w:abstractNum w:abstractNumId="23">
    <w:nsid w:val="5451CF49"/>
    <w:multiLevelType w:val="hybridMultilevel"/>
    <w:lvl w:ilvl="0">
      <w:lvlJc w:val="left"/>
      <w:lvlText w:val="•"/>
      <w:numFmt w:val="bullet"/>
      <w:start w:val="1"/>
    </w:lvl>
  </w:abstractNum>
  <w:abstractNum w:abstractNumId="24">
    <w:nsid w:val="6181EF69"/>
    <w:multiLevelType w:val="hybridMultilevel"/>
    <w:lvl w:ilvl="0">
      <w:lvlJc w:val="left"/>
      <w:lvlText w:val="•"/>
      <w:numFmt w:val="bullet"/>
      <w:start w:val="1"/>
    </w:lvl>
  </w:abstractNum>
  <w:abstractNum w:abstractNumId="25">
    <w:nsid w:val="3E6400E6"/>
    <w:multiLevelType w:val="hybridMultilevel"/>
    <w:lvl w:ilvl="0">
      <w:lvlJc w:val="left"/>
      <w:lvlText w:val="•"/>
      <w:numFmt w:val="bullet"/>
      <w:start w:val="1"/>
    </w:lvl>
  </w:abstractNum>
  <w:abstractNum w:abstractNumId="26">
    <w:nsid w:val="14217E23"/>
    <w:multiLevelType w:val="hybridMultilevel"/>
    <w:lvl w:ilvl="0">
      <w:lvlJc w:val="left"/>
      <w:lvlText w:val="•"/>
      <w:numFmt w:val="bullet"/>
      <w:start w:val="1"/>
    </w:lvl>
  </w:abstractNum>
  <w:abstractNum w:abstractNumId="27">
    <w:nsid w:val="710757D0"/>
    <w:multiLevelType w:val="hybridMultilevel"/>
    <w:lvl w:ilvl="0">
      <w:lvlJc w:val="left"/>
      <w:lvlText w:val="•"/>
      <w:numFmt w:val="bullet"/>
      <w:start w:val="1"/>
    </w:lvl>
  </w:abstractNum>
  <w:abstractNum w:abstractNumId="28">
    <w:nsid w:val="5015CD1A"/>
    <w:multiLevelType w:val="hybridMultilevel"/>
    <w:lvl w:ilvl="0">
      <w:lvlJc w:val="left"/>
      <w:lvlText w:val="•"/>
      <w:numFmt w:val="bullet"/>
      <w:start w:val="1"/>
    </w:lvl>
  </w:abstractNum>
  <w:abstractNum w:abstractNumId="29">
    <w:nsid w:val="424479DA"/>
    <w:multiLevelType w:val="hybridMultilevel"/>
    <w:lvl w:ilvl="0">
      <w:lvlJc w:val="left"/>
      <w:lvlText w:val="•"/>
      <w:numFmt w:val="bullet"/>
      <w:start w:val="1"/>
    </w:lvl>
  </w:abstractNum>
  <w:abstractNum w:abstractNumId="30">
    <w:nsid w:val="1A9A9E69"/>
    <w:multiLevelType w:val="hybridMultilevel"/>
    <w:lvl w:ilvl="0">
      <w:lvlJc w:val="left"/>
      <w:lvlText w:val="•"/>
      <w:numFmt w:val="bullet"/>
      <w:start w:val="1"/>
    </w:lvl>
  </w:abstractNum>
  <w:abstractNum w:abstractNumId="31">
    <w:nsid w:val="475E256A"/>
    <w:multiLevelType w:val="hybridMultilevel"/>
    <w:lvl w:ilvl="0">
      <w:lvlJc w:val="left"/>
      <w:lvlText w:val="•"/>
      <w:numFmt w:val="bullet"/>
      <w:start w:val="1"/>
    </w:lvl>
  </w:abstractNum>
  <w:abstractNum w:abstractNumId="32">
    <w:nsid w:val="368DB37E"/>
    <w:multiLevelType w:val="hybridMultilevel"/>
    <w:lvl w:ilvl="0">
      <w:lvlJc w:val="left"/>
      <w:lvlText w:val="•"/>
      <w:numFmt w:val="bullet"/>
      <w:start w:val="1"/>
    </w:lvl>
  </w:abstractNum>
  <w:abstractNum w:abstractNumId="33">
    <w:nsid w:val="6A3B714C"/>
    <w:multiLevelType w:val="hybridMultilevel"/>
    <w:lvl w:ilvl="0">
      <w:lvlJc w:val="left"/>
      <w:lvlText w:val="•"/>
      <w:numFmt w:val="bullet"/>
      <w:start w:val="1"/>
    </w:lvl>
  </w:abstractNum>
  <w:abstractNum w:abstractNumId="34">
    <w:nsid w:val="327B517E"/>
    <w:multiLevelType w:val="hybridMultilevel"/>
    <w:lvl w:ilvl="0">
      <w:lvlJc w:val="left"/>
      <w:lvlText w:val="•"/>
      <w:numFmt w:val="bullet"/>
      <w:start w:val="1"/>
    </w:lvl>
  </w:abstractNum>
  <w:abstractNum w:abstractNumId="35">
    <w:nsid w:val="1F461B51"/>
    <w:multiLevelType w:val="hybridMultilevel"/>
    <w:lvl w:ilvl="0">
      <w:lvlJc w:val="left"/>
      <w:lvlText w:val="•"/>
      <w:numFmt w:val="bullet"/>
      <w:start w:val="1"/>
    </w:lvl>
  </w:abstractNum>
  <w:abstractNum w:abstractNumId="36">
    <w:nsid w:val="29BACF25"/>
    <w:multiLevelType w:val="hybridMultilevel"/>
    <w:lvl w:ilvl="0">
      <w:lvlJc w:val="left"/>
      <w:lvlText w:val="•"/>
      <w:numFmt w:val="bullet"/>
      <w:start w:val="1"/>
    </w:lvl>
  </w:abstractNum>
  <w:abstractNum w:abstractNumId="37">
    <w:nsid w:val="5D5BABB3"/>
    <w:multiLevelType w:val="hybridMultilevel"/>
    <w:lvl w:ilvl="0">
      <w:lvlJc w:val="left"/>
      <w:lvlText w:val="•"/>
      <w:numFmt w:val="bullet"/>
      <w:start w:val="1"/>
    </w:lvl>
  </w:abstractNum>
  <w:abstractNum w:abstractNumId="38">
    <w:nsid w:val="51BF6B48"/>
    <w:multiLevelType w:val="hybridMultilevel"/>
    <w:lvl w:ilvl="0">
      <w:lvlJc w:val="left"/>
      <w:lvlText w:val="•"/>
      <w:numFmt w:val="bullet"/>
      <w:start w:val="1"/>
    </w:lvl>
  </w:abstractNum>
  <w:abstractNum w:abstractNumId="39">
    <w:nsid w:val="7E0F6384"/>
    <w:multiLevelType w:val="hybridMultilevel"/>
    <w:lvl w:ilvl="0">
      <w:lvlJc w:val="left"/>
      <w:lvlText w:val="•"/>
      <w:numFmt w:val="bullet"/>
      <w:start w:val="1"/>
    </w:lvl>
  </w:abstractNum>
  <w:abstractNum w:abstractNumId="40">
    <w:nsid w:val="2B4B8B53"/>
    <w:multiLevelType w:val="hybridMultilevel"/>
    <w:lvl w:ilvl="0">
      <w:lvlJc w:val="left"/>
      <w:lvlText w:val="•"/>
      <w:numFmt w:val="bullet"/>
      <w:start w:val="1"/>
    </w:lvl>
  </w:abstractNum>
  <w:abstractNum w:abstractNumId="41">
    <w:nsid w:val="72E3413A"/>
    <w:multiLevelType w:val="hybridMultilevel"/>
    <w:lvl w:ilvl="0">
      <w:lvlJc w:val="left"/>
      <w:lvlText w:val="•"/>
      <w:numFmt w:val="bullet"/>
      <w:start w:val="1"/>
    </w:lvl>
  </w:abstractNum>
  <w:abstractNum w:abstractNumId="42">
    <w:nsid w:val="116AE494"/>
    <w:multiLevelType w:val="hybridMultilevel"/>
    <w:lvl w:ilvl="0">
      <w:lvlJc w:val="left"/>
      <w:lvlText w:val="•"/>
      <w:numFmt w:val="bullet"/>
      <w:start w:val="1"/>
    </w:lvl>
  </w:abstractNum>
  <w:abstractNum w:abstractNumId="43">
    <w:nsid w:val="3494B2FB"/>
    <w:multiLevelType w:val="hybridMultilevel"/>
    <w:lvl w:ilvl="0">
      <w:lvlJc w:val="left"/>
      <w:lvlText w:val="•"/>
      <w:numFmt w:val="bullet"/>
      <w:start w:val="1"/>
    </w:lvl>
  </w:abstractNum>
  <w:abstractNum w:abstractNumId="44">
    <w:nsid w:val="B13A31"/>
    <w:multiLevelType w:val="hybridMultilevel"/>
    <w:lvl w:ilvl="0">
      <w:lvlJc w:val="left"/>
      <w:lvlText w:val="•"/>
      <w:numFmt w:val="bullet"/>
      <w:start w:val="1"/>
    </w:lvl>
  </w:abstractNum>
  <w:abstractNum w:abstractNumId="45">
    <w:nsid w:val="64429599"/>
    <w:multiLevelType w:val="hybridMultilevel"/>
    <w:lvl w:ilvl="0">
      <w:lvlJc w:val="left"/>
      <w:lvlText w:val="(%1)"/>
      <w:numFmt w:val="decimal"/>
      <w:start w:val="1"/>
    </w:lvl>
  </w:abstractNum>
  <w:abstractNum w:abstractNumId="46">
    <w:nsid w:val="631F1690"/>
    <w:multiLevelType w:val="hybridMultilevel"/>
    <w:lvl w:ilvl="0">
      <w:lvlJc w:val="left"/>
      <w:lvlText w:val="•"/>
      <w:numFmt w:val="bullet"/>
      <w:start w:val="1"/>
    </w:lvl>
  </w:abstractNum>
  <w:abstractNum w:abstractNumId="47">
    <w:nsid w:val="25973E32"/>
    <w:multiLevelType w:val="hybridMultilevel"/>
    <w:lvl w:ilvl="0">
      <w:lvlJc w:val="left"/>
      <w:lvlText w:val="(%1)"/>
      <w:numFmt w:val="lowerLetter"/>
      <w:start w:val="4"/>
    </w:lvl>
  </w:abstractNum>
  <w:abstractNum w:abstractNumId="48">
    <w:nsid w:val="EAD6F57"/>
    <w:multiLevelType w:val="hybridMultilevel"/>
    <w:lvl w:ilvl="0">
      <w:lvlJc w:val="left"/>
      <w:lvlText w:val="•"/>
      <w:numFmt w:val="bullet"/>
      <w:start w:val="1"/>
    </w:lvl>
  </w:abstractNum>
  <w:abstractNum w:abstractNumId="49">
    <w:nsid w:val="6EC9D844"/>
    <w:multiLevelType w:val="hybridMultilevel"/>
    <w:lvl w:ilvl="0">
      <w:lvlJc w:val="left"/>
      <w:lvlText w:val="•"/>
      <w:numFmt w:val="bullet"/>
      <w:start w:val="1"/>
    </w:lvl>
  </w:abstractNum>
  <w:abstractNum w:abstractNumId="50">
    <w:nsid w:val="5C49EAEE"/>
    <w:multiLevelType w:val="hybridMultilevel"/>
    <w:lvl w:ilvl="0">
      <w:lvlJc w:val="left"/>
      <w:lvlText w:val="(%1)"/>
      <w:numFmt w:val="decimal"/>
      <w:start w:val="1"/>
    </w:lvl>
  </w:abstractNum>
  <w:abstractNum w:abstractNumId="51">
    <w:nsid w:val="64AF49B"/>
    <w:multiLevelType w:val="hybridMultilevel"/>
    <w:lvl w:ilvl="0">
      <w:lvlJc w:val="left"/>
      <w:lvlText w:val="•"/>
      <w:numFmt w:val="bullet"/>
      <w:start w:val="1"/>
    </w:lvl>
  </w:abstractNum>
  <w:abstractNum w:abstractNumId="52">
    <w:nsid w:val="397C46BC"/>
    <w:multiLevelType w:val="hybridMultilevel"/>
    <w:lvl w:ilvl="0">
      <w:lvlJc w:val="left"/>
      <w:lvlText w:val="•"/>
      <w:numFmt w:val="bullet"/>
      <w:start w:val="1"/>
    </w:lvl>
  </w:abstractNum>
  <w:abstractNum w:abstractNumId="53">
    <w:nsid w:val="7E448DE9"/>
    <w:multiLevelType w:val="hybridMultilevel"/>
    <w:lvl w:ilvl="0">
      <w:lvlJc w:val="left"/>
      <w:lvlText w:val="(%1)"/>
      <w:numFmt w:val="decimal"/>
      <w:start w:val="1"/>
    </w:lvl>
  </w:abstractNum>
  <w:abstractNum w:abstractNumId="54">
    <w:nsid w:val="5A9CC3E5"/>
    <w:multiLevelType w:val="hybridMultilevel"/>
    <w:lvl w:ilvl="0">
      <w:lvlJc w:val="left"/>
      <w:lvlText w:val="•"/>
      <w:numFmt w:val="bullet"/>
      <w:start w:val="1"/>
    </w:lvl>
  </w:abstractNum>
  <w:abstractNum w:abstractNumId="55">
    <w:nsid w:val="1AFE3625"/>
    <w:multiLevelType w:val="hybridMultilevel"/>
    <w:lvl w:ilvl="0">
      <w:lvlJc w:val="left"/>
      <w:lvlText w:val="•"/>
      <w:numFmt w:val="bullet"/>
      <w:start w:val="1"/>
    </w:lvl>
  </w:abstractNum>
  <w:abstractNum w:abstractNumId="56">
    <w:nsid w:val="3CA88ECF"/>
    <w:multiLevelType w:val="hybridMultilevel"/>
    <w:lvl w:ilvl="0">
      <w:lvlJc w:val="left"/>
      <w:lvlText w:val="•"/>
      <w:numFmt w:val="bullet"/>
      <w:start w:val="1"/>
    </w:lvl>
  </w:abstractNum>
  <w:abstractNum w:abstractNumId="57">
    <w:nsid w:val="6EBE4208"/>
    <w:multiLevelType w:val="hybridMultilevel"/>
    <w:lvl w:ilvl="0">
      <w:lvlJc w:val="left"/>
      <w:lvlText w:val="•"/>
      <w:numFmt w:val="bullet"/>
      <w:start w:val="1"/>
    </w:lvl>
  </w:abstractNum>
  <w:abstractNum w:abstractNumId="58">
    <w:nsid w:val="C058DF5"/>
    <w:multiLevelType w:val="hybridMultilevel"/>
    <w:lvl w:ilvl="0">
      <w:lvlJc w:val="left"/>
      <w:lvlText w:val="•"/>
      <w:numFmt w:val="bullet"/>
      <w:start w:val="1"/>
    </w:lvl>
  </w:abstractNum>
  <w:abstractNum w:abstractNumId="59">
    <w:nsid w:val="CBE5BE9"/>
    <w:multiLevelType w:val="hybridMultilevel"/>
    <w:lvl w:ilvl="0">
      <w:lvlJc w:val="left"/>
      <w:lvlText w:val="•"/>
      <w:numFmt w:val="bullet"/>
      <w:start w:val="1"/>
    </w:lvl>
  </w:abstractNum>
  <w:abstractNum w:abstractNumId="60">
    <w:nsid w:val="3102BBE2"/>
    <w:multiLevelType w:val="hybridMultilevel"/>
    <w:lvl w:ilvl="0">
      <w:lvlJc w:val="left"/>
      <w:lvlText w:val="•"/>
      <w:numFmt w:val="bullet"/>
      <w:start w:val="1"/>
    </w:lvl>
  </w:abstractNum>
  <w:abstractNum w:abstractNumId="61">
    <w:nsid w:val="26A02C5E"/>
    <w:multiLevelType w:val="hybridMultilevel"/>
    <w:lvl w:ilvl="0">
      <w:lvlJc w:val="left"/>
      <w:lvlText w:val="•"/>
      <w:numFmt w:val="bullet"/>
      <w:start w:val="1"/>
    </w:lvl>
  </w:abstractNum>
  <w:abstractNum w:abstractNumId="62">
    <w:nsid w:val="541C8153"/>
    <w:multiLevelType w:val="hybridMultilevel"/>
    <w:lvl w:ilvl="0">
      <w:lvlJc w:val="left"/>
      <w:lvlText w:val="•"/>
      <w:numFmt w:val="bullet"/>
      <w:start w:val="1"/>
    </w:lvl>
  </w:abstractNum>
  <w:abstractNum w:abstractNumId="63">
    <w:nsid w:val="67906F60"/>
    <w:multiLevelType w:val="hybridMultilevel"/>
    <w:lvl w:ilvl="0">
      <w:lvlJc w:val="left"/>
      <w:lvlText w:val="•"/>
      <w:numFmt w:val="bullet"/>
      <w:start w:val="1"/>
    </w:lvl>
  </w:abstractNum>
  <w:abstractNum w:abstractNumId="64">
    <w:nsid w:val="10DB9DAA"/>
    <w:multiLevelType w:val="hybridMultilevel"/>
    <w:lvl w:ilvl="0">
      <w:lvlJc w:val="left"/>
      <w:lvlText w:val="•"/>
      <w:numFmt w:val="bullet"/>
      <w:start w:val="1"/>
    </w:lvl>
  </w:abstractNum>
  <w:abstractNum w:abstractNumId="65">
    <w:nsid w:val="697D2D2"/>
    <w:multiLevelType w:val="hybridMultilevel"/>
    <w:lvl w:ilvl="0">
      <w:lvlJc w:val="left"/>
      <w:lvlText w:val="(%1)"/>
      <w:numFmt w:val="decimal"/>
      <w:start w:val="1"/>
    </w:lvl>
  </w:abstractNum>
  <w:abstractNum w:abstractNumId="66">
    <w:nsid w:val="6D68AB2"/>
    <w:multiLevelType w:val="hybridMultilevel"/>
    <w:lvl w:ilvl="0">
      <w:lvlJc w:val="left"/>
      <w:lvlText w:val="•"/>
      <w:numFmt w:val="bullet"/>
      <w:start w:val="1"/>
    </w:lvl>
  </w:abstractNum>
  <w:abstractNum w:abstractNumId="67">
    <w:nsid w:val="3A966CD0"/>
    <w:multiLevelType w:val="hybridMultilevel"/>
    <w:lvl w:ilvl="0">
      <w:lvlJc w:val="left"/>
      <w:lvlText w:val="(%1)"/>
      <w:numFmt w:val="decimal"/>
      <w:start w:val="1"/>
    </w:lvl>
  </w:abstractNum>
  <w:abstractNum w:abstractNumId="68">
    <w:nsid w:val="63F37E85"/>
    <w:multiLevelType w:val="hybridMultilevel"/>
    <w:lvl w:ilvl="0">
      <w:lvlJc w:val="left"/>
      <w:lvlText w:val="(%1)"/>
      <w:numFmt w:val="decimal"/>
      <w:start w:val="1"/>
    </w:lvl>
  </w:abstractNum>
  <w:abstractNum w:abstractNumId="69">
    <w:nsid w:val="5895F5FA"/>
    <w:multiLevelType w:val="hybridMultilevel"/>
    <w:lvl w:ilvl="0">
      <w:lvlJc w:val="left"/>
      <w:lvlText w:val="(%1)"/>
      <w:numFmt w:val="upperLetter"/>
      <w:start w:val="2"/>
    </w:lvl>
  </w:abstractNum>
  <w:abstractNum w:abstractNumId="70">
    <w:nsid w:val="38A5D054"/>
    <w:multiLevelType w:val="hybridMultilevel"/>
    <w:lvl w:ilvl="0">
      <w:lvlJc w:val="left"/>
      <w:lvlText w:val="(%1)"/>
      <w:numFmt w:val="lowerLetter"/>
      <w:start w:val="3"/>
    </w:lvl>
  </w:abstractNum>
  <w:abstractNum w:abstractNumId="71">
    <w:nsid w:val="F3F09D8"/>
    <w:multiLevelType w:val="hybridMultilevel"/>
    <w:lvl w:ilvl="0">
      <w:lvlJc w:val="left"/>
      <w:lvlText w:val="(%1)"/>
      <w:numFmt w:val="decimal"/>
      <w:start w:val="1"/>
    </w:lvl>
  </w:abstractNum>
  <w:abstractNum w:abstractNumId="72">
    <w:nsid w:val="4B793735"/>
    <w:multiLevelType w:val="hybridMultilevel"/>
    <w:lvl w:ilvl="0">
      <w:lvlJc w:val="left"/>
      <w:lvlText w:val="(%1)"/>
      <w:numFmt w:val="decimal"/>
      <w:start w:val="7"/>
    </w:lvl>
  </w:abstractNum>
  <w:abstractNum w:abstractNumId="73">
    <w:nsid w:val="4A10B4E8"/>
    <w:multiLevelType w:val="hybridMultilevel"/>
    <w:lvl w:ilvl="0">
      <w:lvlJc w:val="left"/>
      <w:lvlText w:val="(%1)"/>
      <w:numFmt w:val="lowerLetter"/>
      <w:start w:val="1"/>
    </w:lvl>
  </w:abstractNum>
  <w:abstractNum w:abstractNumId="74">
    <w:nsid w:val="43D3BCD4"/>
    <w:multiLevelType w:val="hybridMultilevel"/>
    <w:lvl w:ilvl="0">
      <w:lvlJc w:val="left"/>
      <w:lvlText w:val="•"/>
      <w:numFmt w:val="bullet"/>
      <w:start w:val="1"/>
    </w:lvl>
  </w:abstractNum>
  <w:abstractNum w:abstractNumId="75">
    <w:nsid w:val="4C2A7166"/>
    <w:multiLevelType w:val="hybridMultilevel"/>
    <w:lvl w:ilvl="0">
      <w:lvlJc w:val="left"/>
      <w:lvlText w:val="•"/>
      <w:numFmt w:val="bullet"/>
      <w:start w:val="1"/>
    </w:lvl>
  </w:abstractNum>
  <w:abstractNum w:abstractNumId="76">
    <w:nsid w:val="2E534A82"/>
    <w:multiLevelType w:val="hybridMultilevel"/>
    <w:lvl w:ilvl="0">
      <w:lvlJc w:val="left"/>
      <w:lvlText w:val="(%1)"/>
      <w:numFmt w:val="decimal"/>
      <w:start w:val="1"/>
    </w:lvl>
  </w:abstractNum>
  <w:abstractNum w:abstractNumId="77">
    <w:nsid w:val="26F2D364"/>
    <w:multiLevelType w:val="hybridMultilevel"/>
    <w:lvl w:ilvl="0">
      <w:lvlJc w:val="left"/>
      <w:lvlText w:val="•"/>
      <w:numFmt w:val="bullet"/>
      <w:start w:val="1"/>
    </w:lvl>
  </w:abstractNum>
  <w:abstractNum w:abstractNumId="78">
    <w:nsid w:val="71C1AF98"/>
    <w:multiLevelType w:val="hybridMultilevel"/>
    <w:lvl w:ilvl="0">
      <w:lvlJc w:val="left"/>
      <w:lvlText w:val="(%1)"/>
      <w:numFmt w:val="decimal"/>
      <w:start w:val="1"/>
    </w:lvl>
  </w:abstractNum>
  <w:abstractNum w:abstractNumId="79">
    <w:nsid w:val="3D00B9D9"/>
    <w:multiLevelType w:val="hybridMultilevel"/>
    <w:lvl w:ilvl="0">
      <w:lvlJc w:val="left"/>
      <w:lvlText w:val="(%1)"/>
      <w:numFmt w:val="decimal"/>
      <w:start w:val="3"/>
    </w:lvl>
  </w:abstractNum>
  <w:abstractNum w:abstractNumId="80">
    <w:nsid w:val="15BCABA8"/>
    <w:multiLevelType w:val="hybridMultilevel"/>
    <w:lvl w:ilvl="0">
      <w:lvlJc w:val="left"/>
      <w:lvlText w:val="(%1)"/>
      <w:numFmt w:val="decimal"/>
      <w:start w:val="1"/>
    </w:lvl>
  </w:abstractNum>
  <w:abstractNum w:abstractNumId="81">
    <w:nsid w:val="4E0B9A87"/>
    <w:multiLevelType w:val="hybridMultilevel"/>
    <w:lvl w:ilvl="0">
      <w:lvlJc w:val="left"/>
      <w:lvlText w:val="(%1)"/>
      <w:numFmt w:val="lowerRoman"/>
      <w:start w:val="2"/>
    </w:lvl>
  </w:abstractNum>
  <w:abstractNum w:abstractNumId="82">
    <w:nsid w:val="434BAE75"/>
    <w:multiLevelType w:val="hybridMultilevel"/>
    <w:lvl w:ilvl="0">
      <w:lvlJc w:val="left"/>
      <w:lvlText w:val="(%1)"/>
      <w:numFmt w:val="decimal"/>
      <w:start w:val="1"/>
    </w:lvl>
  </w:abstractNum>
  <w:abstractNum w:abstractNumId="83">
    <w:nsid w:val="4F38F265"/>
    <w:multiLevelType w:val="hybridMultilevel"/>
    <w:lvl w:ilvl="0">
      <w:lvlJc w:val="left"/>
      <w:lvlText w:val="(%1)"/>
      <w:numFmt w:val="decimal"/>
      <w:start w:val="1"/>
    </w:lvl>
  </w:abstractNum>
  <w:abstractNum w:abstractNumId="84">
    <w:nsid w:val="4C502870"/>
    <w:multiLevelType w:val="hybridMultilevel"/>
    <w:lvl w:ilvl="0">
      <w:lvlJc w:val="left"/>
      <w:lvlText w:val="(%1)"/>
      <w:numFmt w:val="decimal"/>
      <w:start w:val="1"/>
    </w:lvl>
  </w:abstractNum>
  <w:abstractNum w:abstractNumId="85">
    <w:nsid w:val="1DE8725A"/>
    <w:multiLevelType w:val="hybridMultilevel"/>
    <w:lvl w:ilvl="0">
      <w:lvlJc w:val="left"/>
      <w:lvlText w:val="(%1)"/>
      <w:numFmt w:val="decimal"/>
      <w:start w:val="1"/>
    </w:lvl>
  </w:abstractNum>
  <w:abstractNum w:abstractNumId="86">
    <w:nsid w:val="6A37288A"/>
    <w:multiLevelType w:val="hybridMultilevel"/>
    <w:lvl w:ilvl="0">
      <w:lvlJc w:val="left"/>
      <w:lvlText w:val="(%1)"/>
      <w:numFmt w:val="decimal"/>
      <w:start w:val="1"/>
    </w:lvl>
  </w:abstractNum>
  <w:abstractNum w:abstractNumId="87">
    <w:nsid w:val="8F8B73F"/>
    <w:multiLevelType w:val="hybridMultilevel"/>
    <w:lvl w:ilvl="0">
      <w:lvlJc w:val="left"/>
      <w:lvlText w:val="(%1)"/>
      <w:numFmt w:val="decimal"/>
      <w:start w:val="1"/>
    </w:lvl>
  </w:abstractNum>
  <w:abstractNum w:abstractNumId="88">
    <w:nsid w:val="CA6B462"/>
    <w:multiLevelType w:val="hybridMultilevel"/>
    <w:lvl w:ilvl="0">
      <w:lvlJc w:val="left"/>
      <w:lvlText w:val="•"/>
      <w:numFmt w:val="bullet"/>
      <w:start w:val="1"/>
    </w:lvl>
  </w:abstractNum>
  <w:abstractNum w:abstractNumId="89">
    <w:nsid w:val="763CB680"/>
    <w:multiLevelType w:val="hybridMultilevel"/>
    <w:lvl w:ilvl="0">
      <w:lvlJc w:val="left"/>
      <w:lvlText w:val="*"/>
      <w:numFmt w:val="bullet"/>
      <w:start w:val="1"/>
    </w:lvl>
  </w:abstractNum>
  <w:abstractNum w:abstractNumId="90">
    <w:nsid w:val="15B71329"/>
    <w:multiLevelType w:val="hybridMultilevel"/>
    <w:lvl w:ilvl="0">
      <w:lvlJc w:val="left"/>
      <w:lvlText w:val="(%1)"/>
      <w:numFmt w:val="decimal"/>
      <w:start w:val="1"/>
    </w:lvl>
  </w:abstractNum>
  <w:abstractNum w:abstractNumId="91">
    <w:nsid w:val="3DA97044"/>
    <w:multiLevelType w:val="hybridMultilevel"/>
    <w:lvl w:ilvl="0">
      <w:lvlJc w:val="left"/>
      <w:lvlText w:val="(%1)"/>
      <w:numFmt w:val="decimal"/>
      <w:start w:val="5"/>
    </w:lvl>
  </w:abstractNum>
  <w:abstractNum w:abstractNumId="92">
    <w:nsid w:val="1CDCE2DE"/>
    <w:multiLevelType w:val="hybridMultilevel"/>
    <w:lvl w:ilvl="0">
      <w:lvlJc w:val="left"/>
      <w:lvlText w:val="(%1)"/>
      <w:numFmt w:val="decimal"/>
      <w:start w:val="14"/>
    </w:lvl>
  </w:abstractNum>
  <w:abstractNum w:abstractNumId="93">
    <w:nsid w:val="69D3947C"/>
    <w:multiLevelType w:val="hybridMultilevel"/>
    <w:lvl w:ilvl="0">
      <w:lvlJc w:val="left"/>
      <w:lvlText w:val="(%1)"/>
      <w:numFmt w:val="decimal"/>
      <w:start w:val="15"/>
    </w:lvl>
  </w:abstractNum>
  <w:abstractNum w:abstractNumId="94">
    <w:nsid w:val="2539DFA5"/>
    <w:multiLevelType w:val="hybridMultilevel"/>
    <w:lvl w:ilvl="0">
      <w:lvlJc w:val="left"/>
      <w:lvlText w:val="•"/>
      <w:numFmt w:val="bullet"/>
      <w:start w:val="1"/>
    </w:lvl>
  </w:abstractNum>
  <w:abstractNum w:abstractNumId="95">
    <w:nsid w:val="2DB88089"/>
    <w:multiLevelType w:val="hybridMultilevel"/>
    <w:lvl w:ilvl="0">
      <w:lvlJc w:val="left"/>
      <w:lvlText w:val="•"/>
      <w:numFmt w:val="bullet"/>
      <w:start w:val="1"/>
    </w:lvl>
  </w:abstractNum>
  <w:abstractNum w:abstractNumId="96">
    <w:nsid w:val="706B674E"/>
    <w:multiLevelType w:val="hybridMultilevel"/>
    <w:lvl w:ilvl="0">
      <w:lvlJc w:val="left"/>
      <w:lvlText w:val="•"/>
      <w:numFmt w:val="bullet"/>
      <w:start w:val="1"/>
    </w:lvl>
  </w:abstractNum>
  <w:abstractNum w:abstractNumId="97">
    <w:nsid w:val="2C106A57"/>
    <w:multiLevelType w:val="hybridMultilevel"/>
    <w:lvl w:ilvl="0">
      <w:lvlJc w:val="left"/>
      <w:lvlText w:val="•"/>
      <w:numFmt w:val="bullet"/>
      <w:start w:val="1"/>
    </w:lvl>
  </w:abstractNum>
  <w:abstractNum w:abstractNumId="98">
    <w:nsid w:val="684EED59"/>
    <w:multiLevelType w:val="hybridMultilevel"/>
    <w:lvl w:ilvl="0">
      <w:lvlJc w:val="left"/>
      <w:lvlText w:val="•"/>
      <w:numFmt w:val="bullet"/>
      <w:start w:val="1"/>
    </w:lvl>
  </w:abstractNum>
  <w:abstractNum w:abstractNumId="99">
    <w:nsid w:val="545EE5D3"/>
    <w:multiLevelType w:val="hybridMultilevel"/>
    <w:lvl w:ilvl="0">
      <w:lvlJc w:val="left"/>
      <w:lvlText w:val="•"/>
      <w:numFmt w:val="bullet"/>
      <w:start w:val="1"/>
    </w:lvl>
  </w:abstractNum>
  <w:abstractNum w:abstractNumId="100">
    <w:nsid w:val="4A66051"/>
    <w:multiLevelType w:val="hybridMultilevel"/>
    <w:lvl w:ilvl="0">
      <w:lvlJc w:val="left"/>
      <w:lvlText w:val="•"/>
      <w:numFmt w:val="bullet"/>
      <w:start w:val="1"/>
    </w:lvl>
  </w:abstractNum>
  <w:abstractNum w:abstractNumId="101">
    <w:nsid w:val="20F4BDAD"/>
    <w:multiLevelType w:val="hybridMultilevel"/>
    <w:lvl w:ilvl="0">
      <w:lvlJc w:val="left"/>
      <w:lvlText w:val="(%1)"/>
      <w:numFmt w:val="lowerLetter"/>
      <w:start w:val="3"/>
    </w:lvl>
  </w:abstractNum>
  <w:abstractNum w:abstractNumId="102">
    <w:nsid w:val="639DEFAC"/>
    <w:multiLevelType w:val="hybridMultilevel"/>
    <w:lvl w:ilvl="0">
      <w:lvlJc w:val="left"/>
      <w:lvlText w:val="(%1)"/>
      <w:numFmt w:val="lowerLetter"/>
      <w:start w:val="3"/>
    </w:lvl>
  </w:abstractNum>
  <w:abstractNum w:abstractNumId="103">
    <w:nsid w:val="501F9786"/>
    <w:multiLevelType w:val="hybridMultilevel"/>
    <w:lvl w:ilvl="0">
      <w:lvlJc w:val="left"/>
      <w:lvlText w:val="(%1)"/>
      <w:numFmt w:val="lowerLetter"/>
      <w:start w:val="2"/>
    </w:lvl>
  </w:abstractNum>
  <w:abstractNum w:abstractNumId="104">
    <w:nsid w:val="6B057295"/>
    <w:multiLevelType w:val="hybridMultilevel"/>
    <w:lvl w:ilvl="0">
      <w:lvlJc w:val="left"/>
      <w:lvlText w:val="(%1)"/>
      <w:numFmt w:val="lowerLetter"/>
      <w:start w:val="1"/>
    </w:lvl>
  </w:abstractNum>
  <w:abstractNum w:abstractNumId="105">
    <w:nsid w:val="2771AC80"/>
    <w:multiLevelType w:val="hybridMultilevel"/>
    <w:lvl w:ilvl="0">
      <w:lvlJc w:val="left"/>
      <w:lvlText w:val="(%1)"/>
      <w:numFmt w:val="lowerLetter"/>
      <w:start w:val="2"/>
    </w:lvl>
  </w:abstractNum>
  <w:abstractNum w:abstractNumId="106">
    <w:nsid w:val="1C4A08EC"/>
    <w:multiLevelType w:val="hybridMultilevel"/>
    <w:lvl w:ilvl="0">
      <w:lvlJc w:val="left"/>
      <w:lvlText w:val="(%1)"/>
      <w:numFmt w:val="lowerLetter"/>
      <w:start w:val="1"/>
    </w:lvl>
  </w:abstractNum>
  <w:abstractNum w:abstractNumId="107">
    <w:nsid w:val="1958BD17"/>
    <w:multiLevelType w:val="hybridMultilevel"/>
    <w:lvl w:ilvl="0">
      <w:lvlJc w:val="left"/>
      <w:lvlText w:val="(%1)"/>
      <w:numFmt w:val="lowerLetter"/>
      <w:start w:val="1"/>
    </w:lvl>
  </w:abstractNum>
  <w:abstractNum w:abstractNumId="108">
    <w:nsid w:val="4E647FE4"/>
    <w:multiLevelType w:val="hybridMultilevel"/>
    <w:lvl w:ilvl="0">
      <w:lvlJc w:val="left"/>
      <w:lvlText w:val="(%1)"/>
      <w:numFmt w:val="lowerRoman"/>
      <w:start w:val="4"/>
    </w:lvl>
  </w:abstractNum>
  <w:abstractNum w:abstractNumId="109">
    <w:nsid w:val="E0BB885"/>
    <w:multiLevelType w:val="hybridMultilevel"/>
    <w:lvl w:ilvl="0">
      <w:lvlJc w:val="left"/>
      <w:lvlText w:val="%1."/>
      <w:numFmt w:val="decimal"/>
      <w:start w:val="14"/>
    </w:lvl>
  </w:abstractNum>
  <w:abstractNum w:abstractNumId="110">
    <w:nsid w:val="565976F1"/>
    <w:multiLevelType w:val="hybridMultilevel"/>
    <w:lvl w:ilvl="0">
      <w:lvlJc w:val="left"/>
      <w:lvlText w:val="•"/>
      <w:numFmt w:val="bullet"/>
      <w:start w:val="1"/>
    </w:lvl>
  </w:abstractNum>
  <w:abstractNum w:abstractNumId="111">
    <w:nsid w:val="64212B8C"/>
    <w:multiLevelType w:val="hybridMultilevel"/>
    <w:lvl w:ilvl="0">
      <w:lvlJc w:val="left"/>
      <w:lvlText w:val="(%1)"/>
      <w:numFmt w:val="decimal"/>
      <w:start w:val="1"/>
    </w:lvl>
  </w:abstractNum>
  <w:abstractNum w:abstractNumId="112">
    <w:nsid w:val="5C17530C"/>
    <w:multiLevelType w:val="hybridMultilevel"/>
    <w:lvl w:ilvl="0">
      <w:lvlJc w:val="left"/>
      <w:lvlText w:val="(%1)"/>
      <w:numFmt w:val="decimal"/>
      <w:start w:val="10"/>
    </w:lvl>
  </w:abstractNum>
  <w:abstractNum w:abstractNumId="113">
    <w:nsid w:val="19A52566"/>
    <w:multiLevelType w:val="hybridMultilevel"/>
    <w:lvl w:ilvl="0">
      <w:lvlJc w:val="left"/>
      <w:lvlText w:val="(%1)"/>
      <w:numFmt w:val="decimal"/>
      <w:start w:val="15"/>
    </w:lvl>
  </w:abstractNum>
  <w:abstractNum w:abstractNumId="114">
    <w:nsid w:val="335A1DF1"/>
    <w:multiLevelType w:val="hybridMultilevel"/>
    <w:lvl w:ilvl="0">
      <w:lvlJc w:val="left"/>
      <w:lvlText w:val="(%1)"/>
      <w:numFmt w:val="decimal"/>
      <w:start w:val="20"/>
    </w:lvl>
  </w:abstractNum>
  <w:abstractNum w:abstractNumId="115">
    <w:nsid w:val="28677B7C"/>
    <w:multiLevelType w:val="hybridMultilevel"/>
    <w:lvl w:ilvl="0">
      <w:lvlJc w:val="left"/>
      <w:lvlText w:val="(%1)"/>
      <w:numFmt w:val="decimal"/>
      <w:start w:val="22"/>
    </w:lvl>
  </w:abstractNum>
  <w:abstractNum w:abstractNumId="116">
    <w:nsid w:val="378D97C0"/>
    <w:multiLevelType w:val="hybridMultilevel"/>
    <w:lvl w:ilvl="0">
      <w:lvlJc w:val="left"/>
      <w:lvlText w:val="(%1)"/>
      <w:numFmt w:val="lowerLetter"/>
      <w:start w:val="1"/>
    </w:lvl>
  </w:abstractNum>
  <w:abstractNum w:abstractNumId="117">
    <w:nsid w:val="1D91467C"/>
    <w:multiLevelType w:val="hybridMultilevel"/>
    <w:lvl w:ilvl="0">
      <w:lvlJc w:val="left"/>
      <w:lvlText w:val="(%1)"/>
      <w:numFmt w:val="lowerLetter"/>
      <w:start w:val="2"/>
    </w:lvl>
  </w:abstractNum>
  <w:abstractNum w:abstractNumId="118">
    <w:nsid w:val="316032BB"/>
    <w:multiLevelType w:val="hybridMultilevel"/>
    <w:lvl w:ilvl="0">
      <w:lvlJc w:val="left"/>
      <w:lvlText w:val="(%1)"/>
      <w:numFmt w:val="decimal"/>
      <w:start w:val="1"/>
    </w:lvl>
  </w:abstractNum>
  <w:abstractNum w:abstractNumId="119">
    <w:nsid w:val="44344C22"/>
    <w:multiLevelType w:val="hybridMultilevel"/>
    <w:lvl w:ilvl="0">
      <w:lvlJc w:val="left"/>
      <w:lvlText w:val="*"/>
      <w:numFmt w:val="bullet"/>
      <w:start w:val="1"/>
    </w:lvl>
  </w:abstractNum>
  <w:abstractNum w:abstractNumId="120">
    <w:nsid w:val="13CDFCFC"/>
    <w:multiLevelType w:val="hybridMultilevel"/>
    <w:lvl w:ilvl="0">
      <w:lvlJc w:val="left"/>
      <w:lvlText w:val="+"/>
      <w:numFmt w:val="bullet"/>
      <w:start w:val="1"/>
    </w:lvl>
  </w:abstractNum>
  <w:abstractNum w:abstractNumId="121">
    <w:nsid w:val="471745E4"/>
    <w:multiLevelType w:val="hybridMultilevel"/>
    <w:lvl w:ilvl="0">
      <w:lvlJc w:val="left"/>
      <w:lvlText w:val="†"/>
      <w:numFmt w:val="bullet"/>
      <w:start w:val="1"/>
    </w:lvl>
  </w:abstractNum>
  <w:abstractNum w:abstractNumId="122">
    <w:nsid w:val="1DDBC66"/>
    <w:multiLevelType w:val="hybridMultilevel"/>
    <w:lvl w:ilvl="0">
      <w:lvlJc w:val="left"/>
      <w:lvlText w:val="%1."/>
      <w:numFmt w:val="decimal"/>
      <w:start w:val="1"/>
    </w:lvl>
    <w:lvl w:ilvl="1">
      <w:lvlJc w:val="left"/>
      <w:lvlText w:val="(%2)"/>
      <w:numFmt w:val="lowerLetter"/>
      <w:start w:val="1"/>
    </w:lvl>
  </w:abstractNum>
  <w:abstractNum w:abstractNumId="123">
    <w:nsid w:val="30AADFDA"/>
    <w:multiLevelType w:val="hybridMultilevel"/>
    <w:lvl w:ilvl="0">
      <w:lvlJc w:val="left"/>
      <w:lvlText w:val="(%1)"/>
      <w:numFmt w:val="lowerLetter"/>
      <w:start w:val="3"/>
    </w:lvl>
  </w:abstractNum>
  <w:abstractNum w:abstractNumId="124">
    <w:nsid w:val="30EADA6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5">
    <w:nsid w:val="27179C0B"/>
    <w:multiLevelType w:val="hybridMultilevel"/>
    <w:lvl w:ilvl="0">
      <w:lvlJc w:val="left"/>
      <w:lvlText w:val="(%1)"/>
      <w:numFmt w:val="lowerRoman"/>
      <w:start w:val="3"/>
    </w:lvl>
  </w:abstractNum>
  <w:abstractNum w:abstractNumId="126">
    <w:nsid w:val="5E636063"/>
    <w:multiLevelType w:val="hybridMultilevel"/>
    <w:lvl w:ilvl="0">
      <w:lvlJc w:val="left"/>
      <w:lvlText w:val="(%1)"/>
      <w:numFmt w:val="lowerRoman"/>
      <w:start w:val="6"/>
    </w:lvl>
  </w:abstractNum>
  <w:abstractNum w:abstractNumId="127">
    <w:nsid w:val="215641AF"/>
    <w:multiLevelType w:val="hybridMultilevel"/>
    <w:lvl w:ilvl="0">
      <w:lvlJc w:val="left"/>
      <w:lvlText w:val="%1"/>
      <w:numFmt w:val="decimal"/>
      <w:start w:val="1"/>
    </w:lvl>
    <w:lvl w:ilvl="1">
      <w:lvlJc w:val="left"/>
      <w:lvlText w:val="(%2)"/>
      <w:numFmt w:val="lowerLetter"/>
      <w:start w:val="2"/>
    </w:lvl>
  </w:abstractNum>
  <w:abstractNum w:abstractNumId="128">
    <w:nsid w:val="53280662"/>
    <w:multiLevelType w:val="hybridMultilevel"/>
    <w:lvl w:ilvl="0">
      <w:lvlJc w:val="left"/>
      <w:lvlText w:val="(%1)"/>
      <w:numFmt w:val="decimal"/>
      <w:start w:val="10"/>
    </w:lvl>
    <w:lvl w:ilvl="1">
      <w:lvlJc w:val="left"/>
      <w:lvlText w:val="(%2)"/>
      <w:numFmt w:val="lowerLetter"/>
      <w:start w:val="3"/>
    </w:lvl>
  </w:abstractNum>
  <w:abstractNum w:abstractNumId="129">
    <w:nsid w:val="46B24DBC"/>
    <w:multiLevelType w:val="hybridMultilevel"/>
    <w:lvl w:ilvl="0">
      <w:lvlJc w:val="left"/>
      <w:lvlText w:val="%1."/>
      <w:numFmt w:val="decimal"/>
      <w:start w:val="3"/>
    </w:lvl>
    <w:lvl w:ilvl="1">
      <w:lvlJc w:val="left"/>
      <w:lvlText w:val="(%2)"/>
      <w:numFmt w:val="lowerLetter"/>
      <w:start w:val="1"/>
    </w:lvl>
  </w:abstractNum>
  <w:abstractNum w:abstractNumId="130">
    <w:nsid w:val="75B52783"/>
    <w:multiLevelType w:val="hybridMultilevel"/>
    <w:lvl w:ilvl="0">
      <w:lvlJc w:val="left"/>
      <w:lvlText w:val="(%1)"/>
      <w:numFmt w:val="lowerLetter"/>
      <w:start w:val="2"/>
    </w:lvl>
    <w:lvl w:ilvl="1">
      <w:lvlJc w:val="left"/>
      <w:lvlText w:val="(%2)"/>
      <w:numFmt w:val="lowerRoman"/>
      <w:start w:val="1"/>
    </w:lvl>
  </w:abstractNum>
  <w:abstractNum w:abstractNumId="131">
    <w:nsid w:val="57CE66B4"/>
    <w:multiLevelType w:val="hybridMultilevel"/>
    <w:lvl w:ilvl="0">
      <w:lvlJc w:val="left"/>
      <w:lvlText w:val="(%1)"/>
      <w:numFmt w:val="lowerLetter"/>
      <w:start w:val="3"/>
    </w:lvl>
  </w:abstractNum>
  <w:abstractNum w:abstractNumId="132">
    <w:nsid w:val="67A70B69"/>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3">
    <w:nsid w:val="5953172F"/>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9"/>
    </w:lvl>
  </w:abstractNum>
  <w:abstractNum w:abstractNumId="134">
    <w:nsid w:val="27EDFE3A"/>
    <w:multiLevelType w:val="hybridMultilevel"/>
    <w:lvl w:ilvl="0">
      <w:lvlJc w:val="left"/>
      <w:lvlText w:val="%1"/>
      <w:numFmt w:val="lowerRoman"/>
      <w:start w:val="1"/>
    </w:lvl>
    <w:lvl w:ilvl="1">
      <w:lvlJc w:val="left"/>
      <w:lvlText w:val="(%2)"/>
      <w:numFmt w:val="upperLetter"/>
      <w:start w:val="2"/>
    </w:lvl>
    <w:lvl w:ilvl="2">
      <w:lvlJc w:val="left"/>
      <w:lvlText w:val="%3"/>
      <w:numFmt w:val="decimal"/>
      <w:start w:val="1"/>
    </w:lvl>
  </w:abstractNum>
  <w:abstractNum w:abstractNumId="135">
    <w:nsid w:val="52AC7DFF"/>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36">
    <w:nsid w:val="C4C3AF"/>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abstractNum w:abstractNumId="137">
    <w:nsid w:val="44380727"/>
    <w:multiLevelType w:val="hybridMultilevel"/>
    <w:lvl w:ilvl="0">
      <w:lvlJc w:val="left"/>
      <w:lvlText w:val="(%1)"/>
      <w:numFmt w:val="upperLetter"/>
      <w:start w:val="2"/>
    </w:lvl>
    <w:lvl w:ilvl="1">
      <w:lvlJc w:val="left"/>
      <w:lvlText w:val="%2"/>
      <w:numFmt w:val="upperLetter"/>
      <w:start w:val="1"/>
    </w:lvl>
    <w:lvl w:ilvl="2">
      <w:lvlJc w:val="left"/>
      <w:lvlText w:val="(%3)"/>
      <w:numFmt w:val="decimal"/>
      <w:start w:val="2"/>
    </w:lvl>
  </w:abstractNum>
  <w:abstractNum w:abstractNumId="138">
    <w:nsid w:val="6C053B16"/>
    <w:multiLevelType w:val="hybridMultilevel"/>
    <w:lvl w:ilvl="0">
      <w:lvlJc w:val="left"/>
      <w:lvlText w:val="(%1)"/>
      <w:numFmt w:val="lowerRoman"/>
      <w:start w:val="4"/>
    </w:lvl>
  </w:abstractNum>
  <w:abstractNum w:abstractNumId="139">
    <w:nsid w:val="4F29439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8"/>
    </w:lvl>
  </w:abstractNum>
  <w:abstractNum w:abstractNumId="140">
    <w:nsid w:val="5243BFAC"/>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41">
    <w:nsid w:val="425EB207"/>
    <w:multiLevelType w:val="hybridMultilevel"/>
    <w:lvl w:ilvl="0">
      <w:lvlJc w:val="left"/>
      <w:lvlText w:val="(%1)"/>
      <w:numFmt w:val="lowerLetter"/>
      <w:start w:val="9"/>
    </w:lvl>
    <w:lvl w:ilvl="1">
      <w:lvlJc w:val="left"/>
      <w:lvlText w:val="(%2)"/>
      <w:numFmt w:val="lowerLetter"/>
      <w:start w:val="9"/>
    </w:lvl>
    <w:lvl w:ilvl="2">
      <w:lvlJc w:val="left"/>
      <w:lvlText w:val="%3"/>
      <w:numFmt w:val="lowerRoman"/>
      <w:start w:val="1"/>
    </w:lvl>
  </w:abstractNum>
  <w:abstractNum w:abstractNumId="142">
    <w:nsid w:val="334A6F1F"/>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43">
    <w:nsid w:val="2E5B12B8"/>
    <w:multiLevelType w:val="hybridMultilevel"/>
    <w:lvl w:ilvl="0">
      <w:lvlJc w:val="left"/>
      <w:lvlText w:val="(%1)"/>
      <w:numFmt w:val="upperLetter"/>
      <w:start w:val="24"/>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3"/>
    </w:lvl>
  </w:abstractNum>
  <w:abstractNum w:abstractNumId="144">
    <w:nsid w:val="5C03D76D"/>
    <w:multiLevelType w:val="hybridMultilevel"/>
    <w:lvl w:ilvl="0">
      <w:lvlJc w:val="left"/>
      <w:lvlText w:val="%1"/>
      <w:numFmt w:val="lowerLetter"/>
      <w:start w:val="1"/>
    </w:lvl>
    <w:lvl w:ilvl="1">
      <w:lvlJc w:val="left"/>
      <w:lvlText w:val="(%2)"/>
      <w:numFmt w:val="lowerLetter"/>
      <w:start w:val="35"/>
    </w:lvl>
  </w:abstractNum>
  <w:abstractNum w:abstractNumId="145">
    <w:nsid w:val="66A48D11"/>
    <w:multiLevelType w:val="hybridMultilevel"/>
    <w:lvl w:ilvl="0">
      <w:lvlJc w:val="left"/>
      <w:lvlText w:val="(%1)"/>
      <w:numFmt w:val="lowerLetter"/>
      <w:start w:val="2"/>
    </w:lvl>
    <w:lvl w:ilvl="1">
      <w:lvlJc w:val="left"/>
      <w:lvlText w:val="(%2)"/>
      <w:numFmt w:val="lowerLetter"/>
      <w:start w:val="9"/>
    </w:lvl>
  </w:abstractNum>
  <w:abstractNum w:abstractNumId="146">
    <w:nsid w:val="56C28E34"/>
    <w:multiLevelType w:val="hybridMultilevel"/>
    <w:lvl w:ilvl="0">
      <w:lvlJc w:val="left"/>
      <w:lvlText w:val="(%1)"/>
      <w:numFmt w:val="lowerRoman"/>
      <w:start w:val="2"/>
    </w:lvl>
  </w:abstractNum>
  <w:abstractNum w:abstractNumId="147">
    <w:nsid w:val="13916F2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8">
    <w:nsid w:val="435D38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9">
    <w:nsid w:val="822C0EF"/>
    <w:multiLevelType w:val="hybridMultilevel"/>
    <w:lvl w:ilvl="0">
      <w:lvlJc w:val="left"/>
      <w:lvlText w:val="%1"/>
      <w:numFmt w:val="decimal"/>
      <w:start w:val="1"/>
    </w:lvl>
    <w:lvl w:ilvl="1">
      <w:lvlJc w:val="left"/>
      <w:lvlText w:val="(%2)"/>
      <w:numFmt w:val="lowerLetter"/>
      <w:start w:val="4"/>
    </w:lvl>
  </w:abstractNum>
  <w:abstractNum w:abstractNumId="150">
    <w:nsid w:val="57C5BB4F"/>
    <w:multiLevelType w:val="hybridMultilevel"/>
    <w:lvl w:ilvl="0">
      <w:lvlJc w:val="left"/>
      <w:lvlText w:val="%1."/>
      <w:numFmt w:val="decimal"/>
      <w:start w:val="7"/>
    </w:lvl>
    <w:lvl w:ilvl="1">
      <w:lvlJc w:val="left"/>
      <w:lvlText w:val="(%2)"/>
      <w:numFmt w:val="lowerLetter"/>
      <w:start w:val="1"/>
    </w:lvl>
  </w:abstractNum>
  <w:abstractNum w:abstractNumId="151">
    <w:nsid w:val="1803D089"/>
    <w:multiLevelType w:val="hybridMultilevel"/>
    <w:lvl w:ilvl="0">
      <w:lvlJc w:val="left"/>
      <w:lvlText w:val="%1."/>
      <w:numFmt w:val="decimal"/>
      <w:start w:val="8"/>
    </w:lvl>
    <w:lvl w:ilvl="1">
      <w:lvlJc w:val="left"/>
      <w:lvlText w:val="(%2)"/>
      <w:numFmt w:val="lowerLetter"/>
      <w:start w:val="1"/>
    </w:lvl>
  </w:abstractNum>
  <w:abstractNum w:abstractNumId="152">
    <w:nsid w:val="4F3A06D4"/>
    <w:multiLevelType w:val="hybridMultilevel"/>
    <w:lvl w:ilvl="0">
      <w:lvlJc w:val="left"/>
      <w:lvlText w:val="%1."/>
      <w:numFmt w:val="decimal"/>
      <w:start w:val="1"/>
    </w:lvl>
  </w:abstractNum>
  <w:abstractNum w:abstractNumId="153">
    <w:nsid w:val="59A377B6"/>
    <w:multiLevelType w:val="hybridMultilevel"/>
    <w:lvl w:ilvl="0">
      <w:lvlJc w:val="left"/>
      <w:lvlText w:val="(%1)"/>
      <w:numFmt w:val="decimal"/>
      <w:start w:val="60"/>
    </w:lvl>
  </w:abstractNum>
  <w:abstractNum w:abstractNumId="154">
    <w:nsid w:val="48AEB063"/>
    <w:multiLevelType w:val="hybridMultilevel"/>
    <w:lvl w:ilvl="0">
      <w:lvlJc w:val="left"/>
      <w:lvlText w:val="(%1)"/>
      <w:numFmt w:val="decimal"/>
      <w:start w:val="30"/>
    </w:lvl>
  </w:abstractNum>
  <w:abstractNum w:abstractNumId="155">
    <w:nsid w:val="24E135"/>
    <w:multiLevelType w:val="hybridMultilevel"/>
    <w:lvl w:ilvl="0">
      <w:lvlJc w:val="left"/>
      <w:lvlText w:val="(%1)"/>
      <w:numFmt w:val="decimal"/>
      <w:start w:val="1"/>
    </w:lvl>
  </w:abstractNum>
  <w:abstractNum w:abstractNumId="156">
    <w:nsid w:val="BB13C1"/>
    <w:multiLevelType w:val="hybridMultilevel"/>
    <w:lvl w:ilvl="0">
      <w:lvlJc w:val="left"/>
      <w:lvlText w:val="(%1)"/>
      <w:numFmt w:val="lowerRoman"/>
      <w:start w:val="2"/>
    </w:lvl>
  </w:abstractNum>
  <w:abstractNum w:abstractNumId="157">
    <w:nsid w:val="271210C7"/>
    <w:multiLevelType w:val="hybridMultilevel"/>
    <w:lvl w:ilvl="0">
      <w:lvlJc w:val="left"/>
      <w:lvlText w:val="(%1)"/>
      <w:numFmt w:val="lowerLetter"/>
      <w:start w:val="3"/>
    </w:lvl>
  </w:abstractNum>
  <w:abstractNum w:abstractNumId="158">
    <w:nsid w:val="217B22E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9">
    <w:nsid w:val="53E31A24"/>
    <w:multiLevelType w:val="hybridMultilevel"/>
    <w:lvl w:ilvl="0">
      <w:lvlJc w:val="left"/>
      <w:lvlText w:val="(%1)"/>
      <w:numFmt w:val="decimal"/>
      <w:start w:val="2"/>
    </w:lvl>
    <w:lvl w:ilvl="1">
      <w:lvlJc w:val="left"/>
      <w:lvlText w:val="(%2)"/>
      <w:numFmt w:val="lowerLetter"/>
      <w:start w:val="2"/>
    </w:lvl>
  </w:abstractNum>
  <w:abstractNum w:abstractNumId="160">
    <w:nsid w:val="6DC45E83"/>
    <w:multiLevelType w:val="hybridMultilevel"/>
    <w:lvl w:ilvl="0">
      <w:lvlJc w:val="left"/>
      <w:lvlText w:val="(%1)"/>
      <w:numFmt w:val="lowerLetter"/>
      <w:start w:val="1"/>
    </w:lvl>
    <w:lvl w:ilvl="1">
      <w:lvlJc w:val="left"/>
      <w:lvlText w:val="(%2)"/>
      <w:numFmt w:val="lowerRoman"/>
      <w:start w:val="1"/>
    </w:lvl>
  </w:abstractNum>
  <w:abstractNum w:abstractNumId="161">
    <w:nsid w:val="17304A67"/>
    <w:multiLevelType w:val="hybridMultilevel"/>
    <w:lvl w:ilvl="0">
      <w:lvlJc w:val="left"/>
      <w:lvlText w:val="(%1)"/>
      <w:numFmt w:val="lowerLetter"/>
      <w:start w:val="2"/>
    </w:lvl>
  </w:abstractNum>
  <w:abstractNum w:abstractNumId="162">
    <w:nsid w:val="2BB180D8"/>
    <w:multiLevelType w:val="hybridMultilevel"/>
    <w:lvl w:ilvl="0">
      <w:lvlJc w:val="left"/>
      <w:lvlText w:val="(%1)"/>
      <w:numFmt w:val="lowerLetter"/>
      <w:start w:val="1"/>
    </w:lvl>
  </w:abstractNum>
  <w:abstractNum w:abstractNumId="163">
    <w:nsid w:val="556B69ED"/>
    <w:multiLevelType w:val="hybridMultilevel"/>
    <w:lvl w:ilvl="0">
      <w:lvlJc w:val="left"/>
      <w:lvlText w:val="(%1)"/>
      <w:numFmt w:val="lowerLetter"/>
      <w:start w:val="2"/>
    </w:lvl>
  </w:abstractNum>
  <w:abstractNum w:abstractNumId="164">
    <w:nsid w:val="70836196"/>
    <w:multiLevelType w:val="hybridMultilevel"/>
    <w:lvl w:ilvl="0">
      <w:lvlJc w:val="left"/>
      <w:lvlText w:val="(%1)"/>
      <w:numFmt w:val="lowerLetter"/>
      <w:start w:val="1"/>
    </w:lvl>
  </w:abstractNum>
  <w:abstractNum w:abstractNumId="165">
    <w:nsid w:val="539F7F12"/>
    <w:multiLevelType w:val="hybridMultilevel"/>
    <w:lvl w:ilvl="0">
      <w:lvlJc w:val="left"/>
      <w:lvlText w:val="%1"/>
      <w:numFmt w:val="lowerLetter"/>
      <w:start w:val="1"/>
    </w:lvl>
    <w:lvl w:ilvl="1">
      <w:lvlJc w:val="left"/>
      <w:lvlText w:val="(%2)"/>
      <w:numFmt w:val="lowerLetter"/>
      <w:start w:val="1"/>
    </w:lvl>
  </w:abstractNum>
  <w:abstractNum w:abstractNumId="166">
    <w:nsid w:val="2817E7EC"/>
    <w:multiLevelType w:val="hybridMultilevel"/>
    <w:lvl w:ilvl="0">
      <w:lvlJc w:val="left"/>
      <w:lvlText w:val="(%1)"/>
      <w:numFmt w:val="lowerLetter"/>
      <w:start w:val="2"/>
    </w:lvl>
    <w:lvl w:ilvl="1">
      <w:lvlJc w:val="left"/>
      <w:lvlText w:val="%2"/>
      <w:numFmt w:val="lowerLetter"/>
      <w:start w:val="1"/>
    </w:lvl>
  </w:abstractNum>
  <w:abstractNum w:abstractNumId="167">
    <w:nsid w:val="71482545"/>
    <w:multiLevelType w:val="hybridMultilevel"/>
    <w:lvl w:ilvl="0">
      <w:lvlJc w:val="left"/>
      <w:lvlText w:val="(%1)"/>
      <w:numFmt w:val="lowerLetter"/>
      <w:start w:val="2"/>
    </w:lvl>
  </w:abstractNum>
  <w:abstractNum w:abstractNumId="168">
    <w:nsid w:val="17D78639"/>
    <w:multiLevelType w:val="hybridMultilevel"/>
    <w:lvl w:ilvl="0">
      <w:lvlJc w:val="left"/>
      <w:lvlText w:val="(%1)"/>
      <w:numFmt w:val="lowerLetter"/>
      <w:start w:val="8"/>
    </w:lvl>
  </w:abstractNum>
  <w:abstractNum w:abstractNumId="169">
    <w:nsid w:val="141D2302"/>
    <w:multiLevelType w:val="hybridMultilevel"/>
    <w:lvl w:ilvl="0">
      <w:lvlJc w:val="left"/>
      <w:lvlText w:val="(%1)"/>
      <w:numFmt w:val="lowerLetter"/>
      <w:start w:val="1"/>
    </w:lvl>
  </w:abstractNum>
  <w:abstractNum w:abstractNumId="170">
    <w:nsid w:val="407168D8"/>
    <w:multiLevelType w:val="hybridMultilevel"/>
    <w:lvl w:ilvl="0">
      <w:lvlJc w:val="left"/>
      <w:lvlText w:val="(%1)"/>
      <w:numFmt w:val="lowerLetter"/>
      <w:start w:val="3"/>
    </w:lvl>
  </w:abstractNum>
  <w:abstractNum w:abstractNumId="171">
    <w:nsid w:val="6A1B45E5"/>
    <w:multiLevelType w:val="hybridMultilevel"/>
    <w:lvl w:ilvl="0">
      <w:lvlJc w:val="left"/>
      <w:lvlText w:val="(%1)"/>
      <w:numFmt w:val="lowerLetter"/>
      <w:start w:val="1"/>
    </w:lvl>
  </w:abstractNum>
  <w:abstractNum w:abstractNumId="172">
    <w:nsid w:val="567BD50A"/>
    <w:multiLevelType w:val="hybridMultilevel"/>
    <w:lvl w:ilvl="0">
      <w:lvlJc w:val="left"/>
      <w:lvlText w:val="(%1)"/>
      <w:numFmt w:val="lowerLetter"/>
      <w:start w:val="1"/>
    </w:lvl>
  </w:abstractNum>
  <w:abstractNum w:abstractNumId="173">
    <w:nsid w:val="73BBD7F8"/>
    <w:multiLevelType w:val="hybridMultilevel"/>
    <w:lvl w:ilvl="0">
      <w:lvlJc w:val="left"/>
      <w:lvlText w:val="(%1)"/>
      <w:numFmt w:val="lowerLetter"/>
      <w:start w:val="1"/>
    </w:lvl>
  </w:abstractNum>
  <w:abstractNum w:abstractNumId="174">
    <w:nsid w:val="1876589D"/>
    <w:multiLevelType w:val="hybridMultilevel"/>
    <w:lvl w:ilvl="0">
      <w:lvlJc w:val="left"/>
      <w:lvlText w:val="(%1)"/>
      <w:numFmt w:val="lowerLetter"/>
      <w:start w:val="1"/>
    </w:lvl>
  </w:abstractNum>
  <w:abstractNum w:abstractNumId="175">
    <w:nsid w:val="327FAC77"/>
    <w:multiLevelType w:val="hybridMultilevel"/>
    <w:lvl w:ilvl="0">
      <w:lvlJc w:val="left"/>
      <w:lvlText w:val="(%1)"/>
      <w:numFmt w:val="lowerRoman"/>
      <w:start w:val="2"/>
    </w:lvl>
  </w:abstractNum>
  <w:abstractNum w:abstractNumId="176">
    <w:nsid w:val="5A606509"/>
    <w:multiLevelType w:val="hybridMultilevel"/>
    <w:lvl w:ilvl="0">
      <w:lvlJc w:val="left"/>
      <w:lvlText w:val="(%1)"/>
      <w:numFmt w:val="lowerLetter"/>
      <w:start w:val="1"/>
    </w:lvl>
  </w:abstractNum>
  <w:abstractNum w:abstractNumId="177">
    <w:nsid w:val="6F38E6D1"/>
    <w:multiLevelType w:val="hybridMultilevel"/>
    <w:lvl w:ilvl="0">
      <w:lvlJc w:val="left"/>
      <w:lvlText w:val="(%1)"/>
      <w:numFmt w:val="lowerLetter"/>
      <w:start w:val="2"/>
    </w:lvl>
  </w:abstractNum>
  <w:abstractNum w:abstractNumId="178">
    <w:nsid w:val="46111BA5"/>
    <w:multiLevelType w:val="hybridMultilevel"/>
    <w:lvl w:ilvl="0">
      <w:lvlJc w:val="left"/>
      <w:lvlText w:val="(%1)"/>
      <w:numFmt w:val="decimal"/>
      <w:start w:val="1"/>
    </w:lvl>
  </w:abstractNum>
  <w:abstractNum w:abstractNumId="179">
    <w:nsid w:val="5E963896"/>
    <w:multiLevelType w:val="hybridMultilevel"/>
    <w:lvl w:ilvl="0">
      <w:lvlJc w:val="left"/>
      <w:lvlText w:val="(%1)"/>
      <w:numFmt w:val="lowerLetter"/>
      <w:start w:val="2"/>
    </w:lvl>
  </w:abstractNum>
  <w:abstractNum w:abstractNumId="180">
    <w:nsid w:val="775BA7C1"/>
    <w:multiLevelType w:val="hybridMultilevel"/>
    <w:lvl w:ilvl="0">
      <w:lvlJc w:val="left"/>
      <w:lvlText w:val="(%1)"/>
      <w:numFmt w:val="lowerLetter"/>
      <w:start w:val="1"/>
    </w:lvl>
  </w:abstractNum>
  <w:abstractNum w:abstractNumId="181">
    <w:nsid w:val="1DD6D6F4"/>
    <w:multiLevelType w:val="hybridMultilevel"/>
    <w:lvl w:ilvl="0">
      <w:lvlJc w:val="left"/>
      <w:lvlText w:val="(%1)"/>
      <w:numFmt w:val="lowerLetter"/>
      <w:start w:val="2"/>
    </w:lvl>
  </w:abstractNum>
  <w:abstractNum w:abstractNumId="182">
    <w:nsid w:val="769A091F"/>
    <w:multiLevelType w:val="hybridMultilevel"/>
    <w:lvl w:ilvl="0">
      <w:lvlJc w:val="left"/>
      <w:lvlText w:val="(%1)"/>
      <w:numFmt w:val="lowerLetter"/>
      <w:start w:val="1"/>
    </w:lvl>
  </w:abstractNum>
  <w:abstractNum w:abstractNumId="183">
    <w:nsid w:val="4695AE95"/>
    <w:multiLevelType w:val="hybridMultilevel"/>
    <w:lvl w:ilvl="0">
      <w:lvlJc w:val="left"/>
      <w:lvlText w:val="(%1)"/>
      <w:numFmt w:val="lowerLetter"/>
      <w:start w:val="1"/>
    </w:lvl>
  </w:abstractNum>
  <w:abstractNum w:abstractNumId="184">
    <w:nsid w:val="777A4EAA"/>
    <w:multiLevelType w:val="hybridMultilevel"/>
    <w:lvl w:ilvl="0">
      <w:lvlJc w:val="left"/>
      <w:lvlText w:val="(%1)"/>
      <w:numFmt w:val="upperLetter"/>
      <w:start w:val="9"/>
    </w:lvl>
  </w:abstractNum>
  <w:abstractNum w:abstractNumId="185">
    <w:nsid w:val="3F48B982"/>
    <w:multiLevelType w:val="hybridMultilevel"/>
    <w:lvl w:ilvl="0">
      <w:lvlJc w:val="left"/>
      <w:lvlText w:val="%1"/>
      <w:numFmt w:val="decimal"/>
      <w:start w:val="1"/>
    </w:lvl>
    <w:lvl w:ilvl="1">
      <w:lvlJc w:val="left"/>
      <w:lvlText w:val="(%2)"/>
      <w:numFmt w:val="lowerLetter"/>
      <w:start w:val="2"/>
    </w:lvl>
  </w:abstractNum>
  <w:abstractNum w:abstractNumId="186">
    <w:nsid w:val="46BA8FCA"/>
    <w:multiLevelType w:val="hybridMultilevel"/>
    <w:lvl w:ilvl="0">
      <w:lvlJc w:val="left"/>
      <w:lvlText w:val="(%1)"/>
      <w:numFmt w:val="decimal"/>
      <w:start w:val="10"/>
    </w:lvl>
    <w:lvl w:ilvl="1">
      <w:lvlJc w:val="left"/>
      <w:lvlText w:val="(%2)"/>
      <w:numFmt w:val="lowerLetter"/>
      <w:start w:val="3"/>
    </w:lvl>
  </w:abstractNum>
  <w:abstractNum w:abstractNumId="187">
    <w:nsid w:val="7835626C"/>
    <w:multiLevelType w:val="hybridMultilevel"/>
    <w:lvl w:ilvl="0">
      <w:lvlJc w:val="left"/>
      <w:lvlText w:val=";"/>
      <w:numFmt w:val="bullet"/>
      <w:start w:val="1"/>
    </w:lvl>
    <w:lvl w:ilvl="1">
      <w:lvlJc w:val="left"/>
      <w:lvlText w:val="(%2)"/>
      <w:numFmt w:val="lowerLetter"/>
      <w:start w:val="2"/>
    </w:lvl>
  </w:abstractNum>
  <w:abstractNum w:abstractNumId="188">
    <w:nsid w:val="665ACA49"/>
    <w:multiLevelType w:val="hybridMultilevel"/>
    <w:lvl w:ilvl="0">
      <w:lvlJc w:val="left"/>
      <w:lvlText w:val="(%1)"/>
      <w:numFmt w:val="lowerLetter"/>
      <w:start w:val="1"/>
    </w:lvl>
  </w:abstractNum>
  <w:abstractNum w:abstractNumId="189">
    <w:nsid w:val="6835B2AE"/>
    <w:multiLevelType w:val="hybridMultilevel"/>
    <w:lvl w:ilvl="0">
      <w:lvlJc w:val="left"/>
      <w:lvlText w:val="(%1)"/>
      <w:numFmt w:val="lowerLetter"/>
      <w:start w:val="2"/>
    </w:lvl>
  </w:abstractNum>
  <w:abstractNum w:abstractNumId="190">
    <w:nsid w:val="4C187C90"/>
    <w:multiLevelType w:val="hybridMultilevel"/>
    <w:lvl w:ilvl="0">
      <w:lvlJc w:val="left"/>
      <w:lvlText w:val="(%1)"/>
      <w:numFmt w:val="lowerLetter"/>
      <w:start w:val="2"/>
    </w:lvl>
  </w:abstractNum>
  <w:abstractNum w:abstractNumId="191">
    <w:nsid w:val="541F28CD"/>
    <w:multiLevelType w:val="hybridMultilevel"/>
    <w:lvl w:ilvl="0">
      <w:lvlJc w:val="left"/>
      <w:lvlText w:val="1"/>
      <w:numFmt w:val="bullet"/>
      <w:start w:val="1"/>
    </w:lvl>
  </w:abstractNum>
  <w:abstractNum w:abstractNumId="192">
    <w:nsid w:val="7F65FD16"/>
    <w:multiLevelType w:val="hybridMultilevel"/>
    <w:lvl w:ilvl="0">
      <w:lvlJc w:val="left"/>
      <w:lvlText w:val="☐"/>
      <w:numFmt w:val="bullet"/>
      <w:start w:val="1"/>
    </w:lvl>
  </w:abstractNum>
  <w:abstractNum w:abstractNumId="193">
    <w:nsid w:val="77C9FD6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4">
    <w:nsid w:val="298A92BA"/>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195">
    <w:nsid w:val="6FE95EAC"/>
    <w:multiLevelType w:val="hybridMultilevel"/>
    <w:lvl w:ilvl="0">
      <w:lvlJc w:val="left"/>
      <w:lvlText w:val="(%1)"/>
      <w:numFmt w:val="lowerLetter"/>
      <w:start w:val="4"/>
    </w:lvl>
  </w:abstractNum>
  <w:abstractNum w:abstractNumId="196">
    <w:nsid w:val="4B697C7A"/>
    <w:multiLevelType w:val="hybridMultilevel"/>
    <w:lvl w:ilvl="0">
      <w:lvlJc w:val="left"/>
      <w:lvlText w:val="(%1)"/>
      <w:numFmt w:val="decimal"/>
      <w:start w:val="1"/>
    </w:lvl>
  </w:abstractNum>
  <w:abstractNum w:abstractNumId="197">
    <w:nsid w:val="51A27AA6"/>
    <w:multiLevelType w:val="hybridMultilevel"/>
    <w:lvl w:ilvl="0">
      <w:lvlJc w:val="left"/>
      <w:lvlText w:val="(%1)"/>
      <w:numFmt w:val="lowerRoman"/>
      <w:start w:val="1"/>
    </w:lvl>
  </w:abstractNum>
  <w:abstractNum w:abstractNumId="198">
    <w:nsid w:val="613183F2"/>
    <w:multiLevelType w:val="hybridMultilevel"/>
    <w:lvl w:ilvl="0">
      <w:lvlJc w:val="left"/>
      <w:lvlText w:val="(%1)"/>
      <w:numFmt w:val="decimal"/>
      <w:start w:val="1"/>
    </w:lvl>
  </w:abstractNum>
  <w:abstractNum w:abstractNumId="199">
    <w:nsid w:val="634102B4"/>
    <w:multiLevelType w:val="hybridMultilevel"/>
    <w:lvl w:ilvl="0">
      <w:lvlJc w:val="left"/>
      <w:lvlText w:val="(%1)"/>
      <w:numFmt w:val="decimal"/>
      <w:start w:val="2"/>
    </w:lvl>
  </w:abstractNum>
  <w:abstractNum w:abstractNumId="200">
    <w:nsid w:val="65BF9DA8"/>
    <w:multiLevelType w:val="hybridMultilevel"/>
    <w:lvl w:ilvl="0">
      <w:lvlJc w:val="left"/>
      <w:lvlText w:val="(%1)"/>
      <w:numFmt w:val="lowerRoman"/>
      <w:start w:val="1"/>
    </w:lvl>
  </w:abstractNum>
  <w:abstractNum w:abstractNumId="201">
    <w:nsid w:val="21A2ECCA"/>
    <w:multiLevelType w:val="hybridMultilevel"/>
    <w:lvl w:ilvl="0">
      <w:lvlJc w:val="left"/>
      <w:lvlText w:val="(%1)"/>
      <w:numFmt w:val="lowerRoman"/>
      <w:start w:val="1"/>
    </w:lvl>
  </w:abstractNum>
  <w:abstractNum w:abstractNumId="202">
    <w:nsid w:val="4D5C4899"/>
    <w:multiLevelType w:val="hybridMultilevel"/>
    <w:lvl w:ilvl="0">
      <w:lvlJc w:val="left"/>
      <w:lvlText w:val="(%1)"/>
      <w:numFmt w:val="lowerRoman"/>
      <w:start w:val="1"/>
    </w:lvl>
  </w:abstractNum>
  <w:abstractNum w:abstractNumId="203">
    <w:nsid w:val="3C3B72B2"/>
    <w:multiLevelType w:val="hybridMultilevel"/>
    <w:lvl w:ilvl="0">
      <w:lvlJc w:val="left"/>
      <w:lvlText w:val="(%1)"/>
      <w:numFmt w:val="lowerRoman"/>
      <w:start w:val="1"/>
    </w:lvl>
  </w:abstractNum>
  <w:abstractNum w:abstractNumId="204">
    <w:nsid w:val="155EC4C2"/>
    <w:multiLevelType w:val="hybridMultilevel"/>
    <w:lvl w:ilvl="0">
      <w:lvlJc w:val="left"/>
      <w:lvlText w:val="(%1)"/>
      <w:numFmt w:val="decimal"/>
      <w:start w:val="1"/>
    </w:lvl>
  </w:abstractNum>
  <w:abstractNum w:abstractNumId="205">
    <w:nsid w:val="65D2A137"/>
    <w:multiLevelType w:val="hybridMultilevel"/>
    <w:lvl w:ilvl="0">
      <w:lvlJc w:val="left"/>
      <w:lvlText w:val="(%1)"/>
      <w:numFmt w:val="decimal"/>
      <w:start w:val="2"/>
    </w:lvl>
  </w:abstractNum>
  <w:abstractNum w:abstractNumId="206">
    <w:nsid w:val="6EBB1F2A"/>
    <w:multiLevelType w:val="hybridMultilevel"/>
    <w:lvl w:ilvl="0">
      <w:lvlJc w:val="left"/>
      <w:lvlText w:val=";"/>
      <w:numFmt w:val="bullet"/>
      <w:start w:val="1"/>
    </w:lvl>
  </w:abstractNum>
  <w:abstractNum w:abstractNumId="207">
    <w:nsid w:val="6FBF29CB"/>
    <w:multiLevelType w:val="hybridMultilevel"/>
    <w:lvl w:ilvl="0">
      <w:lvlJc w:val="left"/>
      <w:lvlText w:val="(%1)"/>
      <w:numFmt w:val="lowerRoman"/>
      <w:start w:val="1"/>
    </w:lvl>
  </w:abstractNum>
  <w:abstractNum w:abstractNumId="208">
    <w:nsid w:val="550B8808"/>
    <w:multiLevelType w:val="hybridMultilevel"/>
    <w:lvl w:ilvl="0">
      <w:lvlJc w:val="left"/>
      <w:lvlText w:val="(%1)"/>
      <w:numFmt w:val="lowerRoman"/>
      <w:start w:val="1"/>
    </w:lvl>
  </w:abstractNum>
  <w:abstractNum w:abstractNumId="209">
    <w:nsid w:val="34CC3ACF"/>
    <w:multiLevelType w:val="hybridMultilevel"/>
    <w:lvl w:ilvl="0">
      <w:lvlJc w:val="left"/>
      <w:lvlText w:val="(%1)"/>
      <w:numFmt w:val="lowerRoman"/>
      <w:start w:val="1"/>
    </w:lvl>
  </w:abstractNum>
  <w:abstractNum w:abstractNumId="210">
    <w:nsid w:val="4E556261"/>
    <w:multiLevelType w:val="hybridMultilevel"/>
    <w:lvl w:ilvl="0">
      <w:lvlJc w:val="left"/>
      <w:lvlText w:val="(%1)"/>
      <w:numFmt w:val="lowerRoman"/>
      <w:start w:val="1"/>
    </w:lvl>
  </w:abstractNum>
  <w:abstractNum w:abstractNumId="211">
    <w:nsid w:val="4C672FC9"/>
    <w:multiLevelType w:val="hybridMultilevel"/>
    <w:lvl w:ilvl="0">
      <w:lvlJc w:val="left"/>
      <w:lvlText w:val="(%1)"/>
      <w:numFmt w:val="decimal"/>
      <w:start w:val="1"/>
    </w:lvl>
  </w:abstractNum>
  <w:abstractNum w:abstractNumId="212">
    <w:nsid w:val="52A311C3"/>
    <w:multiLevelType w:val="hybridMultilevel"/>
    <w:lvl w:ilvl="0">
      <w:lvlJc w:val="left"/>
      <w:lvlText w:val="(%1)"/>
      <w:numFmt w:val="decimal"/>
      <w:start w:val="2"/>
    </w:lvl>
  </w:abstractNum>
  <w:abstractNum w:abstractNumId="213">
    <w:nsid w:val="44EF6B80"/>
    <w:multiLevelType w:val="hybridMultilevel"/>
    <w:lvl w:ilvl="0">
      <w:lvlJc w:val="left"/>
      <w:lvlText w:val=";"/>
      <w:numFmt w:val="bullet"/>
      <w:start w:val="1"/>
    </w:lvl>
  </w:abstractNum>
  <w:abstractNum w:abstractNumId="214">
    <w:nsid w:val="12FCDE5E"/>
    <w:multiLevelType w:val="hybridMultilevel"/>
    <w:lvl w:ilvl="0">
      <w:lvlJc w:val="left"/>
      <w:lvlText w:val="(%1)"/>
      <w:numFmt w:val="lowerRoman"/>
      <w:start w:val="1"/>
    </w:lvl>
  </w:abstractNum>
  <w:abstractNum w:abstractNumId="215">
    <w:nsid w:val="4A1D606E"/>
    <w:multiLevelType w:val="hybridMultilevel"/>
    <w:lvl w:ilvl="0">
      <w:lvlJc w:val="left"/>
      <w:lvlText w:val="(%1)"/>
      <w:numFmt w:val="lowerRoman"/>
      <w:start w:val="1"/>
    </w:lvl>
  </w:abstractNum>
  <w:abstractNum w:abstractNumId="216">
    <w:nsid w:val="4382503"/>
    <w:multiLevelType w:val="hybridMultilevel"/>
    <w:lvl w:ilvl="0">
      <w:lvlJc w:val="left"/>
      <w:lvlText w:val="(%1)"/>
      <w:numFmt w:val="lowerRoman"/>
      <w:start w:val="1"/>
    </w:lvl>
  </w:abstractNum>
  <w:abstractNum w:abstractNumId="217">
    <w:nsid w:val="59B76E28"/>
    <w:multiLevelType w:val="hybridMultilevel"/>
    <w:lvl w:ilvl="0">
      <w:lvlJc w:val="left"/>
      <w:lvlText w:val="(%1)"/>
      <w:numFmt w:val="lowerRoman"/>
      <w:start w:val="1"/>
    </w:lvl>
  </w:abstractNum>
  <w:abstractNum w:abstractNumId="218">
    <w:nsid w:val="4252C2DA"/>
    <w:multiLevelType w:val="hybridMultilevel"/>
    <w:lvl w:ilvl="0">
      <w:lvlJc w:val="left"/>
      <w:lvlText w:val="%1."/>
      <w:numFmt w:val="decimal"/>
      <w:start w:val="1"/>
    </w:lvl>
    <w:lvl w:ilvl="1">
      <w:lvlJc w:val="left"/>
      <w:lvlText w:val="(%2)"/>
      <w:numFmt w:val="lowerLetter"/>
      <w:start w:val="1"/>
    </w:lvl>
  </w:abstractNum>
  <w:abstractNum w:abstractNumId="219">
    <w:nsid w:val="6A92EF4C"/>
    <w:multiLevelType w:val="hybridMultilevel"/>
    <w:lvl w:ilvl="0">
      <w:lvlJc w:val="left"/>
      <w:lvlText w:val="(%1)"/>
      <w:numFmt w:val="lowerLetter"/>
      <w:start w:val="8"/>
    </w:lvl>
  </w:abstractNum>
  <w:abstractNum w:abstractNumId="220">
    <w:nsid w:val="41ED20D7"/>
    <w:multiLevelType w:val="hybridMultilevel"/>
    <w:lvl w:ilvl="0">
      <w:lvlJc w:val="left"/>
      <w:lvlText w:val="(%1)"/>
      <w:numFmt w:val="lowerLetter"/>
      <w:start w:val="18"/>
    </w:lvl>
  </w:abstractNum>
  <w:abstractNum w:abstractNumId="221">
    <w:nsid w:val="E6B3F6A"/>
    <w:multiLevelType w:val="hybridMultilevel"/>
    <w:lvl w:ilvl="0">
      <w:lvlJc w:val="left"/>
      <w:lvlText w:val="(%1)"/>
      <w:numFmt w:val="lowerLetter"/>
      <w:start w:val="27"/>
    </w:lvl>
  </w:abstractNum>
  <w:abstractNum w:abstractNumId="222">
    <w:nsid w:val="3EB21819"/>
    <w:multiLevelType w:val="hybridMultilevel"/>
    <w:lvl w:ilvl="0">
      <w:lvlJc w:val="left"/>
      <w:lvlText w:val="%1"/>
      <w:numFmt w:val="decimal"/>
      <w:start w:val="1"/>
    </w:lvl>
    <w:lvl w:ilvl="1">
      <w:lvlJc w:val="left"/>
      <w:lvlText w:val="(%2)"/>
      <w:numFmt w:val="lowerLetter"/>
      <w:start w:val="32"/>
    </w:lvl>
  </w:abstractNum>
  <w:abstractNum w:abstractNumId="223">
    <w:nsid w:val="41531DED"/>
    <w:multiLevelType w:val="hybridMultilevel"/>
    <w:lvl w:ilvl="0">
      <w:lvlJc w:val="left"/>
      <w:lvlText w:val="%1."/>
      <w:numFmt w:val="decimal"/>
      <w:start w:val="3"/>
    </w:lvl>
    <w:lvl w:ilvl="1">
      <w:lvlJc w:val="left"/>
      <w:lvlText w:val="(%2)"/>
      <w:numFmt w:val="lowerLetter"/>
      <w:start w:val="1"/>
    </w:lvl>
  </w:abstractNum>
  <w:abstractNum w:abstractNumId="224">
    <w:nsid w:val="6353CD2"/>
    <w:multiLevelType w:val="hybridMultilevel"/>
    <w:lvl w:ilvl="0">
      <w:lvlJc w:val="left"/>
      <w:lvlText w:val="(%1)"/>
      <w:numFmt w:val="lowerLetter"/>
      <w:start w:val="3"/>
    </w:lvl>
    <w:lvl w:ilvl="1">
      <w:lvlJc w:val="left"/>
      <w:lvlText w:val="(%2)"/>
      <w:numFmt w:val="lowerRoman"/>
      <w:start w:val="1"/>
    </w:lvl>
  </w:abstractNum>
  <w:abstractNum w:abstractNumId="225">
    <w:nsid w:val="683CAAD3"/>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1"/>
    </w:lvl>
  </w:abstractNum>
  <w:abstractNum w:abstractNumId="226">
    <w:nsid w:val="313C7C99"/>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27">
    <w:nsid w:val="519EB94C"/>
    <w:multiLevelType w:val="hybridMultilevel"/>
    <w:lvl w:ilvl="0">
      <w:lvlJc w:val="left"/>
      <w:lvlText w:val="(%1)"/>
      <w:numFmt w:val="decimal"/>
      <w:start w:val="10"/>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228">
    <w:nsid w:val="39DF257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29">
    <w:nsid w:val="126E008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30">
    <w:nsid w:val="34DFBC0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31">
    <w:nsid w:val="1F9EC322"/>
    <w:multiLevelType w:val="hybridMultilevel"/>
    <w:lvl w:ilvl="0">
      <w:lvlJc w:val="left"/>
      <w:lvlText w:val="%1"/>
      <w:numFmt w:val="lowerLetter"/>
      <w:start w:val="1"/>
    </w:lvl>
    <w:lvl w:ilvl="1">
      <w:lvlJc w:val="left"/>
      <w:lvlText w:val="(%2)"/>
      <w:numFmt w:val="lowerLetter"/>
      <w:start w:val="22"/>
    </w:lvl>
  </w:abstractNum>
  <w:abstractNum w:abstractNumId="232">
    <w:nsid w:val="3410ED56"/>
    <w:multiLevelType w:val="hybridMultilevel"/>
    <w:lvl w:ilvl="0">
      <w:lvlJc w:val="left"/>
      <w:lvlText w:val="(%1)"/>
      <w:numFmt w:val="lowerLetter"/>
      <w:start w:val="2"/>
    </w:lvl>
    <w:lvl w:ilvl="1">
      <w:lvlJc w:val="left"/>
      <w:lvlText w:val="%2"/>
      <w:numFmt w:val="lowerLetter"/>
      <w:start w:val="1"/>
    </w:lvl>
  </w:abstractNum>
  <w:abstractNum w:abstractNumId="233">
    <w:nsid w:val="23C049A"/>
    <w:multiLevelType w:val="hybridMultilevel"/>
    <w:lvl w:ilvl="0">
      <w:lvlJc w:val="left"/>
      <w:lvlText w:val="(%1)"/>
      <w:numFmt w:val="lowerRoman"/>
      <w:start w:val="1"/>
    </w:lvl>
  </w:abstractNum>
  <w:abstractNum w:abstractNumId="234">
    <w:nsid w:val="5BDA35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35">
    <w:nsid w:val="496FB21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236">
    <w:nsid w:val="680EA5D1"/>
    <w:multiLevelType w:val="hybridMultilevel"/>
    <w:lvl w:ilvl="0">
      <w:lvlJc w:val="left"/>
      <w:lvlText w:val="(%1)"/>
      <w:numFmt w:val="lowerRoman"/>
      <w:start w:val="2"/>
    </w:lvl>
  </w:abstractNum>
  <w:abstractNum w:abstractNumId="237">
    <w:nsid w:val="4A9554FE"/>
    <w:multiLevelType w:val="hybridMultilevel"/>
    <w:lvl w:ilvl="0">
      <w:lvlJc w:val="left"/>
      <w:lvlText w:val="%1"/>
      <w:numFmt w:val="decimal"/>
      <w:start w:val="1"/>
    </w:lvl>
    <w:lvl w:ilvl="1">
      <w:lvlJc w:val="left"/>
      <w:lvlText w:val="(%2)"/>
      <w:numFmt w:val="lowerLetter"/>
      <w:start w:val="3"/>
    </w:lvl>
  </w:abstractNum>
  <w:abstractNum w:abstractNumId="238">
    <w:nsid w:val="392EDBE4"/>
    <w:multiLevelType w:val="hybridMultilevel"/>
    <w:lvl w:ilvl="0">
      <w:lvlJc w:val="left"/>
      <w:lvlText w:val="%1."/>
      <w:numFmt w:val="decimal"/>
      <w:start w:val="12"/>
    </w:lvl>
    <w:lvl w:ilvl="1">
      <w:lvlJc w:val="left"/>
      <w:lvlText w:val="(%2)"/>
      <w:numFmt w:val="lowerLetter"/>
      <w:start w:val="1"/>
    </w:lvl>
  </w:abstractNum>
  <w:abstractNum w:abstractNumId="239">
    <w:nsid w:val="3D1A2DD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40">
    <w:nsid w:val="7F618FCD"/>
    <w:multiLevelType w:val="hybridMultilevel"/>
    <w:lvl w:ilvl="0">
      <w:lvlJc w:val="left"/>
      <w:lvlText w:val="(%1)"/>
      <w:numFmt w:val="lowerLetter"/>
      <w:start w:val="4"/>
    </w:lvl>
    <w:lvl w:ilvl="1">
      <w:lvlJc w:val="left"/>
      <w:lvlText w:val="%2."/>
      <w:numFmt w:val="decimal"/>
      <w:start w:val="12"/>
    </w:lvl>
    <w:lvl w:ilvl="2">
      <w:lvlJc w:val="left"/>
      <w:lvlText w:val="(%3)"/>
      <w:numFmt w:val="lowerLetter"/>
      <w:start w:val="6"/>
    </w:lvl>
  </w:abstractNum>
  <w:abstractNum w:abstractNumId="241">
    <w:nsid w:val="7843E4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2">
    <w:nsid w:val="9815DA3"/>
    <w:multiLevelType w:val="hybridMultilevel"/>
    <w:lvl w:ilvl="0">
      <w:lvlJc w:val="left"/>
      <w:lvlText w:val="%1."/>
      <w:numFmt w:val="decimal"/>
      <w:start w:val="14"/>
    </w:lvl>
    <w:lvl w:ilvl="1">
      <w:lvlJc w:val="left"/>
      <w:lvlText w:val="(%2)"/>
      <w:numFmt w:val="lowerLetter"/>
      <w:start w:val="1"/>
    </w:lvl>
  </w:abstractNum>
  <w:abstractNum w:abstractNumId="243">
    <w:nsid w:val="5204A191"/>
    <w:multiLevelType w:val="hybridMultilevel"/>
    <w:lvl w:ilvl="0">
      <w:lvlJc w:val="left"/>
      <w:lvlText w:val="%1"/>
      <w:numFmt w:val="decimal"/>
      <w:start w:val="1"/>
    </w:lvl>
    <w:lvl w:ilvl="1">
      <w:lvlJc w:val="left"/>
      <w:lvlText w:val="(%2)"/>
      <w:numFmt w:val="lowerLetter"/>
      <w:start w:val="4"/>
    </w:lvl>
  </w:abstractNum>
  <w:abstractNum w:abstractNumId="244">
    <w:nsid w:val="4C73A9C6"/>
    <w:multiLevelType w:val="hybridMultilevel"/>
    <w:lvl w:ilvl="0">
      <w:lvlJc w:val="left"/>
      <w:lvlText w:val="%1."/>
      <w:numFmt w:val="decimal"/>
      <w:start w:val="15"/>
    </w:lvl>
    <w:lvl w:ilvl="1">
      <w:lvlJc w:val="left"/>
      <w:lvlText w:val="(%2)"/>
      <w:numFmt w:val="lowerLetter"/>
      <w:start w:val="1"/>
    </w:lvl>
  </w:abstractNum>
  <w:abstractNum w:abstractNumId="245">
    <w:nsid w:val="1C7E3C01"/>
    <w:multiLevelType w:val="hybridMultilevel"/>
    <w:lvl w:ilvl="0">
      <w:lvlJc w:val="left"/>
      <w:lvlText w:val="%1."/>
      <w:numFmt w:val="decimal"/>
      <w:start w:val="18"/>
    </w:lvl>
  </w:abstractNum>
  <w:abstractNum w:abstractNumId="246">
    <w:nsid w:val="1C2201FF"/>
    <w:multiLevelType w:val="hybridMultilevel"/>
    <w:lvl w:ilvl="0">
      <w:lvlJc w:val="left"/>
      <w:lvlText w:val="1"/>
      <w:numFmt w:val="bullet"/>
      <w:start w:val="1"/>
    </w:lvl>
  </w:abstractNum>
  <w:abstractNum w:abstractNumId="247">
    <w:nsid w:val="50ABCEC9"/>
    <w:multiLevelType w:val="hybridMultilevel"/>
    <w:lvl w:ilvl="0">
      <w:lvlJc w:val="left"/>
      <w:lvlText w:val="%1."/>
      <w:numFmt w:val="decimal"/>
      <w:start w:val="2"/>
    </w:lvl>
  </w:abstractNum>
  <w:abstractNum w:abstractNumId="248">
    <w:nsid w:val="7635AA2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49">
    <w:nsid w:val="5E74C4D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0">
    <w:nsid w:val="3B3EBE1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51">
    <w:nsid w:val="3822CB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52">
    <w:nsid w:val="6CE0044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3">
    <w:nsid w:val="79F0D62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4">
    <w:nsid w:val="7975E8E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55">
    <w:nsid w:val="73154115"/>
    <w:multiLevelType w:val="hybridMultilevel"/>
    <w:lvl w:ilvl="0">
      <w:lvlJc w:val="left"/>
      <w:lvlText w:val="%1."/>
      <w:numFmt w:val="decimal"/>
      <w:start w:val="9"/>
    </w:lvl>
  </w:abstractNum>
  <w:abstractNum w:abstractNumId="256">
    <w:nsid w:val="622D810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57">
    <w:nsid w:val="2AB26587"/>
    <w:multiLevelType w:val="hybridMultilevel"/>
    <w:lvl w:ilvl="0">
      <w:lvlJc w:val="left"/>
      <w:lvlText w:val="(%1)"/>
      <w:numFmt w:val="lowerRoman"/>
      <w:start w:val="2"/>
    </w:lvl>
  </w:abstractNum>
  <w:abstractNum w:abstractNumId="258">
    <w:nsid w:val="44B3FA61"/>
    <w:multiLevelType w:val="hybridMultilevel"/>
    <w:lvl w:ilvl="0">
      <w:lvlJc w:val="left"/>
      <w:lvlText w:val="(%1)"/>
      <w:numFmt w:val="upperLetter"/>
      <w:start w:val="1"/>
    </w:lvl>
  </w:abstractNum>
  <w:abstractNum w:abstractNumId="259">
    <w:nsid w:val="1C0CA67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260">
    <w:nsid w:val="3D20661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261">
    <w:nsid w:val="7993B662"/>
    <w:multiLevelType w:val="hybridMultilevel"/>
    <w:lvl w:ilvl="0">
      <w:lvlJc w:val="left"/>
      <w:lvlText w:val="%1"/>
      <w:numFmt w:val="lowerLetter"/>
      <w:start w:val="1"/>
    </w:lvl>
    <w:lvl w:ilvl="1">
      <w:lvlJc w:val="left"/>
      <w:lvlText w:val="(%2)"/>
      <w:numFmt w:val="lowerRoman"/>
      <w:start w:val="3"/>
    </w:lvl>
  </w:abstractNum>
  <w:abstractNum w:abstractNumId="262">
    <w:nsid w:val="3BAB699E"/>
    <w:multiLevelType w:val="hybridMultilevel"/>
    <w:lvl w:ilvl="0">
      <w:lvlJc w:val="left"/>
      <w:lvlText w:val="(%1)"/>
      <w:numFmt w:val="lowerLetter"/>
      <w:start w:val="3"/>
    </w:lvl>
    <w:lvl w:ilvl="1">
      <w:lvlJc w:val="left"/>
      <w:lvlText w:val="(%2)"/>
      <w:numFmt w:val="lowerRoman"/>
      <w:start w:val="1"/>
    </w:lvl>
  </w:abstractNum>
  <w:abstractNum w:abstractNumId="263">
    <w:nsid w:val="713153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4">
    <w:nsid w:val="7BCFBAF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5">
    <w:nsid w:val="17859F7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266">
    <w:nsid w:val="3AA10581"/>
    <w:multiLevelType w:val="hybridMultilevel"/>
    <w:lvl w:ilvl="0">
      <w:lvlJc w:val="left"/>
      <w:lvlText w:val="%1."/>
      <w:numFmt w:val="decimal"/>
      <w:start w:val="5"/>
    </w:lvl>
    <w:lvl w:ilvl="1">
      <w:lvlJc w:val="left"/>
      <w:lvlText w:val="(%2)"/>
      <w:numFmt w:val="lowerLetter"/>
      <w:start w:val="1"/>
    </w:lvl>
  </w:abstractNum>
  <w:abstractNum w:abstractNumId="267">
    <w:nsid w:val="63DE60C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68">
    <w:nsid w:val="621AF47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9">
    <w:nsid w:val="73CFE165"/>
    <w:multiLevelType w:val="hybridMultilevel"/>
    <w:lvl w:ilvl="0">
      <w:lvlJc w:val="left"/>
      <w:lvlText w:val="%1"/>
      <w:numFmt w:val="decimal"/>
      <w:start w:val="1"/>
    </w:lvl>
    <w:lvl w:ilvl="1">
      <w:lvlJc w:val="left"/>
      <w:lvlText w:val="(%2)"/>
      <w:numFmt w:val="lowerLetter"/>
      <w:start w:val="3"/>
    </w:lvl>
  </w:abstractNum>
  <w:abstractNum w:abstractNumId="270">
    <w:nsid w:val="20F88EA6"/>
    <w:multiLevelType w:val="hybridMultilevel"/>
    <w:lvl w:ilvl="0">
      <w:lvlJc w:val="left"/>
      <w:lvlText w:val="%1."/>
      <w:numFmt w:val="decimal"/>
      <w:start w:val="7"/>
    </w:lvl>
    <w:lvl w:ilvl="1">
      <w:lvlJc w:val="left"/>
      <w:lvlText w:val="%2"/>
      <w:numFmt w:val="lowerLetter"/>
      <w:start w:val="1"/>
    </w:lvl>
  </w:abstractNum>
  <w:abstractNum w:abstractNumId="271">
    <w:nsid w:val="617C843E"/>
    <w:multiLevelType w:val="hybridMultilevel"/>
    <w:lvl w:ilvl="0">
      <w:lvlJc w:val="left"/>
      <w:lvlText w:val="%1."/>
      <w:numFmt w:val="decimal"/>
      <w:start w:val="9"/>
    </w:lvl>
  </w:abstractNum>
  <w:abstractNum w:abstractNumId="272">
    <w:nsid w:val="7B541FAB"/>
    <w:multiLevelType w:val="hybridMultilevel"/>
    <w:lvl w:ilvl="0">
      <w:lvlJc w:val="left"/>
      <w:lvlText w:val="%1."/>
      <w:numFmt w:val="decimal"/>
      <w:start w:val="10"/>
    </w:lvl>
    <w:lvl w:ilvl="1">
      <w:lvlJc w:val="left"/>
      <w:lvlText w:val="(%2)"/>
      <w:numFmt w:val="lowerLetter"/>
      <w:start w:val="1"/>
    </w:lvl>
  </w:abstractNum>
  <w:abstractNum w:abstractNumId="273">
    <w:nsid w:val="2A79EC49"/>
    <w:multiLevelType w:val="hybridMultilevel"/>
    <w:lvl w:ilvl="0">
      <w:lvlJc w:val="left"/>
      <w:lvlText w:val="%1."/>
      <w:numFmt w:val="decimal"/>
      <w:start w:val="1"/>
    </w:lvl>
  </w:abstractNum>
  <w:abstractNum w:abstractNumId="274">
    <w:nsid w:val="338125CF"/>
    <w:multiLevelType w:val="hybridMultilevel"/>
    <w:lvl w:ilvl="0">
      <w:lvlJc w:val="left"/>
      <w:lvlText w:val="(%1)"/>
      <w:numFmt w:val="lowerLetter"/>
      <w:start w:val="1"/>
    </w:lvl>
    <w:lvl w:ilvl="1">
      <w:lvlJc w:val="left"/>
      <w:lvlText w:val=","/>
      <w:numFmt w:val="bullet"/>
      <w:start w:val="1"/>
    </w:lvl>
  </w:abstractNum>
  <w:abstractNum w:abstractNumId="275">
    <w:nsid w:val="47C7C971"/>
    <w:multiLevelType w:val="hybridMultilevel"/>
    <w:lvl w:ilvl="0">
      <w:lvlJc w:val="left"/>
      <w:lvlText w:val="(%1)"/>
      <w:numFmt w:val="lowerLetter"/>
      <w:start w:val="1"/>
    </w:lvl>
  </w:abstractNum>
  <w:abstractNum w:abstractNumId="276">
    <w:nsid w:val="46F8284B"/>
    <w:multiLevelType w:val="hybridMultilevel"/>
    <w:lvl w:ilvl="0">
      <w:lvlJc w:val="left"/>
      <w:lvlText w:val="%1."/>
      <w:numFmt w:val="decimal"/>
      <w:start w:val="4"/>
    </w:lvl>
  </w:abstractNum>
  <w:abstractNum w:abstractNumId="277">
    <w:nsid w:val="4FA327CE"/>
    <w:multiLevelType w:val="hybridMultilevel"/>
    <w:lvl w:ilvl="0">
      <w:lvlJc w:val="left"/>
      <w:lvlText w:val="%1."/>
      <w:numFmt w:val="decimal"/>
      <w:start w:val="1"/>
    </w:lvl>
  </w:abstractNum>
  <w:abstractNum w:abstractNumId="278">
    <w:nsid w:val="1873983A"/>
    <w:multiLevelType w:val="hybridMultilevel"/>
    <w:lvl w:ilvl="0">
      <w:lvlJc w:val="left"/>
      <w:lvlText w:val="%1."/>
      <w:numFmt w:val="decimal"/>
      <w:start w:val="3"/>
    </w:lvl>
  </w:abstractNum>
  <w:abstractNum w:abstractNumId="279">
    <w:nsid w:val="3D2DD27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80">
    <w:nsid w:val="2E17ECA7"/>
    <w:multiLevelType w:val="hybridMultilevel"/>
    <w:lvl w:ilvl="0">
      <w:lvlJc w:val="left"/>
      <w:lvlText w:val="(%1)"/>
      <w:numFmt w:val="lowerRoman"/>
      <w:start w:val="2"/>
    </w:lvl>
  </w:abstractNum>
  <w:abstractNum w:abstractNumId="281">
    <w:nsid w:val="53B2564F"/>
    <w:multiLevelType w:val="hybridMultilevel"/>
    <w:lvl w:ilvl="0">
      <w:lvlJc w:val="left"/>
      <w:lvlText w:val="(%1)"/>
      <w:numFmt w:val="lowerLetter"/>
      <w:start w:val="2"/>
    </w:lvl>
    <w:lvl w:ilvl="1">
      <w:lvlJc w:val="left"/>
      <w:lvlText w:val="(%2)"/>
      <w:numFmt w:val="lowerRoman"/>
      <w:start w:val="1"/>
    </w:lvl>
  </w:abstractNum>
  <w:abstractNum w:abstractNumId="282">
    <w:nsid w:val="75509D76"/>
    <w:multiLevelType w:val="hybridMultilevel"/>
    <w:lvl w:ilvl="0">
      <w:lvlJc w:val="left"/>
      <w:lvlText w:val="%1"/>
      <w:numFmt w:val="decimal"/>
      <w:start w:val="1"/>
    </w:lvl>
    <w:lvl w:ilvl="1">
      <w:lvlJc w:val="left"/>
      <w:lvlText w:val="(%2)"/>
      <w:numFmt w:val="lowerLetter"/>
      <w:start w:val="5"/>
    </w:lvl>
  </w:abstractNum>
  <w:abstractNum w:abstractNumId="283">
    <w:nsid w:val="1AF7F0EA"/>
    <w:multiLevelType w:val="hybridMultilevel"/>
    <w:lvl w:ilvl="0">
      <w:lvlJc w:val="left"/>
      <w:lvlText w:val="%1."/>
      <w:numFmt w:val="decimal"/>
      <w:start w:val="4"/>
    </w:lvl>
    <w:lvl w:ilvl="1">
      <w:lvlJc w:val="left"/>
      <w:lvlText w:val="(%2)"/>
      <w:numFmt w:val="lowerLetter"/>
      <w:start w:val="1"/>
    </w:lvl>
  </w:abstractNum>
  <w:abstractNum w:abstractNumId="284">
    <w:nsid w:val="4DA32C7E"/>
    <w:multiLevelType w:val="hybridMultilevel"/>
    <w:lvl w:ilvl="0">
      <w:lvlJc w:val="left"/>
      <w:lvlText w:val="(%1)"/>
      <w:numFmt w:val="lowerLetter"/>
      <w:start w:val="2"/>
    </w:lvl>
  </w:abstractNum>
  <w:abstractNum w:abstractNumId="285">
    <w:nsid w:val="6EC686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86">
    <w:nsid w:val="E0D31FF"/>
    <w:multiLevelType w:val="hybridMultilevel"/>
    <w:lvl w:ilvl="0">
      <w:lvlJc w:val="left"/>
      <w:lvlText w:val="(%1)"/>
      <w:numFmt w:val="decimal"/>
      <w:start w:val="180"/>
    </w:lvl>
    <w:lvl w:ilvl="1">
      <w:lvlJc w:val="left"/>
      <w:lvlText w:val="%2."/>
      <w:numFmt w:val="decimal"/>
      <w:start w:val="8"/>
    </w:lvl>
    <w:lvl w:ilvl="2">
      <w:lvlJc w:val="left"/>
      <w:lvlText w:val="(%3)"/>
      <w:numFmt w:val="lowerLetter"/>
      <w:start w:val="1"/>
    </w:lvl>
  </w:abstractNum>
  <w:abstractNum w:abstractNumId="287">
    <w:nsid w:val="2FD0AD81"/>
    <w:multiLevelType w:val="hybridMultilevel"/>
    <w:lvl w:ilvl="0">
      <w:lvlJc w:val="left"/>
      <w:lvlText w:val="(%1)"/>
      <w:numFmt w:val="lowerLetter"/>
      <w:start w:val="8"/>
    </w:lvl>
  </w:abstractNum>
  <w:abstractNum w:abstractNumId="288">
    <w:nsid w:val="1978EBEB"/>
    <w:multiLevelType w:val="hybridMultilevel"/>
    <w:lvl w:ilvl="0">
      <w:lvlJc w:val="left"/>
      <w:lvlText w:val="%1."/>
      <w:numFmt w:val="decimal"/>
      <w:start w:val="2"/>
    </w:lvl>
  </w:abstractNum>
  <w:abstractNum w:abstractNumId="289">
    <w:nsid w:val="52C12C6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0">
    <w:nsid w:val="4BDD53F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1">
    <w:nsid w:val="569951F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2">
    <w:nsid w:val="4C54E2C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3">
    <w:nsid w:val="788BD9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94">
    <w:nsid w:val="47CAA5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5">
    <w:nsid w:val="48249DB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96">
    <w:nsid w:val="1F0E5D0D"/>
    <w:multiLevelType w:val="hybridMultilevel"/>
    <w:lvl w:ilvl="0">
      <w:lvlJc w:val="left"/>
      <w:lvlText w:val="%1."/>
      <w:numFmt w:val="decimal"/>
      <w:start w:val="9"/>
    </w:lvl>
  </w:abstractNum>
  <w:abstractNum w:abstractNumId="297">
    <w:nsid w:val="26BAAE9"/>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98">
    <w:nsid w:val="2C02FE8C"/>
    <w:multiLevelType w:val="hybridMultilevel"/>
    <w:lvl w:ilvl="0">
      <w:lvlJc w:val="left"/>
      <w:lvlText w:val="(%1)"/>
      <w:numFmt w:val="lowerRoman"/>
      <w:start w:val="2"/>
    </w:lvl>
  </w:abstractNum>
  <w:abstractNum w:abstractNumId="299">
    <w:nsid w:val="129517E"/>
    <w:multiLevelType w:val="hybridMultilevel"/>
    <w:lvl w:ilvl="0">
      <w:lvlJc w:val="left"/>
      <w:lvlText w:val="(%1)"/>
      <w:numFmt w:val="upperLetter"/>
      <w:start w:val="1"/>
    </w:lvl>
  </w:abstractNum>
  <w:abstractNum w:abstractNumId="300">
    <w:nsid w:val="763B8C4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301">
    <w:nsid w:val="4CFB8D32"/>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35"/>
    </w:lvl>
  </w:abstractNum>
  <w:abstractNum w:abstractNumId="302">
    <w:nsid w:val="62A5D5BD"/>
    <w:multiLevelType w:val="hybridMultilevel"/>
    <w:lvl w:ilvl="0">
      <w:lvlJc w:val="left"/>
      <w:lvlText w:val="%1"/>
      <w:numFmt w:val="lowerLetter"/>
      <w:start w:val="1"/>
    </w:lvl>
    <w:lvl w:ilvl="1">
      <w:lvlJc w:val="left"/>
      <w:lvlText w:val="(%2)"/>
      <w:numFmt w:val="lowerRoman"/>
      <w:start w:val="3"/>
    </w:lvl>
  </w:abstractNum>
  <w:abstractNum w:abstractNumId="303">
    <w:nsid w:val="718FABF9"/>
    <w:multiLevelType w:val="hybridMultilevel"/>
    <w:lvl w:ilvl="0">
      <w:lvlJc w:val="left"/>
      <w:lvlText w:val="(%1)"/>
      <w:numFmt w:val="lowerLetter"/>
      <w:start w:val="3"/>
    </w:lvl>
    <w:lvl w:ilvl="1">
      <w:lvlJc w:val="left"/>
      <w:lvlText w:val="(%2)"/>
      <w:numFmt w:val="lowerRoman"/>
      <w:start w:val="1"/>
    </w:lvl>
  </w:abstractNum>
  <w:abstractNum w:abstractNumId="304">
    <w:nsid w:val="777579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05">
    <w:nsid w:val="1626FB8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06">
    <w:nsid w:val="3957756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07">
    <w:nsid w:val="3E6DA1C7"/>
    <w:multiLevelType w:val="hybridMultilevel"/>
    <w:lvl w:ilvl="0">
      <w:lvlJc w:val="left"/>
      <w:lvlText w:val="%1."/>
      <w:numFmt w:val="decimal"/>
      <w:start w:val="5"/>
    </w:lvl>
    <w:lvl w:ilvl="1">
      <w:lvlJc w:val="left"/>
      <w:lvlText w:val="(%2)"/>
      <w:numFmt w:val="lowerLetter"/>
      <w:start w:val="1"/>
    </w:lvl>
  </w:abstractNum>
  <w:abstractNum w:abstractNumId="308">
    <w:nsid w:val="65CA235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09">
    <w:nsid w:val="51CB0DA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310">
    <w:nsid w:val="7B9B743C"/>
    <w:multiLevelType w:val="hybridMultilevel"/>
    <w:lvl w:ilvl="0">
      <w:lvlJc w:val="left"/>
      <w:lvlText w:val="%1"/>
      <w:numFmt w:val="decimal"/>
      <w:start w:val="1"/>
    </w:lvl>
    <w:lvl w:ilvl="1">
      <w:lvlJc w:val="left"/>
      <w:lvlText w:val="(%2)"/>
      <w:numFmt w:val="lowerLetter"/>
      <w:start w:val="3"/>
    </w:lvl>
  </w:abstractNum>
  <w:abstractNum w:abstractNumId="311">
    <w:nsid w:val="13E21002"/>
    <w:multiLevelType w:val="hybridMultilevel"/>
    <w:lvl w:ilvl="0">
      <w:lvlJc w:val="left"/>
      <w:lvlText w:val="%1."/>
      <w:numFmt w:val="decimal"/>
      <w:start w:val="7"/>
    </w:lvl>
    <w:lvl w:ilvl="1">
      <w:lvlJc w:val="left"/>
      <w:lvlText w:val="%2"/>
      <w:numFmt w:val="lowerLetter"/>
      <w:start w:val="1"/>
    </w:lvl>
  </w:abstractNum>
  <w:abstractNum w:abstractNumId="312">
    <w:nsid w:val="257D63F4"/>
    <w:multiLevelType w:val="hybridMultilevel"/>
    <w:lvl w:ilvl="0">
      <w:lvlJc w:val="left"/>
      <w:lvlText w:val="%1."/>
      <w:numFmt w:val="decimal"/>
      <w:start w:val="9"/>
    </w:lvl>
  </w:abstractNum>
  <w:abstractNum w:abstractNumId="313">
    <w:nsid w:val="70EC11B2"/>
    <w:multiLevelType w:val="hybridMultilevel"/>
    <w:lvl w:ilvl="0">
      <w:lvlJc w:val="left"/>
      <w:lvlText w:val="%1."/>
      <w:numFmt w:val="decimal"/>
      <w:start w:val="10"/>
    </w:lvl>
    <w:lvl w:ilvl="1">
      <w:lvlJc w:val="left"/>
      <w:lvlText w:val="(%2)"/>
      <w:numFmt w:val="lowerLetter"/>
      <w:start w:val="1"/>
    </w:lvl>
  </w:abstractNum>
  <w:abstractNum w:abstractNumId="314">
    <w:nsid w:val="2EDA00ED"/>
    <w:multiLevelType w:val="hybridMultilevel"/>
    <w:lvl w:ilvl="0">
      <w:lvlJc w:val="left"/>
      <w:lvlText w:val="%1."/>
      <w:numFmt w:val="decimal"/>
      <w:start w:val="1"/>
    </w:lvl>
  </w:abstractNum>
  <w:abstractNum w:abstractNumId="315">
    <w:nsid w:val="73209072"/>
    <w:multiLevelType w:val="hybridMultilevel"/>
    <w:lvl w:ilvl="0">
      <w:lvlJc w:val="left"/>
      <w:lvlText w:val="(%1)"/>
      <w:numFmt w:val="lowerLetter"/>
      <w:start w:val="1"/>
    </w:lvl>
    <w:lvl w:ilvl="1">
      <w:lvlJc w:val="left"/>
      <w:lvlText w:val=","/>
      <w:numFmt w:val="bullet"/>
      <w:start w:val="1"/>
    </w:lvl>
  </w:abstractNum>
  <w:abstractNum w:abstractNumId="316">
    <w:nsid w:val="5FB29816"/>
    <w:multiLevelType w:val="hybridMultilevel"/>
    <w:lvl w:ilvl="0">
      <w:lvlJc w:val="left"/>
      <w:lvlText w:val="(%1)"/>
      <w:numFmt w:val="lowerLetter"/>
      <w:start w:val="1"/>
    </w:lvl>
  </w:abstractNum>
  <w:abstractNum w:abstractNumId="317">
    <w:nsid w:val="3CE732EC"/>
    <w:multiLevelType w:val="hybridMultilevel"/>
    <w:lvl w:ilvl="0">
      <w:lvlJc w:val="left"/>
      <w:lvlText w:val="%1."/>
      <w:numFmt w:val="decimal"/>
      <w:start w:val="4"/>
    </w:lvl>
  </w:abstractNum>
  <w:abstractNum w:abstractNumId="318">
    <w:nsid w:val="22F13DF3"/>
    <w:multiLevelType w:val="hybridMultilevel"/>
    <w:lvl w:ilvl="0">
      <w:lvlJc w:val="left"/>
      <w:lvlText w:val="%1."/>
      <w:numFmt w:val="decimal"/>
      <w:start w:val="1"/>
    </w:lvl>
  </w:abstractNum>
  <w:abstractNum w:abstractNumId="319">
    <w:nsid w:val="792B8401"/>
    <w:multiLevelType w:val="hybridMultilevel"/>
    <w:lvl w:ilvl="0">
      <w:lvlJc w:val="left"/>
      <w:lvlText w:val="%1."/>
      <w:numFmt w:val="decimal"/>
      <w:start w:val="3"/>
    </w:lvl>
  </w:abstractNum>
  <w:abstractNum w:abstractNumId="320">
    <w:nsid w:val="FA85F4D"/>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321">
    <w:nsid w:val="6ECE91F0"/>
    <w:multiLevelType w:val="hybridMultilevel"/>
    <w:lvl w:ilvl="0">
      <w:lvlJc w:val="left"/>
      <w:lvlText w:val="(%1)"/>
      <w:numFmt w:val="lowerRoman"/>
      <w:start w:val="2"/>
    </w:lvl>
  </w:abstractNum>
  <w:abstractNum w:abstractNumId="322">
    <w:nsid w:val="4FC4D600"/>
    <w:multiLevelType w:val="hybridMultilevel"/>
    <w:lvl w:ilvl="0">
      <w:lvlJc w:val="left"/>
      <w:lvlText w:val="(%1)"/>
      <w:numFmt w:val="lowerLetter"/>
      <w:start w:val="2"/>
    </w:lvl>
    <w:lvl w:ilvl="1">
      <w:lvlJc w:val="left"/>
      <w:lvlText w:val="(%2)"/>
      <w:numFmt w:val="lowerRoman"/>
      <w:start w:val="1"/>
    </w:lvl>
  </w:abstractNum>
  <w:abstractNum w:abstractNumId="323">
    <w:nsid w:val="5BFD4210"/>
    <w:multiLevelType w:val="hybridMultilevel"/>
    <w:lvl w:ilvl="0">
      <w:lvlJc w:val="left"/>
      <w:lvlText w:val="%1"/>
      <w:numFmt w:val="decimal"/>
      <w:start w:val="1"/>
    </w:lvl>
    <w:lvl w:ilvl="1">
      <w:lvlJc w:val="left"/>
      <w:lvlText w:val="(%2)"/>
      <w:numFmt w:val="lowerLetter"/>
      <w:start w:val="5"/>
    </w:lvl>
  </w:abstractNum>
  <w:abstractNum w:abstractNumId="324">
    <w:nsid w:val="76574F8B"/>
    <w:multiLevelType w:val="hybridMultilevel"/>
    <w:lvl w:ilvl="0">
      <w:lvlJc w:val="left"/>
      <w:lvlText w:val="%1."/>
      <w:numFmt w:val="decimal"/>
      <w:start w:val="4"/>
    </w:lvl>
    <w:lvl w:ilvl="1">
      <w:lvlJc w:val="left"/>
      <w:lvlText w:val="(%2)"/>
      <w:numFmt w:val="lowerLetter"/>
      <w:start w:val="1"/>
    </w:lvl>
  </w:abstractNum>
  <w:abstractNum w:abstractNumId="325">
    <w:nsid w:val="178F7B67"/>
    <w:multiLevelType w:val="hybridMultilevel"/>
    <w:lvl w:ilvl="0">
      <w:lvlJc w:val="left"/>
      <w:lvlText w:val="(%1)"/>
      <w:numFmt w:val="lowerLetter"/>
      <w:start w:val="2"/>
    </w:lvl>
  </w:abstractNum>
  <w:abstractNum w:abstractNumId="326">
    <w:nsid w:val="2421DFC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7">
    <w:nsid w:val="1565AC99"/>
    <w:multiLevelType w:val="hybridMultilevel"/>
    <w:lvl w:ilvl="0">
      <w:lvlJc w:val="left"/>
      <w:lvlText w:val="(%1)"/>
      <w:numFmt w:val="decimal"/>
      <w:start w:val="180"/>
    </w:lvl>
    <w:lvl w:ilvl="1">
      <w:lvlJc w:val="left"/>
      <w:lvlText w:val="%2."/>
      <w:numFmt w:val="decimal"/>
      <w:start w:val="8"/>
    </w:lvl>
    <w:lvl w:ilvl="2">
      <w:lvlJc w:val="left"/>
      <w:lvlText w:val="(%3)"/>
      <w:numFmt w:val="lowerLetter"/>
      <w:start w:val="1"/>
    </w:lvl>
  </w:abstractNum>
  <w:abstractNum w:abstractNumId="328">
    <w:nsid w:val="19FB2650"/>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2019-12-08T19:38:50Z</dcterms:created>
  <dcterms:modified xsi:type="dcterms:W3CDTF">2019-12-08T19:38:50Z</dcterms:modified>
</cp:coreProperties>
</file>