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172085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57150</wp:posOffset>
            </wp:positionV>
            <wp:extent cx="1644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76200</wp:posOffset>
            </wp:positionV>
            <wp:extent cx="1644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4260" w:right="3820" w:hanging="4255"/>
        <w:spacing w:after="0" w:line="386" w:lineRule="auto"/>
        <w:tabs>
          <w:tab w:leader="none" w:pos="583"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2021</w:t>
      </w:r>
    </w:p>
    <w:p>
      <w:pPr>
        <w:spacing w:after="0" w:line="121" w:lineRule="exact"/>
        <w:rPr>
          <w:sz w:val="24"/>
          <w:szCs w:val="24"/>
          <w:color w:val="auto"/>
        </w:rPr>
      </w:pPr>
    </w:p>
    <w:p>
      <w:pPr>
        <w:ind w:left="580" w:hanging="575"/>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540" w:type="dxa"/>
            <w:vAlign w:val="bottom"/>
            <w:gridSpan w:val="3"/>
          </w:tcPr>
          <w:p>
            <w:pPr>
              <w:ind w:left="680"/>
              <w:spacing w:after="0"/>
              <w:rPr>
                <w:sz w:val="20"/>
                <w:szCs w:val="20"/>
                <w:color w:val="auto"/>
              </w:rPr>
            </w:pPr>
            <w:r>
              <w:rPr>
                <w:rFonts w:ascii="Arial" w:cs="Arial" w:eastAsia="Arial" w:hAnsi="Arial"/>
                <w:sz w:val="14"/>
                <w:szCs w:val="14"/>
                <w:b w:val="1"/>
                <w:bCs w:val="1"/>
                <w:color w:val="auto"/>
                <w:w w:val="91"/>
              </w:rPr>
              <w:t>For the Transition Period from</w:t>
            </w:r>
          </w:p>
        </w:tc>
        <w:tc>
          <w:tcPr>
            <w:tcW w:w="840" w:type="dxa"/>
            <w:vAlign w:val="bottom"/>
            <w:tcBorders>
              <w:bottom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w w:val="90"/>
              </w:rPr>
              <w:t>to</w:t>
            </w:r>
          </w:p>
        </w:tc>
        <w:tc>
          <w:tcPr>
            <w:tcW w:w="840" w:type="dxa"/>
            <w:vAlign w:val="bottom"/>
            <w:tcBorders>
              <w:bottom w:val="single" w:sz="8" w:color="auto"/>
            </w:tcBorders>
            <w:gridSpan w:val="2"/>
          </w:tcPr>
          <w:p>
            <w:pPr>
              <w:spacing w:after="0"/>
              <w:rPr>
                <w:sz w:val="14"/>
                <w:szCs w:val="14"/>
                <w:color w:val="auto"/>
              </w:rPr>
            </w:pPr>
          </w:p>
        </w:tc>
        <w:tc>
          <w:tcPr>
            <w:tcW w:w="3200" w:type="dxa"/>
            <w:vAlign w:val="bottom"/>
          </w:tcPr>
          <w:p>
            <w:pPr>
              <w:spacing w:after="0"/>
              <w:rPr>
                <w:sz w:val="14"/>
                <w:szCs w:val="14"/>
                <w:color w:val="auto"/>
              </w:rPr>
            </w:pPr>
          </w:p>
        </w:tc>
      </w:tr>
      <w:tr>
        <w:trPr>
          <w:trHeight w:val="206"/>
        </w:trPr>
        <w:tc>
          <w:tcPr>
            <w:tcW w:w="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60" w:type="dxa"/>
            <w:vAlign w:val="bottom"/>
            <w:gridSpan w:val="8"/>
          </w:tcPr>
          <w:p>
            <w:pPr>
              <w:jc w:val="center"/>
              <w:ind w:right="3679"/>
              <w:spacing w:after="0"/>
              <w:rPr>
                <w:sz w:val="20"/>
                <w:szCs w:val="20"/>
                <w:color w:val="auto"/>
              </w:rPr>
            </w:pPr>
            <w:r>
              <w:rPr>
                <w:rFonts w:ascii="Arial" w:cs="Arial" w:eastAsia="Arial" w:hAnsi="Arial"/>
                <w:sz w:val="14"/>
                <w:szCs w:val="14"/>
                <w:b w:val="1"/>
                <w:bCs w:val="1"/>
                <w:color w:val="auto"/>
                <w:w w:val="90"/>
              </w:rPr>
              <w:t>Commission File Number: 001-37708</w:t>
            </w:r>
          </w:p>
        </w:tc>
      </w:tr>
      <w:tr>
        <w:trPr>
          <w:trHeight w:val="63"/>
        </w:trPr>
        <w:tc>
          <w:tcPr>
            <w:tcW w:w="1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200" w:type="dxa"/>
            <w:vAlign w:val="bottom"/>
          </w:tcPr>
          <w:p>
            <w:pPr>
              <w:spacing w:after="0"/>
              <w:rPr>
                <w:sz w:val="5"/>
                <w:szCs w:val="5"/>
                <w:color w:val="auto"/>
              </w:rPr>
            </w:pPr>
          </w:p>
        </w:tc>
      </w:tr>
      <w:tr>
        <w:trPr>
          <w:trHeight w:val="439"/>
        </w:trPr>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0" w:type="dxa"/>
            <w:vAlign w:val="bottom"/>
            <w:gridSpan w:val="10"/>
          </w:tcPr>
          <w:p>
            <w:pPr>
              <w:jc w:val="center"/>
              <w:ind w:right="2459"/>
              <w:spacing w:after="0"/>
              <w:rPr>
                <w:sz w:val="20"/>
                <w:szCs w:val="20"/>
                <w:color w:val="auto"/>
              </w:rPr>
            </w:pPr>
            <w:r>
              <w:rPr>
                <w:rFonts w:ascii="Arial" w:cs="Arial" w:eastAsia="Arial" w:hAnsi="Arial"/>
                <w:sz w:val="35"/>
                <w:szCs w:val="35"/>
                <w:b w:val="1"/>
                <w:bCs w:val="1"/>
                <w:color w:val="auto"/>
                <w:w w:val="90"/>
              </w:rPr>
              <w:t>Syndax Pharmaceuticals, Inc.</w:t>
            </w:r>
          </w:p>
        </w:tc>
      </w:tr>
      <w:tr>
        <w:trPr>
          <w:trHeight w:val="205"/>
        </w:trPr>
        <w:tc>
          <w:tcPr>
            <w:tcW w:w="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600" w:type="dxa"/>
            <w:vAlign w:val="bottom"/>
            <w:gridSpan w:val="10"/>
          </w:tcPr>
          <w:p>
            <w:pPr>
              <w:jc w:val="center"/>
              <w:ind w:right="2459"/>
              <w:spacing w:after="0"/>
              <w:rPr>
                <w:sz w:val="20"/>
                <w:szCs w:val="20"/>
                <w:color w:val="auto"/>
              </w:rPr>
            </w:pPr>
            <w:r>
              <w:rPr>
                <w:rFonts w:ascii="Arial" w:cs="Arial" w:eastAsia="Arial" w:hAnsi="Arial"/>
                <w:sz w:val="16"/>
                <w:szCs w:val="16"/>
                <w:b w:val="1"/>
                <w:bCs w:val="1"/>
                <w:color w:val="auto"/>
                <w:w w:val="88"/>
              </w:rPr>
              <w:t>(Exact name of Registrant as specified in its charter)</w:t>
            </w:r>
          </w:p>
        </w:tc>
      </w:tr>
      <w:tr>
        <w:trPr>
          <w:trHeight w:val="99"/>
        </w:trPr>
        <w:tc>
          <w:tcPr>
            <w:tcW w:w="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98"/>
        </w:trPr>
        <w:tc>
          <w:tcPr>
            <w:tcW w:w="160" w:type="dxa"/>
            <w:vAlign w:val="bottom"/>
          </w:tcPr>
          <w:p>
            <w:pPr>
              <w:spacing w:after="0"/>
              <w:rPr>
                <w:sz w:val="17"/>
                <w:szCs w:val="17"/>
                <w:color w:val="auto"/>
              </w:rPr>
            </w:pPr>
          </w:p>
        </w:tc>
        <w:tc>
          <w:tcPr>
            <w:tcW w:w="2480" w:type="dxa"/>
            <w:vAlign w:val="bottom"/>
          </w:tcPr>
          <w:p>
            <w:pPr>
              <w:jc w:val="center"/>
              <w:ind w:left="16"/>
              <w:spacing w:after="0"/>
              <w:rPr>
                <w:sz w:val="20"/>
                <w:szCs w:val="20"/>
                <w:color w:val="auto"/>
              </w:rPr>
            </w:pPr>
            <w:r>
              <w:rPr>
                <w:rFonts w:ascii="Arial" w:cs="Arial" w:eastAsia="Arial" w:hAnsi="Arial"/>
                <w:sz w:val="14"/>
                <w:szCs w:val="14"/>
                <w:b w:val="1"/>
                <w:bCs w:val="1"/>
                <w:color w:val="auto"/>
                <w:w w:val="91"/>
              </w:rPr>
              <w:t>Delaware</w:t>
            </w:r>
          </w:p>
        </w:tc>
        <w:tc>
          <w:tcPr>
            <w:tcW w:w="2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2834</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80" w:type="dxa"/>
            <w:vAlign w:val="bottom"/>
            <w:gridSpan w:val="4"/>
          </w:tcPr>
          <w:p>
            <w:pPr>
              <w:jc w:val="center"/>
              <w:ind w:left="1494"/>
              <w:spacing w:after="0"/>
              <w:rPr>
                <w:sz w:val="20"/>
                <w:szCs w:val="20"/>
                <w:color w:val="auto"/>
              </w:rPr>
            </w:pPr>
            <w:r>
              <w:rPr>
                <w:rFonts w:ascii="Arial" w:cs="Arial" w:eastAsia="Arial" w:hAnsi="Arial"/>
                <w:sz w:val="14"/>
                <w:szCs w:val="14"/>
                <w:b w:val="1"/>
                <w:bCs w:val="1"/>
                <w:color w:val="auto"/>
                <w:w w:val="88"/>
              </w:rPr>
              <w:t>32-0162505</w:t>
            </w:r>
          </w:p>
        </w:tc>
      </w:tr>
      <w:tr>
        <w:trPr>
          <w:trHeight w:val="131"/>
        </w:trPr>
        <w:tc>
          <w:tcPr>
            <w:tcW w:w="160" w:type="dxa"/>
            <w:vAlign w:val="bottom"/>
          </w:tcPr>
          <w:p>
            <w:pPr>
              <w:spacing w:after="0"/>
              <w:rPr>
                <w:sz w:val="11"/>
                <w:szCs w:val="11"/>
                <w:color w:val="auto"/>
              </w:rPr>
            </w:pPr>
          </w:p>
        </w:tc>
        <w:tc>
          <w:tcPr>
            <w:tcW w:w="2480" w:type="dxa"/>
            <w:vAlign w:val="bottom"/>
          </w:tcPr>
          <w:p>
            <w:pPr>
              <w:jc w:val="center"/>
              <w:ind w:left="16"/>
              <w:spacing w:after="0" w:line="132" w:lineRule="exact"/>
              <w:rPr>
                <w:sz w:val="20"/>
                <w:szCs w:val="20"/>
                <w:color w:val="auto"/>
              </w:rPr>
            </w:pPr>
            <w:r>
              <w:rPr>
                <w:rFonts w:ascii="Arial" w:cs="Arial" w:eastAsia="Arial" w:hAnsi="Arial"/>
                <w:sz w:val="12"/>
                <w:szCs w:val="12"/>
                <w:b w:val="1"/>
                <w:bCs w:val="1"/>
                <w:color w:val="auto"/>
                <w:w w:val="94"/>
              </w:rPr>
              <w:t>(State or Other Jurisdiction of</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80" w:type="dxa"/>
            <w:vAlign w:val="bottom"/>
            <w:gridSpan w:val="4"/>
          </w:tcPr>
          <w:p>
            <w:pPr>
              <w:jc w:val="center"/>
              <w:ind w:left="354"/>
              <w:spacing w:after="0" w:line="132" w:lineRule="exact"/>
              <w:rPr>
                <w:sz w:val="20"/>
                <w:szCs w:val="20"/>
                <w:color w:val="auto"/>
              </w:rPr>
            </w:pPr>
            <w:r>
              <w:rPr>
                <w:rFonts w:ascii="Arial" w:cs="Arial" w:eastAsia="Arial" w:hAnsi="Arial"/>
                <w:sz w:val="12"/>
                <w:szCs w:val="12"/>
                <w:b w:val="1"/>
                <w:bCs w:val="1"/>
                <w:color w:val="auto"/>
                <w:w w:val="96"/>
              </w:rPr>
              <w:t>(Primary Standard Industrial</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0" w:type="dxa"/>
            <w:vAlign w:val="bottom"/>
          </w:tcPr>
          <w:p>
            <w:pPr>
              <w:jc w:val="center"/>
              <w:ind w:left="519"/>
              <w:spacing w:after="0" w:line="132" w:lineRule="exact"/>
              <w:rPr>
                <w:sz w:val="20"/>
                <w:szCs w:val="20"/>
                <w:color w:val="auto"/>
              </w:rPr>
            </w:pPr>
            <w:r>
              <w:rPr>
                <w:rFonts w:ascii="Arial" w:cs="Arial" w:eastAsia="Arial" w:hAnsi="Arial"/>
                <w:sz w:val="12"/>
                <w:szCs w:val="12"/>
                <w:b w:val="1"/>
                <w:bCs w:val="1"/>
                <w:color w:val="auto"/>
                <w:w w:val="97"/>
              </w:rPr>
              <w:t>(I.R.S. Employer</w:t>
            </w:r>
          </w:p>
        </w:tc>
      </w:tr>
      <w:tr>
        <w:trPr>
          <w:trHeight w:val="159"/>
        </w:trPr>
        <w:tc>
          <w:tcPr>
            <w:tcW w:w="160" w:type="dxa"/>
            <w:vAlign w:val="bottom"/>
          </w:tcPr>
          <w:p>
            <w:pPr>
              <w:spacing w:after="0"/>
              <w:rPr>
                <w:sz w:val="13"/>
                <w:szCs w:val="13"/>
                <w:color w:val="auto"/>
              </w:rPr>
            </w:pPr>
          </w:p>
        </w:tc>
        <w:tc>
          <w:tcPr>
            <w:tcW w:w="2480" w:type="dxa"/>
            <w:vAlign w:val="bottom"/>
          </w:tcPr>
          <w:p>
            <w:pPr>
              <w:jc w:val="center"/>
              <w:ind w:left="16"/>
              <w:spacing w:after="0"/>
              <w:rPr>
                <w:sz w:val="20"/>
                <w:szCs w:val="20"/>
                <w:color w:val="auto"/>
              </w:rPr>
            </w:pPr>
            <w:r>
              <w:rPr>
                <w:rFonts w:ascii="Arial" w:cs="Arial" w:eastAsia="Arial" w:hAnsi="Arial"/>
                <w:sz w:val="12"/>
                <w:szCs w:val="12"/>
                <w:b w:val="1"/>
                <w:bCs w:val="1"/>
                <w:color w:val="auto"/>
                <w:w w:val="94"/>
              </w:rPr>
              <w:t>Incorporation or Organization)</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80" w:type="dxa"/>
            <w:vAlign w:val="bottom"/>
            <w:gridSpan w:val="4"/>
          </w:tcPr>
          <w:p>
            <w:pPr>
              <w:jc w:val="center"/>
              <w:ind w:left="354"/>
              <w:spacing w:after="0"/>
              <w:rPr>
                <w:sz w:val="20"/>
                <w:szCs w:val="20"/>
                <w:color w:val="auto"/>
              </w:rPr>
            </w:pPr>
            <w:r>
              <w:rPr>
                <w:rFonts w:ascii="Arial" w:cs="Arial" w:eastAsia="Arial" w:hAnsi="Arial"/>
                <w:sz w:val="12"/>
                <w:szCs w:val="12"/>
                <w:b w:val="1"/>
                <w:bCs w:val="1"/>
                <w:color w:val="auto"/>
                <w:w w:val="92"/>
              </w:rPr>
              <w:t>Classification Code Number)</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0" w:type="dxa"/>
            <w:vAlign w:val="bottom"/>
          </w:tcPr>
          <w:p>
            <w:pPr>
              <w:jc w:val="center"/>
              <w:ind w:left="519"/>
              <w:spacing w:after="0"/>
              <w:rPr>
                <w:sz w:val="20"/>
                <w:szCs w:val="20"/>
                <w:color w:val="auto"/>
              </w:rPr>
            </w:pPr>
            <w:r>
              <w:rPr>
                <w:rFonts w:ascii="Arial" w:cs="Arial" w:eastAsia="Arial" w:hAnsi="Arial"/>
                <w:sz w:val="12"/>
                <w:szCs w:val="12"/>
                <w:b w:val="1"/>
                <w:bCs w:val="1"/>
                <w:color w:val="auto"/>
                <w:w w:val="95"/>
              </w:rPr>
              <w:t>Identification Number)</w:t>
            </w:r>
          </w:p>
        </w:tc>
      </w:tr>
      <w:tr>
        <w:trPr>
          <w:trHeight w:val="191"/>
        </w:trPr>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360" w:type="dxa"/>
            <w:vAlign w:val="bottom"/>
            <w:gridSpan w:val="8"/>
          </w:tcPr>
          <w:p>
            <w:pPr>
              <w:jc w:val="center"/>
              <w:ind w:right="3699"/>
              <w:spacing w:after="0"/>
              <w:rPr>
                <w:sz w:val="20"/>
                <w:szCs w:val="20"/>
                <w:color w:val="auto"/>
              </w:rPr>
            </w:pPr>
            <w:r>
              <w:rPr>
                <w:rFonts w:ascii="Arial" w:cs="Arial" w:eastAsia="Arial" w:hAnsi="Arial"/>
                <w:sz w:val="14"/>
                <w:szCs w:val="14"/>
                <w:b w:val="1"/>
                <w:bCs w:val="1"/>
                <w:color w:val="auto"/>
                <w:w w:val="91"/>
              </w:rPr>
              <w:t>35 Gatehouse Drive, Building D, Floor 3</w:t>
            </w:r>
          </w:p>
        </w:tc>
      </w:tr>
      <w:tr>
        <w:trPr>
          <w:trHeight w:val="183"/>
        </w:trPr>
        <w:tc>
          <w:tcPr>
            <w:tcW w:w="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360" w:type="dxa"/>
            <w:vAlign w:val="bottom"/>
            <w:gridSpan w:val="8"/>
          </w:tcPr>
          <w:p>
            <w:pPr>
              <w:jc w:val="center"/>
              <w:ind w:right="3699"/>
              <w:spacing w:after="0"/>
              <w:rPr>
                <w:sz w:val="20"/>
                <w:szCs w:val="20"/>
                <w:color w:val="auto"/>
              </w:rPr>
            </w:pPr>
            <w:r>
              <w:rPr>
                <w:rFonts w:ascii="Arial" w:cs="Arial" w:eastAsia="Arial" w:hAnsi="Arial"/>
                <w:sz w:val="14"/>
                <w:szCs w:val="14"/>
                <w:b w:val="1"/>
                <w:bCs w:val="1"/>
                <w:color w:val="auto"/>
                <w:w w:val="89"/>
              </w:rPr>
              <w:t>Waltham, Massachusetts 02451</w:t>
            </w:r>
          </w:p>
        </w:tc>
      </w:tr>
      <w:tr>
        <w:trPr>
          <w:trHeight w:val="190"/>
        </w:trPr>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3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(781) 419-1400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45"/>
        </w:trPr>
        <w:tc>
          <w:tcPr>
            <w:tcW w:w="160" w:type="dxa"/>
            <w:vAlign w:val="bottom"/>
          </w:tcPr>
          <w:p>
            <w:pPr>
              <w:spacing w:after="0"/>
              <w:rPr>
                <w:sz w:val="12"/>
                <w:szCs w:val="12"/>
                <w:color w:val="auto"/>
              </w:rPr>
            </w:pPr>
          </w:p>
        </w:tc>
        <w:tc>
          <w:tcPr>
            <w:tcW w:w="10080" w:type="dxa"/>
            <w:vAlign w:val="bottom"/>
            <w:gridSpan w:val="11"/>
          </w:tcPr>
          <w:p>
            <w:pPr>
              <w:jc w:val="center"/>
              <w:spacing w:after="0"/>
              <w:rPr>
                <w:sz w:val="20"/>
                <w:szCs w:val="20"/>
                <w:color w:val="auto"/>
              </w:rPr>
            </w:pPr>
            <w:r>
              <w:rPr>
                <w:rFonts w:ascii="Arial" w:cs="Arial" w:eastAsia="Arial" w:hAnsi="Arial"/>
                <w:sz w:val="12"/>
                <w:szCs w:val="12"/>
                <w:b w:val="1"/>
                <w:bCs w:val="1"/>
                <w:color w:val="auto"/>
                <w:w w:val="92"/>
              </w:rPr>
              <w:t>(Address, Including Zip Code, and Telephone Number, Including Area Code, of Registrant’s Principal Executive Offices)</w:t>
            </w:r>
          </w:p>
        </w:tc>
      </w:tr>
      <w:tr>
        <w:trPr>
          <w:trHeight w:val="159"/>
        </w:trPr>
        <w:tc>
          <w:tcPr>
            <w:tcW w:w="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720" w:type="dxa"/>
            <w:vAlign w:val="bottom"/>
            <w:gridSpan w:val="9"/>
          </w:tcPr>
          <w:p>
            <w:pPr>
              <w:jc w:val="center"/>
              <w:ind w:right="3339"/>
              <w:spacing w:after="0"/>
              <w:rPr>
                <w:sz w:val="20"/>
                <w:szCs w:val="20"/>
                <w:color w:val="auto"/>
              </w:rPr>
            </w:pPr>
            <w:r>
              <w:rPr>
                <w:rFonts w:ascii="Arial" w:cs="Arial" w:eastAsia="Arial" w:hAnsi="Arial"/>
                <w:sz w:val="12"/>
                <w:szCs w:val="12"/>
                <w:b w:val="1"/>
                <w:bCs w:val="1"/>
                <w:color w:val="auto"/>
                <w:w w:val="91"/>
              </w:rPr>
              <w:t>Securities registered pursuant to Section 12(b) of the Act:</w:t>
            </w:r>
          </w:p>
        </w:tc>
      </w:tr>
      <w:tr>
        <w:trPr>
          <w:trHeight w:val="135"/>
        </w:trPr>
        <w:tc>
          <w:tcPr>
            <w:tcW w:w="160" w:type="dxa"/>
            <w:vAlign w:val="bottom"/>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2480" w:type="dxa"/>
            <w:vAlign w:val="bottom"/>
            <w:tcBorders>
              <w:bottom w:val="single" w:sz="8" w:color="auto"/>
            </w:tcBorders>
          </w:tcPr>
          <w:p>
            <w:pPr>
              <w:jc w:val="center"/>
              <w:ind w:left="756"/>
              <w:spacing w:after="0"/>
              <w:rPr>
                <w:sz w:val="20"/>
                <w:szCs w:val="20"/>
                <w:color w:val="auto"/>
              </w:rPr>
            </w:pPr>
            <w:r>
              <w:rPr>
                <w:rFonts w:ascii="Arial" w:cs="Arial" w:eastAsia="Arial" w:hAnsi="Arial"/>
                <w:sz w:val="13"/>
                <w:szCs w:val="13"/>
                <w:b w:val="1"/>
                <w:bCs w:val="1"/>
                <w:color w:val="auto"/>
                <w:w w:val="87"/>
              </w:rPr>
              <w:t>Title of each class</w:t>
            </w:r>
          </w:p>
        </w:tc>
        <w:tc>
          <w:tcPr>
            <w:tcW w:w="880" w:type="dxa"/>
            <w:vAlign w:val="bottom"/>
            <w:tcBorders>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92"/>
              </w:rPr>
              <w:t>Trading Symbol(s)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2"/>
          </w:tcPr>
          <w:p>
            <w:pPr>
              <w:jc w:val="center"/>
              <w:ind w:right="1099"/>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51"/>
        </w:trPr>
        <w:tc>
          <w:tcPr>
            <w:tcW w:w="160" w:type="dxa"/>
            <w:vAlign w:val="bottom"/>
            <w:tcBorders>
              <w:right w:val="single" w:sz="8" w:color="auto"/>
            </w:tcBorders>
          </w:tcPr>
          <w:p>
            <w:pPr>
              <w:spacing w:after="0"/>
              <w:rPr>
                <w:sz w:val="13"/>
                <w:szCs w:val="13"/>
                <w:color w:val="auto"/>
              </w:rPr>
            </w:pPr>
          </w:p>
        </w:tc>
        <w:tc>
          <w:tcPr>
            <w:tcW w:w="2480" w:type="dxa"/>
            <w:vAlign w:val="bottom"/>
            <w:tcBorders>
              <w:bottom w:val="single" w:sz="8" w:color="auto"/>
            </w:tcBorders>
          </w:tcPr>
          <w:p>
            <w:pPr>
              <w:jc w:val="center"/>
              <w:ind w:left="756"/>
              <w:spacing w:after="0"/>
              <w:rPr>
                <w:sz w:val="20"/>
                <w:szCs w:val="20"/>
                <w:color w:val="auto"/>
              </w:rPr>
            </w:pPr>
            <w:r>
              <w:rPr>
                <w:rFonts w:ascii="Arial" w:cs="Arial" w:eastAsia="Arial" w:hAnsi="Arial"/>
                <w:sz w:val="13"/>
                <w:szCs w:val="13"/>
                <w:color w:val="auto"/>
                <w:w w:val="92"/>
              </w:rPr>
              <w:t>Common Stock</w:t>
            </w:r>
          </w:p>
        </w:tc>
        <w:tc>
          <w:tcPr>
            <w:tcW w:w="8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6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3"/>
                <w:szCs w:val="13"/>
                <w:color w:val="auto"/>
                <w:w w:val="99"/>
              </w:rPr>
              <w:t>SNDX</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2"/>
          </w:tcPr>
          <w:p>
            <w:pPr>
              <w:jc w:val="center"/>
              <w:ind w:right="1119"/>
              <w:spacing w:after="0"/>
              <w:rPr>
                <w:sz w:val="20"/>
                <w:szCs w:val="20"/>
                <w:color w:val="auto"/>
              </w:rPr>
            </w:pPr>
            <w:r>
              <w:rPr>
                <w:rFonts w:ascii="Arial" w:cs="Arial" w:eastAsia="Arial" w:hAnsi="Arial"/>
                <w:sz w:val="13"/>
                <w:szCs w:val="13"/>
                <w:color w:val="auto"/>
                <w:w w:val="93"/>
              </w:rPr>
              <w:t>The Nasdaq Stock Market, LLC</w:t>
            </w:r>
          </w:p>
        </w:tc>
      </w:tr>
      <w:tr>
        <w:trPr>
          <w:trHeight w:val="302"/>
        </w:trPr>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0" w:type="dxa"/>
            <w:vAlign w:val="bottom"/>
            <w:gridSpan w:val="10"/>
          </w:tcPr>
          <w:p>
            <w:pPr>
              <w:jc w:val="center"/>
              <w:ind w:right="2459"/>
              <w:spacing w:after="0"/>
              <w:rPr>
                <w:sz w:val="20"/>
                <w:szCs w:val="20"/>
                <w:color w:val="auto"/>
              </w:rPr>
            </w:pPr>
            <w:r>
              <w:rPr>
                <w:rFonts w:ascii="Arial" w:cs="Arial" w:eastAsia="Arial" w:hAnsi="Arial"/>
                <w:sz w:val="16"/>
                <w:szCs w:val="16"/>
                <w:b w:val="1"/>
                <w:bCs w:val="1"/>
                <w:color w:val="auto"/>
                <w:w w:val="87"/>
              </w:rPr>
              <w:t>Securities registered pursuant to Section 12(g) of the Act: None</w:t>
            </w:r>
          </w:p>
        </w:tc>
      </w:tr>
      <w:tr>
        <w:trPr>
          <w:trHeight w:val="99"/>
        </w:trPr>
        <w:tc>
          <w:tcPr>
            <w:tcW w:w="3880" w:type="dxa"/>
            <w:vAlign w:val="bottom"/>
            <w:gridSpan w:val="4"/>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214"/>
        </w:trPr>
        <w:tc>
          <w:tcPr>
            <w:tcW w:w="6060" w:type="dxa"/>
            <w:vAlign w:val="bottom"/>
            <w:gridSpan w:val="8"/>
          </w:tcPr>
          <w:p>
            <w:pPr>
              <w:spacing w:after="0"/>
              <w:rPr>
                <w:sz w:val="20"/>
                <w:szCs w:val="20"/>
                <w:color w:val="auto"/>
              </w:rPr>
            </w:pPr>
            <w:r>
              <w:rPr>
                <w:rFonts w:ascii="Arial" w:cs="Arial" w:eastAsia="Arial" w:hAnsi="Arial"/>
                <w:sz w:val="12"/>
                <w:szCs w:val="12"/>
                <w:color w:val="auto"/>
                <w:w w:val="93"/>
              </w:rPr>
              <w:t>Indicate by check mark if the registrant is a well-known seasoned issuer, as defined in Rule 405 of the Securities Act.  Yes</w:t>
            </w:r>
          </w:p>
        </w:tc>
        <w:tc>
          <w:tcPr>
            <w:tcW w:w="4180" w:type="dxa"/>
            <w:vAlign w:val="bottom"/>
            <w:gridSpan w:val="4"/>
          </w:tcPr>
          <w:p>
            <w:pPr>
              <w:ind w:left="6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tc>
      </w:tr>
      <w:tr>
        <w:trPr>
          <w:trHeight w:val="197"/>
        </w:trPr>
        <w:tc>
          <w:tcPr>
            <w:tcW w:w="6060" w:type="dxa"/>
            <w:vAlign w:val="bottom"/>
            <w:gridSpan w:val="8"/>
          </w:tcPr>
          <w:p>
            <w:pPr>
              <w:spacing w:after="0"/>
              <w:rPr>
                <w:sz w:val="20"/>
                <w:szCs w:val="20"/>
                <w:color w:val="auto"/>
              </w:rPr>
            </w:pPr>
            <w:r>
              <w:rPr>
                <w:rFonts w:ascii="Arial" w:cs="Arial" w:eastAsia="Arial" w:hAnsi="Arial"/>
                <w:sz w:val="12"/>
                <w:szCs w:val="12"/>
                <w:color w:val="auto"/>
                <w:w w:val="94"/>
              </w:rPr>
              <w:t>Indicate by check mark if the registrant is not required to file reports pursuant to Section 13 or 15(d) of the Securities Act.</w:t>
            </w:r>
          </w:p>
        </w:tc>
        <w:tc>
          <w:tcPr>
            <w:tcW w:w="4180" w:type="dxa"/>
            <w:vAlign w:val="bottom"/>
            <w:gridSpan w:val="4"/>
          </w:tcPr>
          <w:p>
            <w:pPr>
              <w:ind w:left="4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tc>
      </w:tr>
    </w:tbl>
    <w:p>
      <w:pPr>
        <w:spacing w:after="0" w:line="15" w:lineRule="exact"/>
        <w:rPr>
          <w:sz w:val="24"/>
          <w:szCs w:val="24"/>
          <w:color w:val="auto"/>
        </w:rPr>
      </w:pPr>
    </w:p>
    <w:p>
      <w:pPr>
        <w:ind w:right="40" w:firstLine="432"/>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right="80" w:firstLine="432"/>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left="44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7460" w:type="dxa"/>
            <w:vAlign w:val="bottom"/>
            <w:gridSpan w:val="2"/>
          </w:tcPr>
          <w:p>
            <w:pPr>
              <w:spacing w:after="0"/>
              <w:rPr>
                <w:sz w:val="20"/>
                <w:szCs w:val="20"/>
                <w:color w:val="auto"/>
              </w:rPr>
            </w:pPr>
            <w:r>
              <w:rPr>
                <w:rFonts w:ascii="Arial" w:cs="Arial" w:eastAsia="Arial" w:hAnsi="Arial"/>
                <w:sz w:val="12"/>
                <w:szCs w:val="12"/>
                <w:color w:val="auto"/>
              </w:rPr>
              <w:t>filer,” “accelerated filer,” “smaller reporting company” and “emerging growth company” in Rule 12b-2 of the Exchange Act.</w:t>
            </w:r>
          </w:p>
        </w:tc>
        <w:tc>
          <w:tcPr>
            <w:tcW w:w="30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4"/>
        </w:trPr>
        <w:tc>
          <w:tcPr>
            <w:tcW w:w="18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560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3080" w:type="dxa"/>
            <w:vAlign w:val="bottom"/>
          </w:tcPr>
          <w:p>
            <w:pPr>
              <w:ind w:left="1320"/>
              <w:spacing w:after="0"/>
              <w:rPr>
                <w:sz w:val="20"/>
                <w:szCs w:val="20"/>
                <w:color w:val="auto"/>
              </w:rPr>
            </w:pPr>
            <w:r>
              <w:rPr>
                <w:rFonts w:ascii="Arial" w:cs="Arial" w:eastAsia="Arial" w:hAnsi="Arial"/>
                <w:sz w:val="12"/>
                <w:szCs w:val="12"/>
                <w:color w:val="auto"/>
              </w:rPr>
              <w:t>Accelerated Filer</w:t>
            </w:r>
          </w:p>
        </w:tc>
        <w:tc>
          <w:tcPr>
            <w:tcW w:w="480" w:type="dxa"/>
            <w:vAlign w:val="bottom"/>
          </w:tcPr>
          <w:p>
            <w:pPr>
              <w:ind w:left="3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7"/>
        </w:trPr>
        <w:tc>
          <w:tcPr>
            <w:tcW w:w="1860" w:type="dxa"/>
            <w:vAlign w:val="bottom"/>
          </w:tcPr>
          <w:p>
            <w:pPr>
              <w:spacing w:after="0"/>
              <w:rPr>
                <w:sz w:val="20"/>
                <w:szCs w:val="20"/>
                <w:color w:val="auto"/>
              </w:rPr>
            </w:pPr>
            <w:r>
              <w:rPr>
                <w:rFonts w:ascii="Arial" w:cs="Arial" w:eastAsia="Arial" w:hAnsi="Arial"/>
                <w:sz w:val="12"/>
                <w:szCs w:val="12"/>
                <w:color w:val="auto"/>
              </w:rPr>
              <w:t>Non-accelerated Filer</w:t>
            </w:r>
          </w:p>
        </w:tc>
        <w:tc>
          <w:tcPr>
            <w:tcW w:w="560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3080" w:type="dxa"/>
            <w:vAlign w:val="bottom"/>
          </w:tcPr>
          <w:p>
            <w:pPr>
              <w:ind w:left="1320"/>
              <w:spacing w:after="0"/>
              <w:rPr>
                <w:sz w:val="20"/>
                <w:szCs w:val="20"/>
                <w:color w:val="auto"/>
              </w:rPr>
            </w:pPr>
            <w:r>
              <w:rPr>
                <w:rFonts w:ascii="Arial" w:cs="Arial" w:eastAsia="Arial" w:hAnsi="Arial"/>
                <w:sz w:val="12"/>
                <w:szCs w:val="12"/>
                <w:color w:val="auto"/>
              </w:rPr>
              <w:t>Smaller Reporting Company</w:t>
            </w:r>
          </w:p>
        </w:tc>
        <w:tc>
          <w:tcPr>
            <w:tcW w:w="480" w:type="dxa"/>
            <w:vAlign w:val="bottom"/>
          </w:tcPr>
          <w:p>
            <w:pPr>
              <w:ind w:left="3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7"/>
        </w:trPr>
        <w:tc>
          <w:tcPr>
            <w:tcW w:w="186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560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308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15" w:lineRule="exact"/>
        <w:rPr>
          <w:sz w:val="24"/>
          <w:szCs w:val="24"/>
          <w:color w:val="auto"/>
        </w:rPr>
      </w:pPr>
    </w:p>
    <w:p>
      <w:pPr>
        <w:jc w:val="both"/>
        <w:ind w:right="240" w:firstLine="432"/>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2"/>
          <w:szCs w:val="12"/>
          <w:color w:val="auto"/>
        </w:rPr>
        <w:t>☐</w:t>
      </w:r>
    </w:p>
    <w:p>
      <w:pPr>
        <w:spacing w:after="0" w:line="6" w:lineRule="exact"/>
        <w:rPr>
          <w:sz w:val="24"/>
          <w:szCs w:val="24"/>
          <w:color w:val="auto"/>
        </w:rPr>
      </w:pPr>
    </w:p>
    <w:p>
      <w:pPr>
        <w:ind w:left="440"/>
        <w:spacing w:after="0" w:line="138" w:lineRule="exact"/>
        <w:tabs>
          <w:tab w:leader="none" w:pos="6100" w:val="left"/>
          <w:tab w:leader="none" w:pos="65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69" w:lineRule="exact"/>
        <w:rPr>
          <w:sz w:val="24"/>
          <w:szCs w:val="24"/>
          <w:color w:val="auto"/>
        </w:rPr>
      </w:pPr>
    </w:p>
    <w:p>
      <w:pPr>
        <w:ind w:right="100" w:firstLine="432"/>
        <w:spacing w:after="0" w:line="157"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6" w:lineRule="exact"/>
        <w:rPr>
          <w:sz w:val="24"/>
          <w:szCs w:val="24"/>
          <w:color w:val="auto"/>
        </w:rPr>
      </w:pPr>
    </w:p>
    <w:p>
      <w:pPr>
        <w:ind w:right="140" w:firstLine="432"/>
        <w:spacing w:after="0" w:line="243" w:lineRule="auto"/>
        <w:rPr>
          <w:sz w:val="20"/>
          <w:szCs w:val="20"/>
          <w:color w:val="auto"/>
        </w:rPr>
      </w:pPr>
      <w:r>
        <w:rPr>
          <w:rFonts w:ascii="Arial" w:cs="Arial" w:eastAsia="Arial" w:hAnsi="Arial"/>
          <w:sz w:val="12"/>
          <w:szCs w:val="12"/>
          <w:color w:val="auto"/>
        </w:rPr>
        <w:t>As of June 30, 2021, the last day of the registrant’s most recently completed second fiscal quarter, the aggregate market value of the Common Stock held by non-affiliates of the registrant was approximately $833.4 million, based on the closing price of the registrant’s common stock on June 30, 2021. Shares of the registrant’s common stock held by each officer and director and stockholders that the registrant has concluded are affiliates of the registrant. This determination of affiliate status is not a determination for other purposes.</w:t>
      </w:r>
    </w:p>
    <w:p>
      <w:pPr>
        <w:spacing w:after="0" w:line="28" w:lineRule="exact"/>
        <w:rPr>
          <w:sz w:val="24"/>
          <w:szCs w:val="24"/>
          <w:color w:val="auto"/>
        </w:rPr>
      </w:pPr>
    </w:p>
    <w:p>
      <w:pPr>
        <w:ind w:left="440"/>
        <w:spacing w:after="0"/>
        <w:rPr>
          <w:sz w:val="20"/>
          <w:szCs w:val="20"/>
          <w:color w:val="auto"/>
        </w:rPr>
      </w:pPr>
      <w:r>
        <w:rPr>
          <w:rFonts w:ascii="Arial" w:cs="Arial" w:eastAsia="Arial" w:hAnsi="Arial"/>
          <w:sz w:val="12"/>
          <w:szCs w:val="12"/>
          <w:color w:val="auto"/>
        </w:rPr>
        <w:t>As of February 25, 2022, there were 55,012,245 shares of common stock outstanding.</w:t>
      </w:r>
    </w:p>
    <w:p>
      <w:pPr>
        <w:spacing w:after="0" w:line="42" w:lineRule="exact"/>
        <w:rPr>
          <w:sz w:val="24"/>
          <w:szCs w:val="24"/>
          <w:color w:val="auto"/>
        </w:rPr>
      </w:pPr>
    </w:p>
    <w:p>
      <w:pPr>
        <w:ind w:left="4220"/>
        <w:spacing w:after="0"/>
        <w:rPr>
          <w:sz w:val="20"/>
          <w:szCs w:val="20"/>
          <w:color w:val="auto"/>
        </w:rPr>
      </w:pPr>
      <w:r>
        <w:rPr>
          <w:rFonts w:ascii="Arial" w:cs="Arial" w:eastAsia="Arial" w:hAnsi="Arial"/>
          <w:sz w:val="12"/>
          <w:szCs w:val="12"/>
          <w:b w:val="1"/>
          <w:bCs w:val="1"/>
          <w:color w:val="auto"/>
        </w:rPr>
        <w:t>DOCUMENTS INCORPORATED BY REFERENCE</w:t>
      </w:r>
    </w:p>
    <w:p>
      <w:pPr>
        <w:spacing w:after="0" w:line="50" w:lineRule="exact"/>
        <w:rPr>
          <w:sz w:val="24"/>
          <w:szCs w:val="24"/>
          <w:color w:val="auto"/>
        </w:rPr>
      </w:pPr>
    </w:p>
    <w:p>
      <w:pPr>
        <w:ind w:right="60" w:firstLine="440"/>
        <w:spacing w:after="0" w:line="258" w:lineRule="auto"/>
        <w:rPr>
          <w:sz w:val="20"/>
          <w:szCs w:val="20"/>
          <w:color w:val="auto"/>
        </w:rPr>
      </w:pPr>
      <w:r>
        <w:rPr>
          <w:rFonts w:ascii="Arial" w:cs="Arial" w:eastAsia="Arial" w:hAnsi="Arial"/>
          <w:sz w:val="12"/>
          <w:szCs w:val="12"/>
          <w:color w:val="auto"/>
        </w:rPr>
        <w:t>Portions of the registrant’s definitive proxy statement for its 2022 Annual Meeting of Stockholders, which the registrant intends to file pursuant to Regulation 14A with the Securities and Exchange Commission not later than 120 days after the registrant’s fiscal year ended December 31, 2021, are incorporated by reference into Part III of this Annual Report on Form 10-K.</w:t>
      </w:r>
    </w:p>
    <w:p>
      <w:pPr>
        <w:spacing w:after="0" w:line="146" w:lineRule="exact"/>
        <w:rPr>
          <w:sz w:val="24"/>
          <w:szCs w:val="24"/>
          <w:color w:val="auto"/>
        </w:rPr>
      </w:pPr>
    </w:p>
    <w:p>
      <w:pPr>
        <w:spacing w:after="0"/>
        <w:tabs>
          <w:tab w:leader="none" w:pos="1600" w:val="left"/>
          <w:tab w:leader="none" w:pos="3180" w:val="left"/>
          <w:tab w:leader="none" w:pos="4600" w:val="left"/>
          <w:tab w:leader="none" w:pos="6860" w:val="left"/>
          <w:tab w:leader="none" w:pos="86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160020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264160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gridSpan w:val="19"/>
            <w:vMerge w:val="restart"/>
          </w:tcPr>
          <w:p>
            <w:pPr>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SPECIAL NOTE REGARDING FORWARD-LOOKING STATEMENTS</w:t>
              </w:r>
            </w:hyperlink>
          </w:p>
        </w:tc>
        <w:tc>
          <w:tcPr>
            <w:tcW w:w="5220" w:type="dxa"/>
            <w:vAlign w:val="bottom"/>
            <w:gridSpan w:val="10"/>
            <w:vMerge w:val="restart"/>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5520" w:type="dxa"/>
            <w:vAlign w:val="bottom"/>
            <w:tcBorders>
              <w:bottom w:val="single" w:sz="8" w:color="0000EE"/>
            </w:tcBorders>
            <w:gridSpan w:val="19"/>
            <w:vMerge w:val="continue"/>
          </w:tcPr>
          <w:p>
            <w:pPr>
              <w:spacing w:after="0"/>
              <w:rPr>
                <w:sz w:val="15"/>
                <w:szCs w:val="15"/>
                <w:color w:val="auto"/>
              </w:rPr>
            </w:pPr>
          </w:p>
        </w:tc>
        <w:tc>
          <w:tcPr>
            <w:tcW w:w="5220" w:type="dxa"/>
            <w:vAlign w:val="bottom"/>
            <w:gridSpan w:val="10"/>
            <w:vMerge w:val="continue"/>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427"/>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08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w:t>
            </w:r>
          </w:p>
        </w:tc>
        <w:tc>
          <w:tcPr>
            <w:tcW w:w="9780" w:type="dxa"/>
            <w:vAlign w:val="bottom"/>
            <w:gridSpan w:val="28"/>
          </w:tcPr>
          <w:p>
            <w:pPr>
              <w:spacing w:after="0" w:line="203"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1A.</w:t>
            </w:r>
          </w:p>
        </w:tc>
        <w:tc>
          <w:tcPr>
            <w:tcW w:w="9780" w:type="dxa"/>
            <w:vAlign w:val="bottom"/>
            <w:gridSpan w:val="28"/>
          </w:tcPr>
          <w:p>
            <w:pPr>
              <w:spacing w:after="0" w:line="203"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203"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Unresolved Staff Comments</w:t>
              </w:r>
            </w:hyperlink>
          </w:p>
        </w:tc>
        <w:tc>
          <w:tcPr>
            <w:tcW w:w="7780" w:type="dxa"/>
            <w:vAlign w:val="bottom"/>
            <w:gridSpan w:val="19"/>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203"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Properties</w:t>
              </w:r>
            </w:hyperlink>
          </w:p>
        </w:tc>
        <w:tc>
          <w:tcPr>
            <w:tcW w:w="9060" w:type="dxa"/>
            <w:vAlign w:val="bottom"/>
            <w:gridSpan w:val="26"/>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3.</w:t>
            </w:r>
          </w:p>
        </w:tc>
        <w:tc>
          <w:tcPr>
            <w:tcW w:w="9780" w:type="dxa"/>
            <w:vAlign w:val="bottom"/>
            <w:gridSpan w:val="28"/>
          </w:tcPr>
          <w:p>
            <w:pPr>
              <w:spacing w:after="0" w:line="203"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4.</w:t>
            </w:r>
          </w:p>
        </w:tc>
        <w:tc>
          <w:tcPr>
            <w:tcW w:w="9780" w:type="dxa"/>
            <w:vAlign w:val="bottom"/>
            <w:gridSpan w:val="28"/>
          </w:tcPr>
          <w:p>
            <w:pPr>
              <w:spacing w:after="0" w:line="203"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27"/>
        </w:trPr>
        <w:tc>
          <w:tcPr>
            <w:tcW w:w="9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jc w:val="center"/>
              <w:ind w:right="5060"/>
              <w:spacing w:after="0"/>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PART II</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5.</w:t>
            </w:r>
          </w:p>
        </w:tc>
        <w:tc>
          <w:tcPr>
            <w:tcW w:w="7940" w:type="dxa"/>
            <w:vAlign w:val="bottom"/>
            <w:tcBorders>
              <w:bottom w:val="single" w:sz="8" w:color="0000EE"/>
            </w:tcBorders>
            <w:gridSpan w:val="27"/>
          </w:tcPr>
          <w:p>
            <w:pPr>
              <w:spacing w:after="0" w:line="203"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Market for Registrant’s Common Equity, Related Stockholder Matters and Issuers Purchases of Equity Securities</w:t>
              </w:r>
            </w:hyperlink>
          </w:p>
        </w:tc>
        <w:tc>
          <w:tcPr>
            <w:tcW w:w="18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6.</w:t>
            </w:r>
          </w:p>
        </w:tc>
        <w:tc>
          <w:tcPr>
            <w:tcW w:w="9780" w:type="dxa"/>
            <w:vAlign w:val="bottom"/>
            <w:gridSpan w:val="28"/>
          </w:tcPr>
          <w:p>
            <w:pPr>
              <w:spacing w:after="0" w:line="203" w:lineRule="exact"/>
              <w:rPr>
                <w:rFonts w:ascii="Arial" w:cs="Arial" w:eastAsia="Arial" w:hAnsi="Arial"/>
                <w:sz w:val="18"/>
                <w:szCs w:val="18"/>
                <w:color w:val="0000EE"/>
              </w:rPr>
            </w:pPr>
            <w:hyperlink w:anchor="page61">
              <w:r>
                <w:rPr>
                  <w:rFonts w:ascii="Arial" w:cs="Arial" w:eastAsia="Arial" w:hAnsi="Arial"/>
                  <w:sz w:val="18"/>
                  <w:szCs w:val="18"/>
                  <w:color w:val="0000EE"/>
                </w:rPr>
                <w:t>Selected Financial Data</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5"/>
          </w:tcPr>
          <w:p>
            <w:pPr>
              <w:spacing w:after="0" w:line="203"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3"/>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7"/>
          </w:tcPr>
          <w:p>
            <w:pPr>
              <w:spacing w:after="0" w:line="203"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Quantitative and Qualitative Disclosures about Market Risk</w:t>
              </w:r>
            </w:hyperlink>
          </w:p>
        </w:tc>
        <w:tc>
          <w:tcPr>
            <w:tcW w:w="5580" w:type="dxa"/>
            <w:vAlign w:val="bottom"/>
            <w:gridSpan w:val="11"/>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8.</w:t>
            </w:r>
          </w:p>
        </w:tc>
        <w:tc>
          <w:tcPr>
            <w:tcW w:w="9780" w:type="dxa"/>
            <w:vAlign w:val="bottom"/>
            <w:gridSpan w:val="28"/>
          </w:tcPr>
          <w:p>
            <w:pPr>
              <w:spacing w:after="0" w:line="203" w:lineRule="exact"/>
              <w:rPr>
                <w:rFonts w:ascii="Arial" w:cs="Arial" w:eastAsia="Arial" w:hAnsi="Arial"/>
                <w:sz w:val="18"/>
                <w:szCs w:val="18"/>
                <w:color w:val="0000EE"/>
              </w:rPr>
            </w:pPr>
            <w:hyperlink w:anchor="page74">
              <w:r>
                <w:rPr>
                  <w:rFonts w:ascii="Arial" w:cs="Arial" w:eastAsia="Arial" w:hAnsi="Arial"/>
                  <w:sz w:val="18"/>
                  <w:szCs w:val="18"/>
                  <w:color w:val="0000EE"/>
                </w:rPr>
                <w:t>Financial Statements and Supplementary Data</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9.</w:t>
            </w:r>
          </w:p>
        </w:tc>
        <w:tc>
          <w:tcPr>
            <w:tcW w:w="9780" w:type="dxa"/>
            <w:vAlign w:val="bottom"/>
            <w:gridSpan w:val="28"/>
          </w:tcPr>
          <w:p>
            <w:pPr>
              <w:spacing w:after="0" w:line="203" w:lineRule="exact"/>
              <w:rPr>
                <w:rFonts w:ascii="Arial" w:cs="Arial" w:eastAsia="Arial" w:hAnsi="Arial"/>
                <w:sz w:val="18"/>
                <w:szCs w:val="18"/>
                <w:color w:val="0000EE"/>
              </w:rPr>
            </w:pPr>
            <w:hyperlink w:anchor="page74">
              <w:r>
                <w:rPr>
                  <w:rFonts w:ascii="Arial" w:cs="Arial" w:eastAsia="Arial" w:hAnsi="Arial"/>
                  <w:sz w:val="18"/>
                  <w:szCs w:val="18"/>
                  <w:color w:val="0000EE"/>
                </w:rPr>
                <w:t>Changes in and Disagreements with Accountants on Accounting and Financial Disclosure</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9A.</w:t>
            </w:r>
          </w:p>
        </w:tc>
        <w:tc>
          <w:tcPr>
            <w:tcW w:w="6300" w:type="dxa"/>
            <w:vAlign w:val="bottom"/>
            <w:tcBorders>
              <w:top w:val="single" w:sz="8" w:color="0000EE"/>
            </w:tcBorders>
            <w:gridSpan w:val="25"/>
          </w:tcPr>
          <w:p>
            <w:pPr>
              <w:spacing w:after="0" w:line="203" w:lineRule="exact"/>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3480" w:type="dxa"/>
            <w:vAlign w:val="bottom"/>
            <w:gridSpan w:val="3"/>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203" w:lineRule="exact"/>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8060" w:type="dxa"/>
            <w:vAlign w:val="bottom"/>
            <w:gridSpan w:val="21"/>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9C.</w:t>
            </w:r>
          </w:p>
        </w:tc>
        <w:tc>
          <w:tcPr>
            <w:tcW w:w="4800" w:type="dxa"/>
            <w:vAlign w:val="bottom"/>
            <w:tcBorders>
              <w:bottom w:val="single" w:sz="8" w:color="0000EE"/>
            </w:tcBorders>
            <w:gridSpan w:val="23"/>
          </w:tcPr>
          <w:p>
            <w:pPr>
              <w:spacing w:after="0" w:line="203"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Disclosure Regarding Foreign Jurisdictions that Prevent Inspections</w:t>
              </w:r>
            </w:hyperlink>
          </w:p>
        </w:tc>
        <w:tc>
          <w:tcPr>
            <w:tcW w:w="4980" w:type="dxa"/>
            <w:vAlign w:val="bottom"/>
            <w:gridSpan w:val="5"/>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27"/>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0" w:type="dxa"/>
            <w:vAlign w:val="bottom"/>
            <w:gridSpan w:val="15"/>
          </w:tcPr>
          <w:p>
            <w:pPr>
              <w:jc w:val="center"/>
              <w:ind w:right="494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10.</w:t>
            </w:r>
          </w:p>
        </w:tc>
        <w:tc>
          <w:tcPr>
            <w:tcW w:w="4060" w:type="dxa"/>
            <w:vAlign w:val="bottom"/>
            <w:gridSpan w:val="14"/>
          </w:tcPr>
          <w:p>
            <w:pPr>
              <w:spacing w:after="0" w:line="203"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Directors, Executive Officers and Corporate Governance</w:t>
              </w:r>
            </w:hyperlink>
          </w:p>
        </w:tc>
        <w:tc>
          <w:tcPr>
            <w:tcW w:w="720" w:type="dxa"/>
            <w:vAlign w:val="bottom"/>
            <w:tcBorders>
              <w:top w:val="single" w:sz="8" w:color="0000EE"/>
            </w:tcBorders>
            <w:gridSpan w:val="8"/>
          </w:tcPr>
          <w:p>
            <w:pPr>
              <w:spacing w:after="0"/>
              <w:rPr>
                <w:sz w:val="17"/>
                <w:szCs w:val="17"/>
                <w:color w:val="auto"/>
              </w:rPr>
            </w:pPr>
          </w:p>
        </w:tc>
        <w:tc>
          <w:tcPr>
            <w:tcW w:w="5000" w:type="dxa"/>
            <w:vAlign w:val="bottom"/>
            <w:gridSpan w:val="6"/>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11.</w:t>
            </w:r>
          </w:p>
        </w:tc>
        <w:tc>
          <w:tcPr>
            <w:tcW w:w="3980" w:type="dxa"/>
            <w:vAlign w:val="bottom"/>
            <w:tcBorders>
              <w:top w:val="single" w:sz="8" w:color="0000EE"/>
            </w:tcBorders>
            <w:gridSpan w:val="13"/>
          </w:tcPr>
          <w:p>
            <w:pPr>
              <w:spacing w:after="0" w:line="203" w:lineRule="exact"/>
              <w:rPr>
                <w:rFonts w:ascii="Arial" w:cs="Arial" w:eastAsia="Arial" w:hAnsi="Arial"/>
                <w:sz w:val="18"/>
                <w:szCs w:val="18"/>
                <w:color w:val="0000EE"/>
              </w:rPr>
            </w:pPr>
            <w:hyperlink w:anchor="page77">
              <w:r>
                <w:rPr>
                  <w:rFonts w:ascii="Arial" w:cs="Arial" w:eastAsia="Arial" w:hAnsi="Arial"/>
                  <w:sz w:val="18"/>
                  <w:szCs w:val="18"/>
                  <w:color w:val="0000EE"/>
                </w:rPr>
                <w:t>Executive Compensation</w:t>
              </w:r>
            </w:hyperlink>
          </w:p>
        </w:tc>
        <w:tc>
          <w:tcPr>
            <w:tcW w:w="5800" w:type="dxa"/>
            <w:vAlign w:val="bottom"/>
            <w:gridSpan w:val="15"/>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12.</w:t>
            </w:r>
          </w:p>
        </w:tc>
        <w:tc>
          <w:tcPr>
            <w:tcW w:w="9780" w:type="dxa"/>
            <w:vAlign w:val="bottom"/>
            <w:gridSpan w:val="28"/>
          </w:tcPr>
          <w:p>
            <w:pPr>
              <w:spacing w:after="0" w:line="203" w:lineRule="exact"/>
              <w:rPr>
                <w:rFonts w:ascii="Arial" w:cs="Arial" w:eastAsia="Arial" w:hAnsi="Arial"/>
                <w:sz w:val="18"/>
                <w:szCs w:val="18"/>
                <w:color w:val="0000EE"/>
              </w:rPr>
            </w:pPr>
            <w:hyperlink w:anchor="page77">
              <w:r>
                <w:rPr>
                  <w:rFonts w:ascii="Arial" w:cs="Arial" w:eastAsia="Arial" w:hAnsi="Arial"/>
                  <w:sz w:val="18"/>
                  <w:szCs w:val="18"/>
                  <w:color w:val="0000EE"/>
                </w:rPr>
                <w:t>Security Ownership of Certain Beneficial Owners and Management and Related Stockholder Matters</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24"/>
          </w:tcPr>
          <w:p>
            <w:pPr>
              <w:spacing w:after="0" w:line="203"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2"/>
          </w:tcPr>
          <w:p>
            <w:pPr>
              <w:spacing w:after="0"/>
              <w:rPr>
                <w:sz w:val="17"/>
                <w:szCs w:val="17"/>
                <w:color w:val="auto"/>
              </w:rPr>
            </w:pPr>
          </w:p>
        </w:tc>
        <w:tc>
          <w:tcPr>
            <w:tcW w:w="2680" w:type="dxa"/>
            <w:vAlign w:val="bottom"/>
            <w:gridSpan w:val="2"/>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14.</w:t>
            </w:r>
          </w:p>
        </w:tc>
        <w:tc>
          <w:tcPr>
            <w:tcW w:w="9780" w:type="dxa"/>
            <w:vAlign w:val="bottom"/>
            <w:gridSpan w:val="28"/>
          </w:tcPr>
          <w:p>
            <w:pPr>
              <w:spacing w:after="0" w:line="203" w:lineRule="exact"/>
              <w:rPr>
                <w:rFonts w:ascii="Arial" w:cs="Arial" w:eastAsia="Arial" w:hAnsi="Arial"/>
                <w:sz w:val="18"/>
                <w:szCs w:val="18"/>
                <w:color w:val="0000EE"/>
              </w:rPr>
            </w:pPr>
            <w:hyperlink w:anchor="page77">
              <w:r>
                <w:rPr>
                  <w:rFonts w:ascii="Arial" w:cs="Arial" w:eastAsia="Arial" w:hAnsi="Arial"/>
                  <w:sz w:val="18"/>
                  <w:szCs w:val="18"/>
                  <w:color w:val="0000EE"/>
                </w:rPr>
                <w:t>Principal Accountant Fees and Services</w:t>
              </w:r>
            </w:hyperlink>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27"/>
        </w:trPr>
        <w:tc>
          <w:tcPr>
            <w:tcW w:w="9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20" w:type="dxa"/>
            <w:vAlign w:val="bottom"/>
            <w:gridSpan w:val="14"/>
          </w:tcPr>
          <w:p>
            <w:pPr>
              <w:jc w:val="center"/>
              <w:ind w:right="5020"/>
              <w:spacing w:after="0"/>
              <w:rPr>
                <w:rFonts w:ascii="Arial" w:cs="Arial" w:eastAsia="Arial" w:hAnsi="Arial"/>
                <w:sz w:val="18"/>
                <w:szCs w:val="18"/>
                <w:b w:val="1"/>
                <w:bCs w:val="1"/>
                <w:color w:val="0000EE"/>
                <w:w w:val="98"/>
              </w:rPr>
            </w:pPr>
            <w:hyperlink w:anchor="page78">
              <w:r>
                <w:rPr>
                  <w:rFonts w:ascii="Arial" w:cs="Arial" w:eastAsia="Arial" w:hAnsi="Arial"/>
                  <w:sz w:val="18"/>
                  <w:szCs w:val="18"/>
                  <w:b w:val="1"/>
                  <w:bCs w:val="1"/>
                  <w:color w:val="0000EE"/>
                  <w:w w:val="98"/>
                </w:rPr>
                <w:t>PART IV</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15.</w:t>
            </w:r>
          </w:p>
        </w:tc>
        <w:tc>
          <w:tcPr>
            <w:tcW w:w="3020" w:type="dxa"/>
            <w:vAlign w:val="bottom"/>
            <w:tcBorders>
              <w:bottom w:val="single" w:sz="8" w:color="0000EE"/>
            </w:tcBorders>
            <w:gridSpan w:val="11"/>
          </w:tcPr>
          <w:p>
            <w:pPr>
              <w:spacing w:after="0" w:line="203"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Exhibit and Financial Statement Schedules</w:t>
              </w:r>
            </w:hyperlink>
          </w:p>
        </w:tc>
        <w:tc>
          <w:tcPr>
            <w:tcW w:w="1060" w:type="dxa"/>
            <w:vAlign w:val="bottom"/>
            <w:gridSpan w:val="4"/>
          </w:tcPr>
          <w:p>
            <w:pPr>
              <w:spacing w:after="0"/>
              <w:rPr>
                <w:sz w:val="17"/>
                <w:szCs w:val="17"/>
                <w:color w:val="auto"/>
              </w:rPr>
            </w:pPr>
          </w:p>
        </w:tc>
        <w:tc>
          <w:tcPr>
            <w:tcW w:w="680" w:type="dxa"/>
            <w:vAlign w:val="bottom"/>
            <w:tcBorders>
              <w:top w:val="single" w:sz="8" w:color="0000EE"/>
            </w:tcBorders>
            <w:gridSpan w:val="6"/>
          </w:tcPr>
          <w:p>
            <w:pPr>
              <w:spacing w:after="0"/>
              <w:rPr>
                <w:sz w:val="17"/>
                <w:szCs w:val="17"/>
                <w:color w:val="auto"/>
              </w:rPr>
            </w:pPr>
          </w:p>
        </w:tc>
        <w:tc>
          <w:tcPr>
            <w:tcW w:w="5020" w:type="dxa"/>
            <w:vAlign w:val="bottom"/>
            <w:gridSpan w:val="7"/>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Item 16.</w:t>
            </w:r>
          </w:p>
        </w:tc>
        <w:tc>
          <w:tcPr>
            <w:tcW w:w="1520" w:type="dxa"/>
            <w:vAlign w:val="bottom"/>
            <w:tcBorders>
              <w:bottom w:val="single" w:sz="8" w:color="0000EE"/>
            </w:tcBorders>
            <w:gridSpan w:val="5"/>
          </w:tcPr>
          <w:p>
            <w:pPr>
              <w:spacing w:after="0" w:line="203"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Form 10-K Summary</w:t>
              </w:r>
            </w:hyperlink>
          </w:p>
        </w:tc>
        <w:tc>
          <w:tcPr>
            <w:tcW w:w="8260" w:type="dxa"/>
            <w:vAlign w:val="bottom"/>
            <w:gridSpan w:val="23"/>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0" w:lineRule="exact"/>
        <w:rPr>
          <w:sz w:val="20"/>
          <w:szCs w:val="20"/>
          <w:color w:val="auto"/>
        </w:rPr>
      </w:pPr>
    </w:p>
    <w:p>
      <w:pPr>
        <w:ind w:right="20" w:firstLine="589"/>
        <w:spacing w:after="0" w:line="248"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08" w:lineRule="exact"/>
        <w:rPr>
          <w:sz w:val="20"/>
          <w:szCs w:val="20"/>
          <w:color w:val="auto"/>
        </w:rPr>
      </w:pPr>
    </w:p>
    <w:p>
      <w:pPr>
        <w:ind w:left="1160" w:right="200" w:hanging="577"/>
        <w:spacing w:after="0" w:line="252"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84" w:lineRule="exact"/>
        <w:rPr>
          <w:rFonts w:ascii="Arial" w:cs="Arial" w:eastAsia="Arial" w:hAnsi="Arial"/>
          <w:sz w:val="18"/>
          <w:szCs w:val="18"/>
          <w:color w:val="auto"/>
        </w:rPr>
      </w:pPr>
    </w:p>
    <w:p>
      <w:pPr>
        <w:ind w:left="1160" w:hanging="577"/>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our expenses, future revenues, anticipated capital requirements and our needs for additional financing;</w:t>
      </w:r>
    </w:p>
    <w:p>
      <w:pPr>
        <w:spacing w:after="0" w:line="157" w:lineRule="exact"/>
        <w:rPr>
          <w:rFonts w:ascii="Arial" w:cs="Arial" w:eastAsia="Arial" w:hAnsi="Arial"/>
          <w:sz w:val="16"/>
          <w:szCs w:val="16"/>
          <w:color w:val="auto"/>
        </w:rPr>
      </w:pPr>
    </w:p>
    <w:p>
      <w:pPr>
        <w:ind w:left="1160" w:right="380" w:hanging="577"/>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cohorts of the AUGMENT-101 trial of SNDX-5613 in patients with relapsed/refractory, or R/R, acute leukemias;</w:t>
      </w:r>
    </w:p>
    <w:p>
      <w:pPr>
        <w:spacing w:after="0" w:line="75" w:lineRule="exact"/>
        <w:rPr>
          <w:rFonts w:ascii="Arial" w:cs="Arial" w:eastAsia="Arial" w:hAnsi="Arial"/>
          <w:sz w:val="18"/>
          <w:szCs w:val="18"/>
          <w:color w:val="auto"/>
        </w:rPr>
      </w:pPr>
    </w:p>
    <w:p>
      <w:pPr>
        <w:ind w:left="1160" w:hanging="577"/>
        <w:spacing w:after="0" w:line="249"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AUGMENT-102 trial of SNDX-5613 in combination with chemotherapy in patients with R/R mutant nucleophosmin, NPM1, or mixed lineage leukemia rearranged, MLLr, acute leukemias, as well as the combination trials as part of the Leukemia &amp; Lymphoma Society’s Beat® AML Master Clinical Trial and as part of the Australian Leukemia and Lymphoma Group (ALLG) INTERCEPT Master Clinical Trial;</w:t>
      </w:r>
    </w:p>
    <w:p>
      <w:pPr>
        <w:spacing w:after="0" w:line="87" w:lineRule="exact"/>
        <w:rPr>
          <w:rFonts w:ascii="Arial" w:cs="Arial" w:eastAsia="Arial" w:hAnsi="Arial"/>
          <w:sz w:val="18"/>
          <w:szCs w:val="18"/>
          <w:color w:val="auto"/>
        </w:rPr>
      </w:pPr>
    </w:p>
    <w:p>
      <w:pPr>
        <w:ind w:left="1160" w:right="160" w:hanging="577"/>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trial, AGAVE-201, of axatilimab in chronic Graft Versus Host Disease, or cGVHD;</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34" w:lineRule="exact"/>
        <w:rPr>
          <w:rFonts w:ascii="Arial" w:cs="Arial" w:eastAsia="Arial" w:hAnsi="Arial"/>
          <w:sz w:val="18"/>
          <w:szCs w:val="18"/>
          <w:color w:val="auto"/>
        </w:rPr>
      </w:pPr>
    </w:p>
    <w:p>
      <w:pPr>
        <w:ind w:left="1160" w:right="200" w:hanging="577"/>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75" w:lineRule="exact"/>
        <w:rPr>
          <w:rFonts w:ascii="Arial" w:cs="Arial" w:eastAsia="Arial" w:hAnsi="Arial"/>
          <w:sz w:val="18"/>
          <w:szCs w:val="18"/>
          <w:color w:val="auto"/>
        </w:rPr>
      </w:pPr>
    </w:p>
    <w:p>
      <w:pPr>
        <w:ind w:left="1160" w:right="680" w:hanging="577"/>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75" w:lineRule="exact"/>
        <w:rPr>
          <w:rFonts w:ascii="Arial" w:cs="Arial" w:eastAsia="Arial" w:hAnsi="Arial"/>
          <w:sz w:val="18"/>
          <w:szCs w:val="18"/>
          <w:color w:val="auto"/>
        </w:rPr>
      </w:pPr>
    </w:p>
    <w:p>
      <w:pPr>
        <w:ind w:left="1160" w:right="400" w:hanging="577"/>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with Incyte Corporation, or Incyte, to further develop and commercialize axatilimab;</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establish and maintain for intellectual property rights covering our product candidates and our technology;</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34" w:lineRule="exact"/>
        <w:rPr>
          <w:rFonts w:ascii="Arial" w:cs="Arial" w:eastAsia="Arial" w:hAnsi="Arial"/>
          <w:sz w:val="18"/>
          <w:szCs w:val="18"/>
          <w:color w:val="auto"/>
        </w:rPr>
      </w:pPr>
    </w:p>
    <w:p>
      <w:pPr>
        <w:ind w:left="1160" w:right="440" w:hanging="577"/>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social and economic instability, natural disasters or public health crisis, including but not limited to the COVID-19 pandemic, in countries where we or our collaborators do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3" w:name="page4"/>
    <w:bookmarkEnd w:id="3"/>
    <w:p>
      <w:pPr>
        <w:ind w:firstLine="589"/>
        <w:spacing w:after="0" w:line="284"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set forth in Part I, Item 1A, “Risk Factors,” below and for the reasons described elsewhere in this Annual Report on Form 10-K. Any forward-looking statement in this Annual Report on Form 10-K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pacing w:after="0" w:line="166"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69"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In this Annual Report on Form 10-K, unless otherwise stated or as the context otherwise requires, references to “Syndax,” “the Company,” “we,” “us,” “our” and similar references refer to Syndax Pharmaceuticals, Inc. and its wholly owned subsidiaries. This Annual Report on Form 10-K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14"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We are a clinical-stage biopharmaceutical company developing an innovative pipeline of cancer therapies. Our two lead product candidates are SNDX-5613 and SNDX-6352, or axatilimab. We are developing SNDX-5613, targeting the binding interaction of menin with the mixed lineage leukemia 1, or MLL1, protein for the treatment of MLL-rearranged, or MLLr, acute leukemias and nucleophosmin 1, or NPM1, mutant acute myeloid leukemia, or AML, as well as axatilimab, a monoclonal antibody that blocks the colony stimulating factor 1, or CSF-1 receptor. We have deprioritized the development of entinostat, our once-weekly, oral, small molecule, Class I HDAC inhibitor, to focus resources on advancing our existing pipeline and expanding it with new assets. We plan to continue to leverage the technical and business expertise of our management team and scientific collaborators to license, acquire and develop additional therapeutics to expand our pipeline.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14" w:lineRule="exact"/>
        <w:rPr>
          <w:sz w:val="20"/>
          <w:szCs w:val="20"/>
          <w:color w:val="auto"/>
        </w:rPr>
      </w:pPr>
    </w:p>
    <w:p>
      <w:pPr>
        <w:ind w:right="600" w:firstLine="589"/>
        <w:spacing w:after="0" w:line="261" w:lineRule="auto"/>
        <w:rPr>
          <w:sz w:val="20"/>
          <w:szCs w:val="20"/>
          <w:color w:val="auto"/>
        </w:rPr>
      </w:pPr>
      <w:r>
        <w:rPr>
          <w:rFonts w:ascii="Arial" w:cs="Arial" w:eastAsia="Arial" w:hAnsi="Arial"/>
          <w:sz w:val="18"/>
          <w:szCs w:val="18"/>
          <w:color w:val="auto"/>
        </w:rPr>
        <w:t>Our clinical-stage pipeline includes SNDX-5613, a highly selective inhibitor of the menin–MLL binding interaction, axatilimab, a monoclonal antibody that blocks the CSF-1 receptor, and entinostat, a Class I HDAC inhibitor.</w:t>
      </w:r>
    </w:p>
    <w:p>
      <w:pPr>
        <w:spacing w:after="0" w:line="181" w:lineRule="exact"/>
        <w:rPr>
          <w:sz w:val="20"/>
          <w:szCs w:val="20"/>
          <w:color w:val="auto"/>
        </w:rPr>
      </w:pPr>
    </w:p>
    <w:p>
      <w:pPr>
        <w:ind w:right="40" w:firstLine="589"/>
        <w:spacing w:after="0" w:line="299" w:lineRule="auto"/>
        <w:rPr>
          <w:sz w:val="20"/>
          <w:szCs w:val="20"/>
          <w:color w:val="auto"/>
        </w:rPr>
      </w:pPr>
      <w:r>
        <w:rPr>
          <w:rFonts w:ascii="Arial" w:cs="Arial" w:eastAsia="Arial" w:hAnsi="Arial"/>
          <w:sz w:val="16"/>
          <w:szCs w:val="16"/>
          <w:color w:val="auto"/>
        </w:rPr>
        <w:t>We are developing SNDX-5613 in acute leukemias and axatilimab for use in cGVHD and potentially other fibrotic-macrophage driven diseases as single agents and in combination with approved drugs. We have deprioritized the development of entinostat but may opportunistically explore potential disease areas where entinostat could play an important therapeutic role. Key elements of our strategy include:</w:t>
      </w:r>
    </w:p>
    <w:p>
      <w:pPr>
        <w:spacing w:after="0" w:line="48" w:lineRule="exact"/>
        <w:rPr>
          <w:sz w:val="20"/>
          <w:szCs w:val="20"/>
          <w:color w:val="auto"/>
        </w:rPr>
      </w:pPr>
    </w:p>
    <w:p>
      <w:pPr>
        <w:ind w:left="1160" w:right="300" w:hanging="577"/>
        <w:spacing w:after="0" w:line="286"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 SNDX-5613 for the treatment of genetically defined leukemias. We believe that SNDX-5613 has the potential to treat at least two genetically defined acute leukemias: (i) MLLr and (ii) NPM1 AML. Our Phase 1/2 open-label AUGMENT-101 trial is ongoing. We are completing the Phase 1 portion of the trial and have initiated the pivotal Phase 2 portion of the trial with patients to be enrolled in three indication-specific expansion cohorts to determine the efficacy, short- and long-term safety, and tolerability of SNDX-5613 in MLLr ALL, MLLr AML and NPM1c AML. We are also concurrently expanding into the frontline and maintenance setts with three new trials.</w:t>
      </w:r>
    </w:p>
    <w:p>
      <w:pPr>
        <w:spacing w:after="0" w:line="60" w:lineRule="exact"/>
        <w:rPr>
          <w:rFonts w:ascii="Arial" w:cs="Arial" w:eastAsia="Arial" w:hAnsi="Arial"/>
          <w:sz w:val="16"/>
          <w:szCs w:val="16"/>
          <w:color w:val="auto"/>
        </w:rPr>
      </w:pPr>
    </w:p>
    <w:p>
      <w:pPr>
        <w:jc w:val="both"/>
        <w:ind w:left="1160" w:right="140" w:hanging="577"/>
        <w:spacing w:after="0" w:line="361" w:lineRule="auto"/>
        <w:tabs>
          <w:tab w:leader="none" w:pos="1160" w:val="left"/>
        </w:tabs>
        <w:numPr>
          <w:ilvl w:val="0"/>
          <w:numId w:val="4"/>
        </w:numPr>
        <w:rPr>
          <w:rFonts w:ascii="Arial" w:cs="Arial" w:eastAsia="Arial" w:hAnsi="Arial"/>
          <w:sz w:val="15"/>
          <w:szCs w:val="15"/>
          <w:color w:val="auto"/>
        </w:rPr>
      </w:pPr>
      <w:r>
        <w:rPr>
          <w:rFonts w:ascii="Arial" w:cs="Arial" w:eastAsia="Arial" w:hAnsi="Arial"/>
          <w:sz w:val="15"/>
          <w:szCs w:val="15"/>
          <w:color w:val="auto"/>
        </w:rPr>
        <w:t>Develop axatilimab as a monotherapy in cGVHD. We are conducting the pivotal AGAVE-201 trial for the treatment of patients with cGVHD and are exploring the use of axatilimab to treat other fibrotic diseases where monocyte-derived macrophages have been shown to play a role.</w:t>
      </w:r>
    </w:p>
    <w:p>
      <w:pPr>
        <w:spacing w:after="0" w:line="6" w:lineRule="exact"/>
        <w:rPr>
          <w:rFonts w:ascii="Arial" w:cs="Arial" w:eastAsia="Arial" w:hAnsi="Arial"/>
          <w:sz w:val="15"/>
          <w:szCs w:val="15"/>
          <w:color w:val="auto"/>
        </w:rPr>
      </w:pPr>
    </w:p>
    <w:p>
      <w:pPr>
        <w:ind w:left="1160" w:right="100" w:hanging="577"/>
        <w:spacing w:after="0" w:line="299"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Leverage the technical and business expertise of our management team and scientific collaborators to license, acquire and develop additional cancer therapies to expand our pipeline. We have exclusive rights to axatilimab and SNDX-5613. We are continuing to leverage the collective talent within our organization and network of advisors to guide our pipeline expansion and development plans.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1438910</wp:posOffset>
            </wp:positionH>
            <wp:positionV relativeFrom="paragraph">
              <wp:posOffset>80645</wp:posOffset>
            </wp:positionV>
            <wp:extent cx="4272915" cy="2461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2915" cy="246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SNDX-5613</w:t>
      </w:r>
    </w:p>
    <w:p>
      <w:pPr>
        <w:spacing w:after="0" w:line="220"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Our first clinical-stage product candidate, SNDX-5613, is a potent, orally active inhibitor of the high affinity interaction site on menin with the protein MLL1. This specific interaction is a key driver for two genetically defined acute leukemias: (i) MLLr and (ii) NPM1c AML. Both diseases have a poor prognosis. In preclinical testing, SNDX-5613 has demonstrated benefit in leukemic models of disease. Initial clinical evidence with SNDX-5613 also supports the hypothesis that disruption of the menin-MLL interaction can lead to responses in acute leukemias.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111125</wp:posOffset>
            </wp:positionV>
            <wp:extent cx="3863975" cy="1744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63975" cy="174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We are developing SNDX-5613 as a targeted therapy to potentially treat two genetically defined acute leukemias: (i) a genetically defined subset of acute leukemias with chromosomal rearrangements in the mixed lineage leukemia gene, known as MLLr; and (ii) AML, with a somatic mutation in the nucleophosmin 1, or NPM1, gene, also known as NPM1c. Our near-term focus is to rapidly establish proof-of-concept that SNDX-5613 is a targeted therapy that can potentially provide meaningful clinical benefit to adult and pediatric leukemia patients having relapsed or refractory MLLr or NPM1c acute leukemias. Our investigational new drug, or IND, application for SNDX-5613 took effect with the U.S. Food and Drug Administration, or FDA, in the second quarter of 2019 and we commenced AUGMENT-101, a clinical trial consisting initially of a Phase 1 dose escalation portion to determine the maximum tolerated dose, or MTD, and recommended Phase 2 dose of SNDX-5613 in patients with acute leukemia. We are conducting the trial at multiple centers in the United States. We are completing the Phase 1 portion of the trial and have initiated the pivotal Phase 2 portion of the trial with patients to be enrolled in three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2" w:right="379" w:bottom="1440" w:gutter="0" w:footer="0" w:header="0"/>
        </w:sectPr>
      </w:pPr>
    </w:p>
    <w:bookmarkStart w:id="6" w:name="page7"/>
    <w:bookmarkEnd w:id="6"/>
    <w:p>
      <w:pPr>
        <w:ind w:right="320"/>
        <w:spacing w:after="0" w:line="261" w:lineRule="auto"/>
        <w:rPr>
          <w:sz w:val="20"/>
          <w:szCs w:val="20"/>
          <w:color w:val="auto"/>
        </w:rPr>
      </w:pPr>
      <w:r>
        <w:rPr>
          <w:rFonts w:ascii="Arial" w:cs="Arial" w:eastAsia="Arial" w:hAnsi="Arial"/>
          <w:sz w:val="18"/>
          <w:szCs w:val="18"/>
          <w:color w:val="auto"/>
        </w:rPr>
        <w:t>indication-specific expansion cohorts to determine the efficacy, short- and long-term safety, and tolerability of SNDX-5613 in MLLr ALL, MLLr AML and NPM1c AML.</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September 2021, we participated in a meeting with the FDA to discuss the results of the Phase 1 portion of our AUGMENT-101 trial. At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meeting, the FDA agreed with our recommended Phase 2 dose and confirmed that we may initiate the Phase 2 registration-directed cohorts of AUGMENT-101.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FDA agreed with our proposed statistical design and endpoints for each of the three Phase 2 expansion cohorts.</w:t>
      </w:r>
    </w:p>
    <w:p>
      <w:pPr>
        <w:spacing w:after="0" w:line="202"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Additionally, we announced that we will initiate a frontline trial of SNDX-5613 in combination with venetoclax and azacytidine in newly diagnosed AML patients unable to tolerate induction chemotherapy. The trial will be conducted as part of the Leukemia &amp; Lymphoma Society’s Beat AML Master Clinical Trial, and SNDX-5613 is the first menin inhibitor to be included in the Beat AML Master Clinical Trial. We also announced that we will initiate a trial to assess the anti-leukemic efficacy of SNDX-5613 in MLLr or NPM1 patients with measurable residual disease progression following anti-leukemic treatment. This trial will be conducted as part of the Australian Leukemia and Lymphoma Group INTERCEPT Master Clinical Trial, a collaborative clinical trial investigating novel therapies to target early relapse and clonal evolution as pre-emptive therapy in AML. SNDX-5613 is the first menin inhibitor to be included in the INTERCEPT AML Master Clinical Trial. Lastly, we announced that we will initiate a new trial to assess the safety, tolerability, and preliminary anti-leukemic efficacy of SNDX-5613 in combination with chemotherapy in patients with relapsed or refractory MLLr or mNPM1 acute leukemias. We expect that the Phase 1b trial, which we refer to as AUGMENT-102, will enroll up to 27 patients.</w:t>
      </w:r>
    </w:p>
    <w:p>
      <w:pPr>
        <w:spacing w:after="0" w:line="171" w:lineRule="exact"/>
        <w:rPr>
          <w:sz w:val="20"/>
          <w:szCs w:val="20"/>
          <w:color w:val="auto"/>
        </w:rPr>
      </w:pPr>
    </w:p>
    <w:p>
      <w:pPr>
        <w:ind w:right="160" w:firstLine="589"/>
        <w:spacing w:after="0" w:line="252" w:lineRule="auto"/>
        <w:rPr>
          <w:sz w:val="20"/>
          <w:szCs w:val="20"/>
          <w:color w:val="auto"/>
        </w:rPr>
      </w:pPr>
      <w:r>
        <w:rPr>
          <w:rFonts w:ascii="Arial" w:cs="Arial" w:eastAsia="Arial" w:hAnsi="Arial"/>
          <w:sz w:val="18"/>
          <w:szCs w:val="18"/>
          <w:color w:val="auto"/>
        </w:rPr>
        <w:t>In December 2021, we presented positive date from the Phase 1 portion of our AUGMENT-101 trial in heavily pretreated patients with MLLr or NPM1c mutations in an oral presentation during the American Society of Hematology (ASH) Virtual Annual Meeting. The following table summarizes select efficacy and safety data that has been presented by us throughout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-5080</wp:posOffset>
            </wp:positionV>
            <wp:extent cx="3530600" cy="1477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0600" cy="147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Overall Response Rate = CR + CRh + CRp + CRi + MLFS</w:t>
      </w:r>
    </w:p>
    <w:p>
      <w:pPr>
        <w:spacing w:after="0" w:line="200" w:lineRule="exact"/>
        <w:rPr>
          <w:sz w:val="20"/>
          <w:szCs w:val="20"/>
          <w:color w:val="auto"/>
        </w:rPr>
      </w:pPr>
    </w:p>
    <w:p>
      <w:pPr>
        <w:ind w:right="40" w:firstLine="589"/>
        <w:spacing w:after="0" w:line="252" w:lineRule="auto"/>
        <w:rPr>
          <w:sz w:val="20"/>
          <w:szCs w:val="20"/>
          <w:color w:val="auto"/>
        </w:rPr>
      </w:pPr>
      <w:r>
        <w:rPr>
          <w:rFonts w:ascii="Arial" w:cs="Arial" w:eastAsia="Arial" w:hAnsi="Arial"/>
          <w:sz w:val="18"/>
          <w:szCs w:val="18"/>
          <w:color w:val="auto"/>
        </w:rPr>
        <w:t>In the data that we presented at ASH, SNDX-5613 was well tolerated, with no discontinuations due to treatment-related adverse events observed. The only dose limiting toxicity observed was Grade 3 QT prolongation, which occurred in 7% (n=3/43) of patients treated at the four doses that met the study’s pre-defined recommended Phase 2 dose criteria.</w:t>
      </w:r>
    </w:p>
    <w:p>
      <w:pPr>
        <w:spacing w:after="0" w:line="189" w:lineRule="exact"/>
        <w:rPr>
          <w:sz w:val="20"/>
          <w:szCs w:val="20"/>
          <w:color w:val="auto"/>
        </w:rPr>
      </w:pPr>
    </w:p>
    <w:p>
      <w:pPr>
        <w:ind w:right="40" w:firstLine="589"/>
        <w:spacing w:after="0" w:line="299" w:lineRule="auto"/>
        <w:rPr>
          <w:sz w:val="20"/>
          <w:szCs w:val="20"/>
          <w:color w:val="auto"/>
        </w:rPr>
      </w:pPr>
      <w:r>
        <w:rPr>
          <w:rFonts w:ascii="Arial" w:cs="Arial" w:eastAsia="Arial" w:hAnsi="Arial"/>
          <w:sz w:val="16"/>
          <w:szCs w:val="16"/>
          <w:color w:val="auto"/>
        </w:rPr>
        <w:t>In January 2020, the FDA granted SNDX-5613 Orphan Drug Designation, or ODD, for the treatment of adult and pediatric AML and in June 2021, the FDA granted Fast Track Designation to SNDX-5613 for the treatment of adult and pediatric patients with relapsed or refractory acute leukemias harboring a MLLr or NPM1 mutation. In December 2021, we announced that the European Commission granted ODD to SNDX-5613 for the treatment of AML.</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MLLr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 w:name="page8"/>
    <w:bookmarkEnd w:id="7"/>
    <w:p>
      <w:pPr>
        <w:spacing w:after="0" w:line="280" w:lineRule="auto"/>
        <w:rPr>
          <w:sz w:val="20"/>
          <w:szCs w:val="20"/>
          <w:color w:val="auto"/>
        </w:rPr>
      </w:pPr>
      <w:r>
        <w:rPr>
          <w:rFonts w:ascii="Arial" w:cs="Arial" w:eastAsia="Arial" w:hAnsi="Arial"/>
          <w:sz w:val="16"/>
          <w:szCs w:val="16"/>
          <w:color w:val="auto"/>
        </w:rPr>
        <w:t>MLLr leukemias arise by rare, spontaneous translocations at the MLL1 locus (11q23). It is estimated that approximately 10% of AML and ALL harbor this MLL-re-arrangement with a worldwide incidence of approximately 5,000 to 7,000 cases per year. These translocations generate oncogenic fusion proteins with more than 90 different MLL fusions currently known. All MLL fusion proteins bind with high affinity to the chromatin associated protein menin through a conserved N-terminal sequence. This specific interaction with menin enables an aberrant transcription program that drives leukemic transformation. In pre-clinical animal models, small molecule inhibitors of the menin-MLL interaction have demonstrated deep and durable single agent treatment effects in multiple leukemic xenografts harboring MLL fusions. Inhibiting the menin-MLL1 interaction represents a novel targeted strategy for the treatment of MLLr leukemias. Today, the first choice therapy for both MLLr AML and MLLr ALL still relies heavily on intensive chemotherapy, if a patient can tolerate such treatment. Despite these patients being routinely diagnosed, there are currently no targeted therapies approved to treat patients with MLLr acute leukemias. Currently there are several other clinical-stage menin-inhibitors in development for the treatment of MLLr AML and MLLr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49530</wp:posOffset>
            </wp:positionV>
            <wp:extent cx="4139565" cy="1402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39565" cy="140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Nucleophosmin 1 Mutant AML</w:t>
      </w:r>
    </w:p>
    <w:p>
      <w:pPr>
        <w:spacing w:after="0" w:line="108" w:lineRule="exact"/>
        <w:rPr>
          <w:sz w:val="20"/>
          <w:szCs w:val="20"/>
          <w:color w:val="auto"/>
        </w:rPr>
      </w:pPr>
    </w:p>
    <w:p>
      <w:pPr>
        <w:ind w:right="20" w:firstLine="589"/>
        <w:spacing w:after="0" w:line="282" w:lineRule="auto"/>
        <w:rPr>
          <w:sz w:val="20"/>
          <w:szCs w:val="20"/>
          <w:color w:val="auto"/>
        </w:rPr>
      </w:pPr>
      <w:r>
        <w:rPr>
          <w:rFonts w:ascii="Arial" w:cs="Arial" w:eastAsia="Arial" w:hAnsi="Arial"/>
          <w:sz w:val="16"/>
          <w:szCs w:val="16"/>
          <w:color w:val="auto"/>
        </w:rPr>
        <w:t>NPM1 is among the most frequently mutated genes in AML, found in approximately 30% of AML cases for an incidence of approximately 20,000 cases per year. Mutations in NPM1 lead to the aberrant cytoplasmic localization of the mutants, termed NPM1c. Loss of NPM1c from the nucleus leads to suppression of differentiation and enables a leukemic transcription program that relies critically on the menin-MLL1 complex to drive and maintain the program. As a result, NPM1c harboring cells are sensitive to menin-MLL interaction inhibitors. In NPM1c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NPM1c xenografts. Based on these findings, blocking the menin-MLL1 interaction represents a novel targeted strategy for the treatment of NPM1c AML.</w:t>
      </w:r>
    </w:p>
    <w:p>
      <w:pPr>
        <w:spacing w:after="0" w:line="169"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Like MLLr, NPM1 is readily diagnosed as part of the standard AML patient work-up today, and yet there are no approved targeted therapies approved to treat patients with a NPM1 mutant AML. There are several additional clinical stage agents currently advancing as potential treatments for NPM1 mutant AML.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Axatilimab</w:t>
      </w:r>
    </w:p>
    <w:p>
      <w:pPr>
        <w:spacing w:after="0" w:line="114" w:lineRule="exact"/>
        <w:rPr>
          <w:sz w:val="20"/>
          <w:szCs w:val="20"/>
          <w:color w:val="auto"/>
        </w:rPr>
      </w:pPr>
    </w:p>
    <w:p>
      <w:pPr>
        <w:ind w:right="40" w:firstLine="535"/>
        <w:spacing w:after="0" w:line="281" w:lineRule="auto"/>
        <w:rPr>
          <w:sz w:val="20"/>
          <w:szCs w:val="20"/>
          <w:color w:val="auto"/>
        </w:rPr>
      </w:pPr>
      <w:r>
        <w:rPr>
          <w:rFonts w:ascii="Arial" w:cs="Arial" w:eastAsia="Arial" w:hAnsi="Arial"/>
          <w:sz w:val="16"/>
          <w:szCs w:val="16"/>
          <w:color w:val="auto"/>
        </w:rPr>
        <w:t>We are also developing axatilimab a monoclonal antibody targeting the colony stimulating factor-1 receptor, or CSF-1R, a cell surface protein thought to control the survival and function of monocytes and macrophages. Axatilimab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chronic graft versus host disease, or cGVHD, to be the key regulatory pathway involved in the expansion and infiltration of the macrophages that mediate fibrosis and the cGVHD disease process. Blocking CSF-1R activity with an experimental CSF-1R antibody in these studies was shown to prevent and treat the symptoms of cGVHD. We believe that by inhibiting CSF-1R activation on monocytes and macrophages, axatilimab has the potential to be used to treat cGVHD as well as other fibrotic diseases where monocyte-derived macrophages have been shown to play a significant role.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2251075</wp:posOffset>
            </wp:positionH>
            <wp:positionV relativeFrom="page">
              <wp:posOffset>356235</wp:posOffset>
            </wp:positionV>
            <wp:extent cx="3046095" cy="2002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3046095"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40" w:firstLine="535"/>
        <w:spacing w:after="0" w:line="252" w:lineRule="auto"/>
        <w:rPr>
          <w:sz w:val="20"/>
          <w:szCs w:val="20"/>
          <w:color w:val="auto"/>
        </w:rPr>
      </w:pPr>
      <w:r>
        <w:rPr>
          <w:rFonts w:ascii="Arial" w:cs="Arial" w:eastAsia="Arial" w:hAnsi="Arial"/>
          <w:sz w:val="18"/>
          <w:szCs w:val="18"/>
          <w:color w:val="auto"/>
        </w:rPr>
        <w:t>Our near-term focus is to rapidly establish that axatilimab can provide meaningful clinical benefit in patients with advanced cGVHD where prior therapies are no longer effective and to establish proof-of-concept of using axatilimab to treat other fibrotic diseases where monocyte-derived macrophages have been shown to play a role.</w:t>
      </w:r>
    </w:p>
    <w:p>
      <w:pPr>
        <w:spacing w:after="0" w:line="189" w:lineRule="exact"/>
        <w:rPr>
          <w:sz w:val="20"/>
          <w:szCs w:val="20"/>
          <w:color w:val="auto"/>
        </w:rPr>
      </w:pPr>
    </w:p>
    <w:p>
      <w:pPr>
        <w:ind w:right="100" w:firstLine="535"/>
        <w:spacing w:after="0" w:line="286" w:lineRule="auto"/>
        <w:rPr>
          <w:sz w:val="20"/>
          <w:szCs w:val="20"/>
          <w:color w:val="auto"/>
        </w:rPr>
      </w:pPr>
      <w:r>
        <w:rPr>
          <w:rFonts w:ascii="Arial" w:cs="Arial" w:eastAsia="Arial" w:hAnsi="Arial"/>
          <w:sz w:val="16"/>
          <w:szCs w:val="16"/>
          <w:color w:val="auto"/>
        </w:rPr>
        <w:t>We announced that following our end of Phase 1 meeting with the FDA, we have aligned on a regulatory path for axatilimab for the treatment of cGVHD. We commenced a pivotal Phase 2 trial, AGAVE-201, to assess the safety and efficacy of different doses and schedules of axatilimab for the treatment of patients with cGVHD. The primary endpoint is the objective response rate based on the 2014 NIH consensus criteria for GVHD with key secondary endpoints including duration of response and improvement in modified Lee Symptom Scale score. We anticipate releasing topline data in 2023. We completed enrollment of the Phase 1/2 trial evaluating axatilimab for the treatment of patients with cGVHD in the second quarter of 2021.</w:t>
      </w:r>
    </w:p>
    <w:p>
      <w:pPr>
        <w:spacing w:after="0" w:line="166" w:lineRule="exact"/>
        <w:rPr>
          <w:sz w:val="20"/>
          <w:szCs w:val="20"/>
          <w:color w:val="auto"/>
        </w:rPr>
      </w:pPr>
    </w:p>
    <w:p>
      <w:pPr>
        <w:ind w:right="20" w:firstLine="535"/>
        <w:spacing w:after="0" w:line="280" w:lineRule="auto"/>
        <w:rPr>
          <w:sz w:val="20"/>
          <w:szCs w:val="20"/>
          <w:color w:val="auto"/>
        </w:rPr>
      </w:pPr>
      <w:r>
        <w:rPr>
          <w:rFonts w:ascii="Arial" w:cs="Arial" w:eastAsia="Arial" w:hAnsi="Arial"/>
          <w:sz w:val="16"/>
          <w:szCs w:val="16"/>
          <w:color w:val="auto"/>
        </w:rPr>
        <w:t>In December 2021, we presented positive data from the Phase 1/2 trial of axatilimab in patients with recurrent or refractory chronic cGVHD despite two or more prior lines of therapy in an oral presentation during the American Society of Hematology at ASH. During the presentation, and in a press release that we issued on the presentation date, we shared that as of October 22, 2021 (data cutoff) a total of 40 patients were treated in the SNDX-6352-503 trial, who received a median of four prior systemic therapies. There were 31 evaluable patients treated at 1mg/kg every 2 weeks or 3mg/kg every 4 weeks, the doses that we are testing in the ongoing AGAVE-201 global pivotal study. Of the evaluable patients, responses were observed in 68% (n=21/31) of patients, with a best ORR (complete response (CR) plus partial response) of 72% (n=18/25) at 1mg/kg every two weeks and 50% (n=3/6) at 3mg/kg every four weeks. Responses observed across a range of organ systems with difficult to treat manifestations such as lung (n=5/15), skin (n=3/28), and joints and fascia (n=16/24). Fifty-three percent of patients (n=16/30) reported clinically meaningful improvement as measured by at least a 7-point decrease in Lee Symptom Scale score. As of data cutoff 43% (n=17/40) of patients remained on treatment.</w:t>
      </w:r>
    </w:p>
    <w:p>
      <w:pPr>
        <w:spacing w:after="0" w:line="171" w:lineRule="exact"/>
        <w:rPr>
          <w:sz w:val="20"/>
          <w:szCs w:val="20"/>
          <w:color w:val="auto"/>
        </w:rPr>
      </w:pPr>
    </w:p>
    <w:p>
      <w:pPr>
        <w:ind w:right="140" w:firstLine="589"/>
        <w:spacing w:after="0" w:line="249" w:lineRule="auto"/>
        <w:rPr>
          <w:sz w:val="20"/>
          <w:szCs w:val="20"/>
          <w:color w:val="auto"/>
        </w:rPr>
      </w:pPr>
      <w:r>
        <w:rPr>
          <w:rFonts w:ascii="Arial" w:cs="Arial" w:eastAsia="Arial" w:hAnsi="Arial"/>
          <w:sz w:val="18"/>
          <w:szCs w:val="18"/>
          <w:color w:val="auto"/>
        </w:rPr>
        <w:t>In the data that we presented at ASH, axatilimab was well-tolerated with a favorable safety profile. The most common observed adverse events were consistent with on-target effects on liver enzyme pharmacology. There was no incidence of cytomegalovirus or other viral reactivation and no apparent increases in risk for infection. Enrollment remains ongoing in the global pivotal Phase 2 AGAVE-201 trial of axatilimab in patients with cGVHD, with topline data expected in 2023.</w:t>
      </w:r>
    </w:p>
    <w:p>
      <w:pPr>
        <w:spacing w:after="0" w:line="19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In March and April of 2021, we announced that the FDA granted Orphan Drug Designation to axatilimab for the treatment of patients with cGVHD and idiopathic pulmonary fibrosis, or IPF. In addition to the ongoing AGAVE-201 trial, we and Incyte expect to initiate additional trials of axatilimab in patients with cGVHD in 2022, including a Phase 2 trial in combination with a JAK inhibitor in patients with steroid-refractory cGVHD. Beyond cGVHD, we plan to commence a Phase 2 proof-of-concept trial of axatilimab in the first half of 2022 in patients with IPF.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Axatilimab in GVHD</w:t>
      </w:r>
    </w:p>
    <w:p>
      <w:pPr>
        <w:spacing w:after="0" w:line="108"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cGVHD, an immune response of the donor-derived hematopoietic cells against recipient tissues, is a serious, potentially life-threatening complication of allogeneic hematopoietic stem cell transplantation, or HSCT, that can last for years. cGVHD is estimated to develop in approximately 40% of transplant recipients and affects approximately 14,000 patients in the United States. cGVHD typically manifests across multiple organ systems, with the skin and mucosa being commonly involved, and is characterized by the development of fibrotic tissue</w:t>
      </w:r>
    </w:p>
    <w:p>
      <w:pPr>
        <w:spacing w:after="0" w:line="162" w:lineRule="exact"/>
        <w:rPr>
          <w:sz w:val="20"/>
          <w:szCs w:val="20"/>
          <w:color w:val="auto"/>
        </w:rPr>
      </w:pPr>
    </w:p>
    <w:p>
      <w:pPr>
        <w:ind w:right="20" w:firstLine="589"/>
        <w:spacing w:after="0" w:line="279" w:lineRule="auto"/>
        <w:rPr>
          <w:sz w:val="20"/>
          <w:szCs w:val="20"/>
          <w:color w:val="auto"/>
        </w:rPr>
      </w:pPr>
      <w:r>
        <w:rPr>
          <w:rFonts w:ascii="Arial" w:cs="Arial" w:eastAsia="Arial" w:hAnsi="Arial"/>
          <w:sz w:val="16"/>
          <w:szCs w:val="16"/>
          <w:color w:val="auto"/>
        </w:rPr>
        <w:t xml:space="preserve">The first line of therapy for cGVHD is typically corticosteroids, though approximately 50% of patients may require treatment with additional systemic therapies, such as extracorporeal photopheresis, cytostatic agents such as mycophenolate moftetil, methotrexate, and immunmodulators such as rituximab, IL-2. </w:t>
      </w:r>
      <w:r>
        <w:rPr>
          <w:rFonts w:ascii="Arial" w:cs="Arial" w:eastAsia="Arial" w:hAnsi="Arial"/>
          <w:sz w:val="16"/>
          <w:szCs w:val="16"/>
          <w:i w:val="1"/>
          <w:iCs w:val="1"/>
          <w:color w:val="auto"/>
        </w:rPr>
        <w:t>Imbruvica</w:t>
      </w:r>
      <w:r>
        <w:rPr>
          <w:rFonts w:ascii="Arial" w:cs="Arial" w:eastAsia="Arial" w:hAnsi="Arial"/>
          <w:sz w:val="16"/>
          <w:szCs w:val="16"/>
          <w:color w:val="auto"/>
        </w:rPr>
        <w:t>® (ibrutinib), a BTK inhibitor, was the first FDA-approved therapy for cGVHD and is indicated for use after one or more lines of therapy.</w:t>
      </w:r>
      <w:r>
        <w:rPr>
          <w:rFonts w:ascii="Arial" w:cs="Arial" w:eastAsia="Arial" w:hAnsi="Arial"/>
          <w:sz w:val="16"/>
          <w:szCs w:val="16"/>
          <w:i w:val="1"/>
          <w:iCs w:val="1"/>
          <w:color w:val="auto"/>
        </w:rPr>
        <w:t xml:space="preserve"> Imbruvica </w:t>
      </w:r>
      <w:r>
        <w:rPr>
          <w:rFonts w:ascii="Arial" w:cs="Arial" w:eastAsia="Arial" w:hAnsi="Arial"/>
          <w:sz w:val="16"/>
          <w:szCs w:val="16"/>
          <w:color w:val="auto"/>
        </w:rPr>
        <w:t>received approval based on Phase 1/2 clinical trial data that showed a 68% overall response rate, with 48% of responses lasting 20 weeks or longer and reduced dependence on steroids for most patients. While approved agents have shown a benefit in improving symptoms of this disease, none have demonstrated an improvement in long-term outcomes and a significant unmet medical need still remains for this patient population. Additionally, all currently approved agents are believed to exert their effect through T- and B-cells, with minimal impact on macrophages. By inhibiting the work of monocyte-derived macrophages, Axatilimab, provides a differentiated way to treat cGVHD, which we expect is ultimately expected to have a more pronounced impact on the fibrotic process. We also believe that shifting CSF-1R inhibition earlier in the treatment phase of cGVHD, to minimize formation of fibrotic tissue, could have a meaningful long-term impact on the disease process itself.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11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Entinostat is our oral, small molecule product candidate that has direct effects on both cancer cells and immune regulatory cells, potentially enhancing the body’s immune response to tumors. In May 2020, we reported final results of E2112, the Phase 3 clinical trial conducted by ECOG-ACRIN Cancer Research Group and sponsored by the National Cancer Institute, that evaluated the investigational compound entinostat plus exemestane in patients with advanced hormone receptor positive, human epidermal growth factor receptor 2 negative (HR+, HER2-) breast cancer. The trial did not achieve the primary endpoint of demonstrating a statistically significant overall survival benefit over hormone therapy alone.</w:t>
      </w:r>
    </w:p>
    <w:p>
      <w:pPr>
        <w:spacing w:after="0" w:line="166" w:lineRule="exact"/>
        <w:rPr>
          <w:sz w:val="20"/>
          <w:szCs w:val="20"/>
          <w:color w:val="auto"/>
        </w:rPr>
      </w:pPr>
    </w:p>
    <w:p>
      <w:pPr>
        <w:ind w:firstLine="589"/>
        <w:spacing w:after="0" w:line="261" w:lineRule="auto"/>
        <w:rPr>
          <w:sz w:val="20"/>
          <w:szCs w:val="20"/>
          <w:color w:val="auto"/>
        </w:rPr>
      </w:pPr>
      <w:r>
        <w:rPr>
          <w:rFonts w:ascii="Arial" w:cs="Arial" w:eastAsia="Arial" w:hAnsi="Arial"/>
          <w:sz w:val="18"/>
          <w:szCs w:val="18"/>
          <w:color w:val="auto"/>
        </w:rPr>
        <w:t>We have deprioritized the development of entinostat, but may opportunistically explore potential disease areas where entinostat could play an important therapeutic role.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 Collaboration and License Agreement</w:t>
      </w:r>
    </w:p>
    <w:p>
      <w:pPr>
        <w:spacing w:after="0" w:line="108" w:lineRule="exact"/>
        <w:rPr>
          <w:sz w:val="20"/>
          <w:szCs w:val="20"/>
          <w:color w:val="auto"/>
        </w:rPr>
      </w:pPr>
    </w:p>
    <w:p>
      <w:pPr>
        <w:ind w:right="80" w:firstLine="589"/>
        <w:spacing w:after="0" w:line="279" w:lineRule="auto"/>
        <w:rPr>
          <w:sz w:val="20"/>
          <w:szCs w:val="20"/>
          <w:color w:val="auto"/>
        </w:rPr>
      </w:pPr>
      <w:r>
        <w:rPr>
          <w:rFonts w:ascii="Arial" w:cs="Arial" w:eastAsia="Arial" w:hAnsi="Arial"/>
          <w:sz w:val="16"/>
          <w:szCs w:val="16"/>
          <w:color w:val="auto"/>
        </w:rPr>
        <w:t>In September 2021, we entered into a collaboration and license agreement, or the Incyte Agreement, with Incyte for the development and commercialization of axatilimab. Additionally, in September 2021 the Company entered into a share purchase agreement with Incyte, or Incyte Share Purchase Agreement. Collectively referred to as the Incyte Agreements. Under the terms of the Incyte Agreement, Incyte received exclusive commercialization rights outside of the United States, and we and Incyte will, subject to the exercise of our co-promotion option, have co-commercialization rights in the United States, with respect to axatilimab. Incyte is responsible for leading commercialization strategy and booking all revenue from worldwide sales of axatilimab, subject to its royalty payment obligations set forth below. The parties will share equally the profits and losses from the co-commercialization efforts. We and Incyte are co-developing axatilimab and sharing development costs associated with global and U.S.-specific clinical trials, with Incyte responsible for 55% of such costs and we are responsible for 45% of such costs. Each company is responsible for funding any independent development activities. All development costs related to the collaboration are subject to a joint development plan. A joint development committee between us and Incyte will govern future development of axatilimab.</w:t>
      </w:r>
    </w:p>
    <w:p>
      <w:pPr>
        <w:spacing w:after="0" w:line="174" w:lineRule="exact"/>
        <w:rPr>
          <w:sz w:val="20"/>
          <w:szCs w:val="20"/>
          <w:color w:val="auto"/>
        </w:rPr>
      </w:pPr>
    </w:p>
    <w:p>
      <w:pPr>
        <w:ind w:right="380" w:firstLine="589"/>
        <w:spacing w:after="0" w:line="299" w:lineRule="auto"/>
        <w:rPr>
          <w:sz w:val="20"/>
          <w:szCs w:val="20"/>
          <w:color w:val="auto"/>
        </w:rPr>
      </w:pPr>
      <w:r>
        <w:rPr>
          <w:rFonts w:ascii="Arial" w:cs="Arial" w:eastAsia="Arial" w:hAnsi="Arial"/>
          <w:sz w:val="16"/>
          <w:szCs w:val="16"/>
          <w:color w:val="auto"/>
        </w:rPr>
        <w:t>In addition, we and Incyte entered into a Letter Agreement memorializing how the parties would work together in the event that the government intervened in the proposed collaboration and the parties are forced to terminate and unwind the collaboration. Pursuant to the Letter Agreement, the parties agreed, in part, (i) to permit Incyte to terminate the Incyte Agreement through September 2022 if, prior to March 23, 2022, either party for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 w:name="page11"/>
    <w:bookmarkEnd w:id="10"/>
    <w:p>
      <w:pPr>
        <w:spacing w:after="0" w:line="280" w:lineRule="auto"/>
        <w:rPr>
          <w:sz w:val="20"/>
          <w:szCs w:val="20"/>
          <w:color w:val="auto"/>
        </w:rPr>
      </w:pPr>
      <w:r>
        <w:rPr>
          <w:rFonts w:ascii="Arial" w:cs="Arial" w:eastAsia="Arial" w:hAnsi="Arial"/>
          <w:sz w:val="16"/>
          <w:szCs w:val="16"/>
          <w:color w:val="auto"/>
        </w:rPr>
        <w:t>first time receives a formal request from either the Federal Trade Commission or the Department of Justice, Antitrust Division, regarding the Incyte Agreement, which we refer to as the Termination Right, and (ii) to provide the parties with a mechanism to settle any gain or loss related to Incyte’s equity investment in the Company solely in the event that Incyte exercises its Termination Right. If Incyte exercises its Termination Right, (x) we will refund to Incyte the $117 million upfront license fee and any payments made by Incyte for royalties, milestones and development costs and any other amounts paid by Incyte to us under the Incyte Agreement, and (y) we will waive any remaining lock-up restrictions and Incyte may sell may the shares of our common stock that it purchased in connection with its equity investment pursuant to the Incyte Agreement. Following a sale of its shares, Incyte will remit to us any gain that it received, or, alternatively, we will repay Incyte for any loss that it incurred in each case in connection with the sale of the shares. The Termination Right expires if the parties do not receive a formal request before March 23, 2022. To date, the parties have not received any formal request from either the Federal Trade Commission or the Department of Justice, Antitrust Division.</w:t>
      </w:r>
    </w:p>
    <w:p>
      <w:pPr>
        <w:spacing w:after="0" w:line="17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Upon signing the Letter Agreement in December 2021 both the Incyte Agreement and Incyte Share Purchase Agreement became effective. As a result, we received an upfront fee of $117 million and we issued 1,421,523 shares of common stock for an aggregate purchase price of $35 million, or $24.62 per share. We are eligible to receive up to $230 million in commercialization milestones as well as tiered royalties ranging in the mid-teens on sales outside of the United States.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NCI and Investigator Collaborations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w:t>
      </w:r>
    </w:p>
    <w:p>
      <w:pPr>
        <w:spacing w:after="0" w:line="108" w:lineRule="exact"/>
        <w:rPr>
          <w:sz w:val="20"/>
          <w:szCs w:val="20"/>
          <w:color w:val="auto"/>
        </w:rPr>
      </w:pPr>
    </w:p>
    <w:p>
      <w:pPr>
        <w:jc w:val="both"/>
        <w:ind w:right="260" w:firstLine="589"/>
        <w:spacing w:after="0" w:line="249" w:lineRule="auto"/>
        <w:rPr>
          <w:sz w:val="20"/>
          <w:szCs w:val="20"/>
          <w:color w:val="auto"/>
        </w:rPr>
      </w:pPr>
      <w:r>
        <w:rPr>
          <w:rFonts w:ascii="Arial" w:cs="Arial" w:eastAsia="Arial" w:hAnsi="Arial"/>
          <w:sz w:val="18"/>
          <w:szCs w:val="18"/>
          <w:color w:val="auto"/>
        </w:rPr>
        <w:t>Our collaboration with the NCI is governed by a CRADA between us and the NCI. The CRADA was originally signed by Mitsui Pharmaceuticals, Inc., or Mitsui, and was then assigned to Schering AG following Schering AG’s acquisition of Mitsui. In 2007, Schering AG, then known as Bayer Schering Pharma AG, agreed to assign the CRADA to us in connection with the execution of a license, development and commercialization agreement, or the Bayer license agreement, with Bayer.</w:t>
      </w:r>
    </w:p>
    <w:p>
      <w:pPr>
        <w:spacing w:after="0" w:line="19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62" w:lineRule="exact"/>
        <w:rPr>
          <w:sz w:val="20"/>
          <w:szCs w:val="20"/>
          <w:color w:val="auto"/>
        </w:rPr>
      </w:pPr>
    </w:p>
    <w:p>
      <w:pPr>
        <w:ind w:right="200" w:firstLine="589"/>
        <w:spacing w:after="0" w:line="248" w:lineRule="auto"/>
        <w:rPr>
          <w:sz w:val="20"/>
          <w:szCs w:val="20"/>
          <w:color w:val="auto"/>
        </w:rPr>
      </w:pPr>
      <w:r>
        <w:rPr>
          <w:rFonts w:ascii="Arial" w:cs="Arial" w:eastAsia="Arial" w:hAnsi="Arial"/>
          <w:sz w:val="18"/>
          <w:szCs w:val="18"/>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92" w:lineRule="exact"/>
        <w:rPr>
          <w:sz w:val="20"/>
          <w:szCs w:val="20"/>
          <w:color w:val="auto"/>
        </w:rPr>
      </w:pPr>
    </w:p>
    <w:p>
      <w:pPr>
        <w:ind w:right="440" w:firstLine="589"/>
        <w:spacing w:after="0" w:line="324" w:lineRule="auto"/>
        <w:rPr>
          <w:sz w:val="20"/>
          <w:szCs w:val="20"/>
          <w:color w:val="auto"/>
        </w:rPr>
      </w:pPr>
      <w:r>
        <w:rPr>
          <w:rFonts w:ascii="Arial" w:cs="Arial" w:eastAsia="Arial" w:hAnsi="Arial"/>
          <w:sz w:val="16"/>
          <w:szCs w:val="16"/>
          <w:color w:val="auto"/>
        </w:rPr>
        <w:t>Either party may terminate the CRADA either by mutual consent or unilaterally upon advance written notice to the other party. Absent such early termination, the CRADA will expire on May 21, 2023. As we have in the past, we expect to renew the CRADA at that time.</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Axatilimab and Entinostat</w:t>
      </w:r>
    </w:p>
    <w:p>
      <w:pPr>
        <w:spacing w:after="0" w:line="108"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In September 2016, we entered into an additional collaboration with the NCI related to both entinostat and axatilimab. Under the CRADA, the NCI sponsors preclinical and clinical studies on entinostat and axatilimab using researchers at the NCI as well as NCI-funded researchers at other institutions. In return, we receive access to the data generated in these preclinical and clinical studies and we are obligated to supply the laboratories and clinical trial sites with sufficient quantities of entinostat and axatilimab. Additionally, we are required to make an annual payment to a particular NCI laboratory to help support certain research studies related to this and other preclinical and clinical trials. We have no other payment obligations under the CRADA.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 w:name="page12"/>
    <w:bookmarkEnd w:id="11"/>
    <w:p>
      <w:pPr>
        <w:ind w:right="40" w:firstLine="589"/>
        <w:spacing w:after="0" w:line="248" w:lineRule="auto"/>
        <w:rPr>
          <w:sz w:val="20"/>
          <w:szCs w:val="20"/>
          <w:color w:val="auto"/>
        </w:rPr>
      </w:pPr>
      <w:r>
        <w:rPr>
          <w:rFonts w:ascii="Arial" w:cs="Arial" w:eastAsia="Arial" w:hAnsi="Arial"/>
          <w:sz w:val="18"/>
          <w:szCs w:val="18"/>
          <w:color w:val="auto"/>
        </w:rPr>
        <w:t>We own all intellectual property generated during the collaboration with the NCI, or Axatilimab Collaboration IP, to the extent that Axatilimab Collaboration IP is generated by our employees. We also have an exclusive option to obtain an exclusive or non-exclusive commercialization license under Axatilimab Collaboration IP generated by the NCI. With respect to any Axatilimab Collaboration IP that is owned by or licensed to us, we have agreed to grant the U.S. government a non-exclusive license to practice or have practiced this Axatilimab Collaboration IP throughout the world by or on behalf of the government for research or other government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108" w:lineRule="exact"/>
        <w:rPr>
          <w:sz w:val="20"/>
          <w:szCs w:val="20"/>
          <w:color w:val="auto"/>
        </w:rPr>
      </w:pPr>
    </w:p>
    <w:p>
      <w:pPr>
        <w:ind w:right="100" w:firstLine="589"/>
        <w:spacing w:after="0" w:line="299" w:lineRule="auto"/>
        <w:rPr>
          <w:sz w:val="20"/>
          <w:szCs w:val="20"/>
          <w:color w:val="auto"/>
        </w:rPr>
      </w:pPr>
      <w:r>
        <w:rPr>
          <w:rFonts w:ascii="Arial" w:cs="Arial" w:eastAsia="Arial" w:hAnsi="Arial"/>
          <w:sz w:val="16"/>
          <w:szCs w:val="16"/>
          <w:color w:val="auto"/>
        </w:rPr>
        <w:t>We have a license agreement with Vitae Pharmaceuticals, Inc., a subsidiary of AbbVie plc, or the AbbVie License Agreement, under which Vitae granted us an exclusive, sublicenseable, worldwide license to, preclinical, orally-available, small molecule inhibitors of the interaction of menin with the MLL protein, or the Menin Assets. We are solely responsible for the development and commercialization of the Menin Assets.</w:t>
      </w:r>
    </w:p>
    <w:p>
      <w:pPr>
        <w:spacing w:after="0" w:line="48" w:lineRule="exact"/>
        <w:rPr>
          <w:sz w:val="20"/>
          <w:szCs w:val="20"/>
          <w:color w:val="auto"/>
        </w:rPr>
      </w:pPr>
    </w:p>
    <w:p>
      <w:pPr>
        <w:ind w:right="80" w:firstLine="589"/>
        <w:spacing w:after="0" w:line="281" w:lineRule="auto"/>
        <w:rPr>
          <w:sz w:val="20"/>
          <w:szCs w:val="20"/>
          <w:color w:val="auto"/>
        </w:rPr>
      </w:pPr>
      <w:r>
        <w:rPr>
          <w:rFonts w:ascii="Arial" w:cs="Arial" w:eastAsia="Arial" w:hAnsi="Arial"/>
          <w:sz w:val="16"/>
          <w:szCs w:val="16"/>
          <w:color w:val="auto"/>
        </w:rPr>
        <w:t>Subject to the achievement of certain milestone events, we may be required to pay Vitae up to an aggregate of $99 million in one-time development and regulatory milestone payments over the term of the AbbVie License Agreement. In the event that we or any of its affiliates or sublicensees commercializes the Menin Assets,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 In June 2019, we achieved certain development and regulatory milestones resulting in a $4.0 million payment, which was paid with interest in May 2020. In January 2022, we dosed the first patient in our pivotal phase 2 study, consequently completing our phase 1 study. Completion of the phase 1 study requires us to pay AbbVie a $2.0 million development milestone. We anticipate paying this milestone in the first quarter of 2022.</w:t>
      </w:r>
    </w:p>
    <w:p>
      <w:pPr>
        <w:spacing w:after="0" w:line="169" w:lineRule="exact"/>
        <w:rPr>
          <w:sz w:val="20"/>
          <w:szCs w:val="20"/>
          <w:color w:val="auto"/>
        </w:rPr>
      </w:pPr>
    </w:p>
    <w:p>
      <w:pPr>
        <w:ind w:right="280" w:firstLine="589"/>
        <w:spacing w:after="0" w:line="284" w:lineRule="auto"/>
        <w:rPr>
          <w:sz w:val="20"/>
          <w:szCs w:val="20"/>
          <w:color w:val="auto"/>
        </w:rPr>
      </w:pPr>
      <w:r>
        <w:rPr>
          <w:rFonts w:ascii="Arial" w:cs="Arial" w:eastAsia="Arial" w:hAnsi="Arial"/>
          <w:sz w:val="16"/>
          <w:szCs w:val="16"/>
          <w:color w:val="auto"/>
        </w:rPr>
        <w:t>Each party may terminate the AbbVie License Agreement for the other party’s uncured material breach or insolvency; and we may terminate the AbbVie License Agreement at will at any time upon advance written notice to Vitae. Vitae may terminate the AbbVie License Agreement if we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UCB</w:t>
      </w:r>
    </w:p>
    <w:p>
      <w:pPr>
        <w:spacing w:after="0" w:line="108" w:lineRule="exact"/>
        <w:rPr>
          <w:sz w:val="20"/>
          <w:szCs w:val="20"/>
          <w:color w:val="auto"/>
        </w:rPr>
      </w:pPr>
    </w:p>
    <w:p>
      <w:pPr>
        <w:ind w:right="20" w:firstLine="589"/>
        <w:spacing w:after="0" w:line="248" w:lineRule="auto"/>
        <w:rPr>
          <w:sz w:val="20"/>
          <w:szCs w:val="20"/>
          <w:color w:val="auto"/>
        </w:rPr>
      </w:pPr>
      <w:r>
        <w:rPr>
          <w:rFonts w:ascii="Arial" w:cs="Arial" w:eastAsia="Arial" w:hAnsi="Arial"/>
          <w:sz w:val="18"/>
          <w:szCs w:val="18"/>
          <w:color w:val="auto"/>
        </w:rPr>
        <w:t>We have a license agreement with UCB, or the UCB license agreement, under which UCB granted us a worldwide, sublicenseable, exclusive license to UCB6352, which the Company refers to as axatilimab. The UCB license agreement permits us to use axatilimab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 We are solely responsible for the development and commercialization of axatilimab.</w:t>
      </w:r>
    </w:p>
    <w:p>
      <w:pPr>
        <w:spacing w:after="0" w:line="192"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During the year ended December 31, 2020 and 2021, we were required to pay $2.0 million and $4.0 million, respectively, due to the achievement of certain development and regulatory milestones. As of December 31, 2021, $2.0 million is recorded as an accrued expense.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2" w:name="page13"/>
    <w:bookmarkEnd w:id="12"/>
    <w:p>
      <w:pPr>
        <w:ind w:right="60" w:firstLine="589"/>
        <w:spacing w:after="0" w:line="284" w:lineRule="auto"/>
        <w:rPr>
          <w:sz w:val="20"/>
          <w:szCs w:val="20"/>
          <w:color w:val="auto"/>
        </w:rPr>
      </w:pPr>
      <w:r>
        <w:rPr>
          <w:rFonts w:ascii="Arial" w:cs="Arial" w:eastAsia="Arial" w:hAnsi="Arial"/>
          <w:sz w:val="16"/>
          <w:szCs w:val="16"/>
          <w:color w:val="auto"/>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Pharma AG</w:t>
      </w:r>
    </w:p>
    <w:p>
      <w:pPr>
        <w:spacing w:after="0" w:line="108" w:lineRule="exact"/>
        <w:rPr>
          <w:sz w:val="20"/>
          <w:szCs w:val="20"/>
          <w:color w:val="auto"/>
        </w:rPr>
      </w:pPr>
    </w:p>
    <w:p>
      <w:pPr>
        <w:ind w:right="140" w:firstLine="589"/>
        <w:spacing w:after="0" w:line="286" w:lineRule="auto"/>
        <w:rPr>
          <w:sz w:val="20"/>
          <w:szCs w:val="20"/>
          <w:color w:val="auto"/>
        </w:rPr>
      </w:pPr>
      <w:r>
        <w:rPr>
          <w:rFonts w:ascii="Arial" w:cs="Arial" w:eastAsia="Arial" w:hAnsi="Arial"/>
          <w:sz w:val="16"/>
          <w:szCs w:val="16"/>
          <w:color w:val="auto"/>
        </w:rPr>
        <w:t>We have a license agreement with Bayer Pharma AG, or Bayer,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66"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We are obligated to pay up to approximately $50.0 million in the aggregate upon obtaining certain milestones in the development and marketing approval of entinostat, assuming that we pursue at least two different indications for entinostat or any other licensed product. We are also obligated to pay Bayer up to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9" w:lineRule="exact"/>
        <w:rPr>
          <w:sz w:val="20"/>
          <w:szCs w:val="20"/>
          <w:color w:val="auto"/>
        </w:rPr>
      </w:pPr>
    </w:p>
    <w:p>
      <w:pPr>
        <w:ind w:right="60" w:firstLine="589"/>
        <w:spacing w:after="0" w:line="246"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Eddingpharm International Company Limited</w:t>
      </w:r>
    </w:p>
    <w:p>
      <w:pPr>
        <w:spacing w:after="0" w:line="108" w:lineRule="exact"/>
        <w:rPr>
          <w:sz w:val="20"/>
          <w:szCs w:val="20"/>
          <w:color w:val="auto"/>
        </w:rPr>
      </w:pPr>
    </w:p>
    <w:p>
      <w:pPr>
        <w:ind w:right="140" w:firstLine="589"/>
        <w:spacing w:after="0" w:line="282" w:lineRule="auto"/>
        <w:rPr>
          <w:sz w:val="20"/>
          <w:szCs w:val="20"/>
          <w:color w:val="auto"/>
        </w:rPr>
      </w:pPr>
      <w:r>
        <w:rPr>
          <w:rFonts w:ascii="Arial" w:cs="Arial" w:eastAsia="Arial" w:hAnsi="Arial"/>
          <w:sz w:val="16"/>
          <w:szCs w:val="16"/>
          <w:color w:val="auto"/>
        </w:rPr>
        <w:t>We have a license, development and commercialization agreement with Eddingpharm International Company Limited, or Eddingpharm, under which we granted Eddingpharm an exclusive license under our intellectual property rights to develop and commercialize entinostat in China and certain other Asian countries. This license includes a sublicense under the rights we received under the Bayer license agreement. If we acquire or develop any other anti-cancer drug that, like entinostat, is a selective inhibitor of Class I HDAC, such drug will be included in this license as well. Eddingpharm is manufacturing entinostat during the term of the agreement or through termination of the agreement for our breach. During the term of the agreement, subject to certain exceptions, each party is prohibited from commercializing in China and certain other Asian countries any other selective inhibitor of Class I HDACs for the same indication as entinostat, with all forms of cancer being treated as the same indication.</w:t>
      </w:r>
    </w:p>
    <w:p>
      <w:pPr>
        <w:spacing w:after="0" w:line="169" w:lineRule="exact"/>
        <w:rPr>
          <w:sz w:val="20"/>
          <w:szCs w:val="20"/>
          <w:color w:val="auto"/>
        </w:rPr>
      </w:pPr>
    </w:p>
    <w:p>
      <w:pPr>
        <w:ind w:right="60" w:firstLine="589"/>
        <w:spacing w:after="0" w:line="249" w:lineRule="auto"/>
        <w:rPr>
          <w:sz w:val="20"/>
          <w:szCs w:val="20"/>
          <w:color w:val="auto"/>
        </w:rPr>
      </w:pPr>
      <w:r>
        <w:rPr>
          <w:rFonts w:ascii="Arial" w:cs="Arial" w:eastAsia="Arial" w:hAnsi="Arial"/>
          <w:sz w:val="18"/>
          <w:szCs w:val="18"/>
          <w:color w:val="auto"/>
        </w:rPr>
        <w:t>We are eligible to receive up to $10.0 million in development and regulatory milestone payments as well as royalty payments based on revenue targets. Royalty payment obligations will be payable in each country in the Eddingpharm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Eddingpharm’s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development of entinostat in the Eddingpharm territory will be made by us out of the payments we receive from Eddingpharm.</w:t>
      </w:r>
    </w:p>
    <w:p>
      <w:pPr>
        <w:spacing w:after="0" w:line="214"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The agreement with Eddingpharm will expire with respect to each country in the Eddingpharm territory upon the expiration of all royalty payment obligations in such country. In addition, we may terminate the agreement in its entirety upon written notice to Eddingpharm if Eddingpharm or any affiliate commences any action or proceeding that challenges the validity, enforceability or scope of any licensed patent in the Eddingpharm territory. Eddingpharm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Eddingpharm may, instead of terminating the agreement, elect to continue the agreement in full force and effect except certain payments to us will be reduced.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14"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intend to build a commercial infrastructure to support sales of our product candidates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4" w:lineRule="exact"/>
        <w:rPr>
          <w:sz w:val="20"/>
          <w:szCs w:val="20"/>
          <w:color w:val="auto"/>
        </w:rPr>
      </w:pPr>
    </w:p>
    <w:p>
      <w:pPr>
        <w:ind w:right="20" w:firstLine="589"/>
        <w:spacing w:after="0" w:line="282" w:lineRule="auto"/>
        <w:rPr>
          <w:sz w:val="20"/>
          <w:szCs w:val="20"/>
          <w:color w:val="auto"/>
        </w:rPr>
      </w:pPr>
      <w:r>
        <w:rPr>
          <w:rFonts w:ascii="Arial" w:cs="Arial" w:eastAsia="Arial" w:hAnsi="Arial"/>
          <w:sz w:val="16"/>
          <w:szCs w:val="16"/>
          <w:color w:val="auto"/>
        </w:rPr>
        <w:t>We do not own or operate manufacturing facilities for the production of axatilimab, SNDX-5613 or entinostat, and we do not have plans to develop our own manufacturing operations in the foreseeable future. We currently rely on third-party contract manufacturers for all of our required raw materials, active pharmaceutical ingredients and finished product for our preclinical research and clinical trials. We do not have any current contractual relationship for the manufacture of commercial supplies. If axatilimab, SNDX-5613 or entinostat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08"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color w:val="auto"/>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4" w:name="page15"/>
    <w:bookmarkEnd w:id="14"/>
    <w:p>
      <w:pPr>
        <w:ind w:firstLine="589"/>
        <w:spacing w:after="0" w:line="286" w:lineRule="auto"/>
        <w:rPr>
          <w:sz w:val="20"/>
          <w:szCs w:val="20"/>
          <w:color w:val="auto"/>
        </w:rPr>
      </w:pPr>
      <w:r>
        <w:rPr>
          <w:rFonts w:ascii="Arial" w:cs="Arial" w:eastAsia="Arial" w:hAnsi="Arial"/>
          <w:sz w:val="16"/>
          <w:szCs w:val="16"/>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 Patent Portfolio</w:t>
      </w:r>
    </w:p>
    <w:p>
      <w:pPr>
        <w:spacing w:after="0" w:line="108" w:lineRule="exact"/>
        <w:rPr>
          <w:sz w:val="20"/>
          <w:szCs w:val="20"/>
          <w:color w:val="auto"/>
        </w:rPr>
      </w:pPr>
    </w:p>
    <w:p>
      <w:pPr>
        <w:ind w:right="260" w:firstLine="589"/>
        <w:spacing w:after="0" w:line="290" w:lineRule="auto"/>
        <w:rPr>
          <w:sz w:val="20"/>
          <w:szCs w:val="20"/>
          <w:color w:val="auto"/>
        </w:rPr>
      </w:pPr>
      <w:r>
        <w:rPr>
          <w:rFonts w:ascii="Arial" w:cs="Arial" w:eastAsia="Arial" w:hAnsi="Arial"/>
          <w:sz w:val="16"/>
          <w:szCs w:val="16"/>
          <w:color w:val="auto"/>
        </w:rPr>
        <w:t>We in-licensed from UCB a patent portfolio directed to axatilimab. As of December 31, 2021, the axatilimab composition-of-matter patent portfolio included two granted U.S. patents, seven allowed non-U.S. applications, fourteen granted non-U.S. patents, including a granted EP patent which has been validated in 37 countries, and 19 non-U.S. pending patent applications. The in-licensed granted patents covering axatilimab, and any non-U.S. pending applications should they issue, will expire in August 2034 or later should patent term extension be granted.</w:t>
      </w:r>
    </w:p>
    <w:p>
      <w:pPr>
        <w:spacing w:after="0" w:line="162" w:lineRule="exact"/>
        <w:rPr>
          <w:sz w:val="20"/>
          <w:szCs w:val="20"/>
          <w:color w:val="auto"/>
        </w:rPr>
      </w:pPr>
    </w:p>
    <w:p>
      <w:pPr>
        <w:jc w:val="both"/>
        <w:ind w:right="120" w:firstLine="589"/>
        <w:spacing w:after="0" w:line="247" w:lineRule="auto"/>
        <w:rPr>
          <w:sz w:val="20"/>
          <w:szCs w:val="20"/>
          <w:color w:val="auto"/>
        </w:rPr>
      </w:pPr>
      <w:r>
        <w:rPr>
          <w:rFonts w:ascii="Arial" w:cs="Arial" w:eastAsia="Arial" w:hAnsi="Arial"/>
          <w:sz w:val="18"/>
          <w:szCs w:val="18"/>
          <w:color w:val="auto"/>
        </w:rPr>
        <w:t>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these pending applications were to issue as one or more patents, these patents would expire between November 2024 and February 2036 or later should patent term extension be granted. Further, the in-licensed portfolio includes three non-U.S. patents directed to methods of treating solid tumors by administration of an inhibitor of CSF-1R activity. The three patents expired in October 2020.</w:t>
      </w:r>
    </w:p>
    <w:p>
      <w:pPr>
        <w:spacing w:after="0" w:line="89" w:lineRule="exact"/>
        <w:rPr>
          <w:sz w:val="20"/>
          <w:szCs w:val="20"/>
          <w:color w:val="auto"/>
        </w:rPr>
      </w:pPr>
    </w:p>
    <w:p>
      <w:pPr>
        <w:ind w:right="140" w:firstLine="589"/>
        <w:spacing w:after="0" w:line="286" w:lineRule="auto"/>
        <w:rPr>
          <w:sz w:val="20"/>
          <w:szCs w:val="20"/>
          <w:color w:val="auto"/>
        </w:rPr>
      </w:pPr>
      <w:r>
        <w:rPr>
          <w:rFonts w:ascii="Arial" w:cs="Arial" w:eastAsia="Arial" w:hAnsi="Arial"/>
          <w:sz w:val="16"/>
          <w:szCs w:val="16"/>
          <w:color w:val="auto"/>
        </w:rPr>
        <w:t>Our owned axatilimab patent portfolio includes one pending U.S. patent application and six non-U.S. patent application directed to combinations of entinostat and axatilimab. If any one of these applications were to issue as one or more patents, these patents would expire in May 2038 or later should patent term extension be granted. Our owned axatilimab patent portfolio also consists of one pending international patent application under the Patent Cooperation Treaty, or PCT, directed to the treatment regimens and methods of using axatilimab. If this PCT application were to issue as one or more patents, these patents would expire in December 2040 or later should patent term extension be granted.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Menin Asset Patent Portfolio</w:t>
      </w:r>
    </w:p>
    <w:p>
      <w:pPr>
        <w:spacing w:after="0" w:line="108" w:lineRule="exact"/>
        <w:rPr>
          <w:sz w:val="20"/>
          <w:szCs w:val="20"/>
          <w:color w:val="auto"/>
        </w:rPr>
      </w:pPr>
    </w:p>
    <w:p>
      <w:pPr>
        <w:ind w:right="80" w:firstLine="589"/>
        <w:spacing w:after="0" w:line="284" w:lineRule="auto"/>
        <w:rPr>
          <w:sz w:val="20"/>
          <w:szCs w:val="20"/>
          <w:color w:val="auto"/>
        </w:rPr>
      </w:pPr>
      <w:r>
        <w:rPr>
          <w:rFonts w:ascii="Arial" w:cs="Arial" w:eastAsia="Arial" w:hAnsi="Arial"/>
          <w:sz w:val="16"/>
          <w:szCs w:val="16"/>
          <w:color w:val="auto"/>
        </w:rPr>
        <w:t>We in-licensed from Vitae Pharmaceuticals, Inc., a subsidiary of AbbVie plc, a patent portfolio directed to a series of selective preclinical inhibitors targeting the binding interaction of menin with MLL-r. As of December 31, 2021, the in-licensed portfolio includes two granted U.S. patents, U.S. Patent Nos. 10,683,302 and 10,899,758, six granted non-U.S patents, including a granted European patent, which was validated in 30 member states, two pending U.S. applications and 28 non-U.S. pending patent applications covering composition of matter and methods of treating, e.g., MLL. The granted patents based on the in-licensed applications is expected to expire June 2037 or later should patent term extension be granted. If the in-licensed application were to issue as one or more patents, these patents would expire between June 2037 and September 2037.</w:t>
      </w:r>
    </w:p>
    <w:p>
      <w:pPr>
        <w:spacing w:after="0" w:line="166" w:lineRule="exact"/>
        <w:rPr>
          <w:sz w:val="20"/>
          <w:szCs w:val="20"/>
          <w:color w:val="auto"/>
        </w:rPr>
      </w:pPr>
    </w:p>
    <w:p>
      <w:pPr>
        <w:ind w:right="180" w:firstLine="589"/>
        <w:spacing w:after="0" w:line="248" w:lineRule="auto"/>
        <w:rPr>
          <w:sz w:val="20"/>
          <w:szCs w:val="20"/>
          <w:color w:val="auto"/>
        </w:rPr>
      </w:pPr>
      <w:r>
        <w:rPr>
          <w:rFonts w:ascii="Arial" w:cs="Arial" w:eastAsia="Arial" w:hAnsi="Arial"/>
          <w:sz w:val="18"/>
          <w:szCs w:val="18"/>
          <w:color w:val="auto"/>
        </w:rPr>
        <w:t>Our owned menin patent portfolio consists of one pending international patent application under the Patent Cooperation Treaty, or PCT, directed to combinations of a menin inhibitor and a CYP3A inhibitor for the treatment of various cancers. Our owned menin patent portfolio also consists of two U.S. provisional applications directed to menin inhibitors and combinations with various other compounds. If any applications arising from the PCT or provisional applications were to issue as one or more patents, these patents would expire between April 2041 and May 2042 or later should patent term extension be granted.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08" w:lineRule="exact"/>
        <w:rPr>
          <w:sz w:val="20"/>
          <w:szCs w:val="20"/>
          <w:color w:val="auto"/>
        </w:rPr>
      </w:pPr>
    </w:p>
    <w:p>
      <w:pPr>
        <w:ind w:right="20" w:firstLine="589"/>
        <w:spacing w:after="0" w:line="299" w:lineRule="auto"/>
        <w:rPr>
          <w:sz w:val="20"/>
          <w:szCs w:val="20"/>
          <w:color w:val="auto"/>
        </w:rPr>
      </w:pPr>
      <w:r>
        <w:rPr>
          <w:rFonts w:ascii="Arial" w:cs="Arial" w:eastAsia="Arial" w:hAnsi="Arial"/>
          <w:sz w:val="16"/>
          <w:szCs w:val="16"/>
          <w:color w:val="auto"/>
        </w:rPr>
        <w:t>We strive to protect entinostat with multiple layers of patents. As of December 31, 2021, our portfolio included four owned pending U.S. non-provisional patent applications, one owned granted U.S. patent, U.S. Patent No. 10,226,472, which expires in August 2032 or later should patent term extension be granted, one allowed U.S. non-provisional patent application directed to methods of treating a patient with combinations of entinostat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5" w:name="page16"/>
    <w:bookmarkEnd w:id="15"/>
    <w:p>
      <w:pPr>
        <w:ind w:right="80"/>
        <w:spacing w:after="0" w:line="279" w:lineRule="auto"/>
        <w:rPr>
          <w:sz w:val="20"/>
          <w:szCs w:val="20"/>
          <w:color w:val="auto"/>
        </w:rPr>
      </w:pPr>
      <w:r>
        <w:rPr>
          <w:rFonts w:ascii="Arial" w:cs="Arial" w:eastAsia="Arial" w:hAnsi="Arial"/>
          <w:sz w:val="16"/>
          <w:szCs w:val="16"/>
          <w:color w:val="auto"/>
        </w:rPr>
        <w:t>pembrolizumab, eight granted non-U.S. patents (including one Canadian patent jointly owned with The Regents of the University of Colorado, which will expire in April 2029), and 49 owned non-U.S. pending patent applications. Also, we have filed national phase applications in the Eurasia Regional Patent Office, Ukraine and Georgia based on our owned PCT application directed to treatment of selected breast cancer patients with a combination of entinostat and exemestane. We have assigned our rights to the application we filed in the Eurasia Regional Patent Office to Domain Russia Investments Limited, or DRI. We have also assigned our rights to the applications we filed in Ukraine and Georgia to NovaMedica LLC, or NovaMedica. Our owned entinostat patent portfolio includes pending U.S. and ex-U.S. patent applications directed to methods of treating cancer patients by administration of entinostat and exemestane, methods of treating cancer patients by administration of entinostat in combination with an HER2 inhibitor, treatments with entinostat combined with anti PD-1 or anti PD-L1 antibodies, entinostat and CSF-1 or CSF-1R combination therapies (also discussed above in the Axatilimab Patent Portfolio) and patient selection for combination therapy comprising entinostat and a second therapeutic agent. If our owned pending U.S. applications and non-U.S. filings were to issue as one or more patents, these patents would expire between August 2032 and May 2039.</w:t>
      </w:r>
    </w:p>
    <w:p>
      <w:pPr>
        <w:spacing w:after="0" w:line="174" w:lineRule="exact"/>
        <w:rPr>
          <w:sz w:val="20"/>
          <w:szCs w:val="20"/>
          <w:color w:val="auto"/>
        </w:rPr>
      </w:pPr>
    </w:p>
    <w:p>
      <w:pPr>
        <w:ind w:right="60" w:firstLine="589"/>
        <w:spacing w:after="0" w:line="247" w:lineRule="auto"/>
        <w:rPr>
          <w:sz w:val="20"/>
          <w:szCs w:val="20"/>
          <w:color w:val="auto"/>
        </w:rPr>
      </w:pPr>
      <w:r>
        <w:rPr>
          <w:rFonts w:ascii="Arial" w:cs="Arial" w:eastAsia="Arial" w:hAnsi="Arial"/>
          <w:sz w:val="18"/>
          <w:szCs w:val="18"/>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2019,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which expired in September 2017.</w:t>
      </w:r>
    </w:p>
    <w:p>
      <w:pPr>
        <w:spacing w:after="0" w:line="194"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71" w:lineRule="exact"/>
        <w:rPr>
          <w:sz w:val="20"/>
          <w:szCs w:val="20"/>
          <w:color w:val="auto"/>
        </w:rPr>
      </w:pPr>
    </w:p>
    <w:p>
      <w:pPr>
        <w:ind w:right="20" w:firstLine="589"/>
        <w:spacing w:after="0" w:line="279" w:lineRule="auto"/>
        <w:rPr>
          <w:sz w:val="20"/>
          <w:szCs w:val="20"/>
          <w:color w:val="auto"/>
        </w:rPr>
      </w:pPr>
      <w:r>
        <w:rPr>
          <w:rFonts w:ascii="Arial" w:cs="Arial" w:eastAsia="Arial" w:hAnsi="Arial"/>
          <w:sz w:val="16"/>
          <w:szCs w:val="16"/>
          <w:color w:val="auto"/>
        </w:rPr>
        <w:t>Of the unexpired foreign-granted patents we licensed from Bayer, there are 33 granted foreign counterparts of the ‘166 patent (now RE45,499) that cover crystalline polymorph B, including the European patent and Eurasian patent. The granted European patent comprises 37 national countries that have all been validated, and the granted Eurasian patent comprises nine countries that have all been validated. Likewise, there are 3 pending foreign counterparts of the ‘166 crystalline polymorph B patent. Other patents and patent applications in the licensed Bayer portfolio are expired and cover methods of treatment by administration of entinostat. For example, U.S. Patent 7,317,028, which expired in October 2017, covers methods of treating selected cancers by administration of entinostat; U.S. Patent 7,687,525, which also expired in September 2017, covers methods of treating autoimmune disease by administration of entinostat; U.S. Patent 6,320,078, which expired in July 2019, covers methods of manufacturing entinostat; U.S. Patent No. 8,026,239, which expired in September 2017, covers methods of treating certain malignant tumors by administration of a compound within a subgenus of benzamide compounds including entinostat; U.S. Patent RE40,703, which expired in September 2017, covers a subgenus of benzamide compounds that does not include entinostat; and U.S. Patent 6,794,392, which expired in September 2017, covers a subgenus of benzamide compounds that does not include entinostat.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08" w:lineRule="exact"/>
        <w:rPr>
          <w:sz w:val="20"/>
          <w:szCs w:val="20"/>
          <w:color w:val="auto"/>
        </w:rPr>
      </w:pPr>
    </w:p>
    <w:p>
      <w:pPr>
        <w:ind w:right="280" w:firstLine="589"/>
        <w:spacing w:after="0" w:line="261"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81" w:lineRule="exact"/>
        <w:rPr>
          <w:sz w:val="20"/>
          <w:szCs w:val="20"/>
          <w:color w:val="auto"/>
        </w:rPr>
      </w:pPr>
    </w:p>
    <w:p>
      <w:pPr>
        <w:ind w:right="100" w:firstLine="589"/>
        <w:spacing w:after="0" w:line="279" w:lineRule="auto"/>
        <w:rPr>
          <w:sz w:val="20"/>
          <w:szCs w:val="20"/>
          <w:color w:val="auto"/>
        </w:rPr>
      </w:pPr>
      <w:r>
        <w:rPr>
          <w:rFonts w:ascii="Arial" w:cs="Arial" w:eastAsia="Arial" w:hAnsi="Arial"/>
          <w:sz w:val="16"/>
          <w:szCs w:val="16"/>
          <w:color w:val="auto"/>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08"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89" w:lineRule="exact"/>
        <w:rPr>
          <w:sz w:val="20"/>
          <w:szCs w:val="20"/>
          <w:color w:val="auto"/>
        </w:rPr>
      </w:pPr>
    </w:p>
    <w:p>
      <w:pPr>
        <w:ind w:right="420" w:firstLine="589"/>
        <w:spacing w:after="0" w:line="299"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08" w:lineRule="exact"/>
        <w:rPr>
          <w:sz w:val="20"/>
          <w:szCs w:val="20"/>
          <w:color w:val="auto"/>
        </w:rPr>
      </w:pPr>
    </w:p>
    <w:p>
      <w:pPr>
        <w:ind w:right="40" w:firstLine="589"/>
        <w:spacing w:after="0" w:line="248" w:lineRule="auto"/>
        <w:rPr>
          <w:sz w:val="20"/>
          <w:szCs w:val="20"/>
          <w:color w:val="auto"/>
        </w:rPr>
      </w:pPr>
      <w:r>
        <w:rPr>
          <w:rFonts w:ascii="Arial" w:cs="Arial" w:eastAsia="Arial" w:hAnsi="Arial"/>
          <w:sz w:val="18"/>
          <w:szCs w:val="18"/>
          <w:color w:val="auto"/>
        </w:rPr>
        <w:t>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Biopharmaceutical Product Development Process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process required by the FDA before biopharmaceutical products may be marketed in the United States generally involves the following:</w:t>
      </w:r>
    </w:p>
    <w:p>
      <w:pPr>
        <w:spacing w:after="0" w:line="131" w:lineRule="exact"/>
        <w:rPr>
          <w:sz w:val="20"/>
          <w:szCs w:val="20"/>
          <w:color w:val="auto"/>
        </w:rPr>
      </w:pPr>
    </w:p>
    <w:p>
      <w:pPr>
        <w:ind w:left="1160" w:right="300" w:hanging="577"/>
        <w:spacing w:after="0" w:line="261"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134" w:lineRule="exact"/>
        <w:rPr>
          <w:rFonts w:ascii="Arial" w:cs="Arial" w:eastAsia="Arial" w:hAnsi="Arial"/>
          <w:sz w:val="18"/>
          <w:szCs w:val="18"/>
          <w:color w:val="auto"/>
        </w:rPr>
      </w:pPr>
    </w:p>
    <w:p>
      <w:pPr>
        <w:ind w:left="1160" w:right="60" w:hanging="577"/>
        <w:spacing w:after="0" w:line="324"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 w:name="page18"/>
    <w:bookmarkEnd w:id="17"/>
    <w:p>
      <w:pPr>
        <w:ind w:left="1160" w:hanging="57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NDA for a new drug product or a Biologics License Application, or BLA, for biologics;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application for filing and review;</w:t>
      </w:r>
    </w:p>
    <w:p>
      <w:pPr>
        <w:spacing w:after="0" w:line="134" w:lineRule="exact"/>
        <w:rPr>
          <w:rFonts w:ascii="Arial" w:cs="Arial" w:eastAsia="Arial" w:hAnsi="Arial"/>
          <w:sz w:val="18"/>
          <w:szCs w:val="18"/>
          <w:color w:val="auto"/>
        </w:rPr>
      </w:pPr>
    </w:p>
    <w:p>
      <w:pPr>
        <w:ind w:left="1160" w:right="140" w:hanging="577"/>
        <w:spacing w:after="0" w:line="25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84" w:lineRule="exact"/>
        <w:rPr>
          <w:rFonts w:ascii="Arial" w:cs="Arial" w:eastAsia="Arial" w:hAnsi="Arial"/>
          <w:sz w:val="18"/>
          <w:szCs w:val="18"/>
          <w:color w:val="auto"/>
        </w:rPr>
      </w:pPr>
    </w:p>
    <w:p>
      <w:pPr>
        <w:ind w:left="1160" w:hanging="57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an NDA or BLA;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FDA review and approval of an NDA or BLA prior to any commercial marketing or sale of the biopharmaceutical product in the United States.</w:t>
      </w:r>
    </w:p>
    <w:p>
      <w:pPr>
        <w:spacing w:after="0" w:line="263" w:lineRule="exact"/>
        <w:rPr>
          <w:sz w:val="20"/>
          <w:szCs w:val="20"/>
          <w:color w:val="auto"/>
        </w:rPr>
      </w:pPr>
    </w:p>
    <w:p>
      <w:pPr>
        <w:ind w:right="160" w:firstLine="589"/>
        <w:spacing w:after="0" w:line="299" w:lineRule="auto"/>
        <w:rPr>
          <w:sz w:val="20"/>
          <w:szCs w:val="20"/>
          <w:color w:val="auto"/>
        </w:rPr>
      </w:pPr>
      <w:r>
        <w:rPr>
          <w:rFonts w:ascii="Arial" w:cs="Arial" w:eastAsia="Arial" w:hAnsi="Arial"/>
          <w:sz w:val="16"/>
          <w:szCs w:val="16"/>
          <w:color w:val="auto"/>
        </w:rPr>
        <w:t>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w:t>
      </w:r>
    </w:p>
    <w:p>
      <w:pPr>
        <w:spacing w:after="0" w:line="154"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108" w:lineRule="exact"/>
        <w:rPr>
          <w:sz w:val="20"/>
          <w:szCs w:val="20"/>
          <w:color w:val="auto"/>
        </w:rPr>
      </w:pPr>
    </w:p>
    <w:p>
      <w:pPr>
        <w:ind w:left="1160" w:right="420" w:hanging="577"/>
        <w:spacing w:after="0" w:line="361" w:lineRule="auto"/>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6" w:lineRule="exact"/>
        <w:rPr>
          <w:rFonts w:ascii="Arial" w:cs="Arial" w:eastAsia="Arial" w:hAnsi="Arial"/>
          <w:sz w:val="15"/>
          <w:szCs w:val="15"/>
          <w:color w:val="auto"/>
        </w:rPr>
      </w:pPr>
    </w:p>
    <w:p>
      <w:pPr>
        <w:ind w:left="1160" w:right="20" w:hanging="577"/>
        <w:spacing w:after="0" w:line="361" w:lineRule="auto"/>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6" w:lineRule="exact"/>
        <w:rPr>
          <w:rFonts w:ascii="Arial" w:cs="Arial" w:eastAsia="Arial" w:hAnsi="Arial"/>
          <w:sz w:val="15"/>
          <w:szCs w:val="15"/>
          <w:color w:val="auto"/>
        </w:rPr>
      </w:pPr>
    </w:p>
    <w:p>
      <w:pPr>
        <w:ind w:left="1160" w:right="120" w:hanging="577"/>
        <w:spacing w:after="0" w:line="252"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89" w:lineRule="exact"/>
        <w:rPr>
          <w:sz w:val="20"/>
          <w:szCs w:val="20"/>
          <w:color w:val="auto"/>
        </w:rPr>
      </w:pPr>
    </w:p>
    <w:p>
      <w:pPr>
        <w:ind w:right="40" w:firstLine="589"/>
        <w:spacing w:after="0" w:line="252"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89" w:lineRule="exact"/>
        <w:rPr>
          <w:sz w:val="20"/>
          <w:szCs w:val="20"/>
          <w:color w:val="auto"/>
        </w:rPr>
      </w:pPr>
    </w:p>
    <w:p>
      <w:pPr>
        <w:ind w:right="40" w:firstLine="589"/>
        <w:spacing w:after="0" w:line="299" w:lineRule="auto"/>
        <w:rPr>
          <w:sz w:val="20"/>
          <w:szCs w:val="20"/>
          <w:color w:val="auto"/>
        </w:rPr>
      </w:pPr>
      <w:r>
        <w:rPr>
          <w:rFonts w:ascii="Arial" w:cs="Arial" w:eastAsia="Arial" w:hAnsi="Arial"/>
          <w:sz w:val="16"/>
          <w:szCs w:val="16"/>
          <w:color w:val="auto"/>
        </w:rPr>
        <w:t>Some clinical trials are overseen by an independent group of qualified experts organized by the clinical trial sponsor, known as a data monitoring board or committee. This group provides recommendations for whether or not a trial may move forward at designated checkpoints based on access to certain data from the study. A sponsor may also suspend or terminate a clinical trial based on evolving business objectives and/or competitive climate.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8" w:name="page19"/>
    <w:bookmarkEnd w:id="18"/>
    <w:p>
      <w:pPr>
        <w:ind w:firstLine="589"/>
        <w:spacing w:after="0" w:line="309"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08"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6"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71" w:lineRule="exact"/>
        <w:rPr>
          <w:sz w:val="20"/>
          <w:szCs w:val="20"/>
          <w:color w:val="auto"/>
        </w:rPr>
      </w:pPr>
    </w:p>
    <w:p>
      <w:pPr>
        <w:ind w:right="120" w:firstLine="589"/>
        <w:spacing w:after="0" w:line="249" w:lineRule="auto"/>
        <w:rPr>
          <w:sz w:val="20"/>
          <w:szCs w:val="20"/>
          <w:color w:val="auto"/>
        </w:rPr>
      </w:pPr>
      <w:r>
        <w:rPr>
          <w:rFonts w:ascii="Arial" w:cs="Arial" w:eastAsia="Arial" w:hAnsi="Arial"/>
          <w:sz w:val="18"/>
          <w:szCs w:val="18"/>
          <w:color w:val="auto"/>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w:t>
      </w:r>
    </w:p>
    <w:p>
      <w:pPr>
        <w:spacing w:after="0" w:line="192" w:lineRule="exact"/>
        <w:rPr>
          <w:sz w:val="20"/>
          <w:szCs w:val="20"/>
          <w:color w:val="auto"/>
        </w:rPr>
      </w:pPr>
    </w:p>
    <w:p>
      <w:pPr>
        <w:ind w:right="80" w:firstLine="589"/>
        <w:spacing w:after="0" w:line="249"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92" w:lineRule="exact"/>
        <w:rPr>
          <w:sz w:val="20"/>
          <w:szCs w:val="20"/>
          <w:color w:val="auto"/>
        </w:rPr>
      </w:pPr>
    </w:p>
    <w:p>
      <w:pPr>
        <w:ind w:right="200" w:firstLine="589"/>
        <w:spacing w:after="0" w:line="299" w:lineRule="auto"/>
        <w:rPr>
          <w:sz w:val="20"/>
          <w:szCs w:val="20"/>
          <w:color w:val="auto"/>
        </w:rPr>
      </w:pPr>
      <w:r>
        <w:rPr>
          <w:rFonts w:ascii="Arial" w:cs="Arial" w:eastAsia="Arial" w:hAnsi="Arial"/>
          <w:sz w:val="16"/>
          <w:szCs w:val="16"/>
          <w:color w:val="auto"/>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spacing w:after="0" w:line="154"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9" w:name="page20"/>
    <w:bookmarkEnd w:id="19"/>
    <w:p>
      <w:pPr>
        <w:jc w:val="both"/>
        <w:ind w:right="40"/>
        <w:spacing w:after="0" w:line="252" w:lineRule="auto"/>
        <w:rPr>
          <w:sz w:val="20"/>
          <w:szCs w:val="20"/>
          <w:color w:val="auto"/>
        </w:rPr>
      </w:pPr>
      <w:r>
        <w:rPr>
          <w:rFonts w:ascii="Arial" w:cs="Arial" w:eastAsia="Arial" w:hAnsi="Arial"/>
          <w:sz w:val="18"/>
          <w:szCs w:val="18"/>
          <w:color w:val="auto"/>
        </w:rPr>
        <w:t>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08"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Breakthrough therapy designation does not change the standards for approval but may expedite the development or review process.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8"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81" w:lineRule="exact"/>
        <w:rPr>
          <w:sz w:val="20"/>
          <w:szCs w:val="20"/>
          <w:color w:val="auto"/>
        </w:rPr>
      </w:pPr>
    </w:p>
    <w:p>
      <w:pPr>
        <w:ind w:right="120" w:firstLine="589"/>
        <w:spacing w:after="0" w:line="280" w:lineRule="auto"/>
        <w:rPr>
          <w:sz w:val="20"/>
          <w:szCs w:val="20"/>
          <w:color w:val="auto"/>
        </w:rPr>
      </w:pPr>
      <w:r>
        <w:rPr>
          <w:rFonts w:ascii="Arial" w:cs="Arial" w:eastAsia="Arial" w:hAnsi="Arial"/>
          <w:sz w:val="16"/>
          <w:szCs w:val="16"/>
          <w:color w:val="auto"/>
        </w:rPr>
        <w:t>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171"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The FDA closely regulates the labeling, marketing and promotion of drugs and biologics. While doctors are free to prescribe any drug approved by the FDA for any use based on the doctor’s independent medical judgement, a company can only make claims relating to safety and efficacy of a drug that are consistent with FDA approval, and the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8" w:lineRule="exact"/>
        <w:rPr>
          <w:sz w:val="20"/>
          <w:szCs w:val="20"/>
          <w:color w:val="auto"/>
        </w:rPr>
      </w:pPr>
    </w:p>
    <w:p>
      <w:pPr>
        <w:ind w:firstLine="589"/>
        <w:spacing w:after="0" w:line="279" w:lineRule="auto"/>
        <w:rPr>
          <w:sz w:val="20"/>
          <w:szCs w:val="20"/>
          <w:color w:val="auto"/>
        </w:rPr>
      </w:pPr>
      <w:r>
        <w:rPr>
          <w:rFonts w:ascii="Arial" w:cs="Arial" w:eastAsia="Arial" w:hAnsi="Arial"/>
          <w:sz w:val="16"/>
          <w:szCs w:val="16"/>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74" w:lineRule="exact"/>
        <w:rPr>
          <w:sz w:val="20"/>
          <w:szCs w:val="20"/>
          <w:color w:val="auto"/>
        </w:rPr>
      </w:pPr>
    </w:p>
    <w:p>
      <w:pPr>
        <w:ind w:right="120" w:firstLine="589"/>
        <w:spacing w:after="0" w:line="284"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66" w:lineRule="exact"/>
        <w:rPr>
          <w:sz w:val="20"/>
          <w:szCs w:val="20"/>
          <w:color w:val="auto"/>
        </w:rPr>
      </w:pPr>
    </w:p>
    <w:p>
      <w:pPr>
        <w:ind w:right="40" w:firstLine="589"/>
        <w:spacing w:after="0" w:line="278" w:lineRule="auto"/>
        <w:rPr>
          <w:sz w:val="20"/>
          <w:szCs w:val="20"/>
          <w:color w:val="auto"/>
        </w:rPr>
      </w:pPr>
      <w:r>
        <w:rPr>
          <w:rFonts w:ascii="Arial" w:cs="Arial" w:eastAsia="Arial" w:hAnsi="Arial"/>
          <w:sz w:val="16"/>
          <w:szCs w:val="16"/>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653"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08" w:lineRule="exact"/>
        <w:rPr>
          <w:sz w:val="20"/>
          <w:szCs w:val="20"/>
          <w:color w:val="auto"/>
        </w:rPr>
      </w:pPr>
    </w:p>
    <w:p>
      <w:pPr>
        <w:ind w:right="240" w:firstLine="589"/>
        <w:spacing w:after="0" w:line="252" w:lineRule="auto"/>
        <w:rPr>
          <w:sz w:val="20"/>
          <w:szCs w:val="20"/>
          <w:color w:val="auto"/>
        </w:rPr>
      </w:pPr>
      <w:r>
        <w:rPr>
          <w:rFonts w:ascii="Arial" w:cs="Arial" w:eastAsia="Arial" w:hAnsi="Arial"/>
          <w:sz w:val="18"/>
          <w:szCs w:val="18"/>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spacing w:after="0" w:line="84" w:lineRule="exact"/>
        <w:rPr>
          <w:sz w:val="20"/>
          <w:szCs w:val="20"/>
          <w:color w:val="auto"/>
        </w:rPr>
      </w:pPr>
    </w:p>
    <w:p>
      <w:pPr>
        <w:ind w:left="1160" w:hanging="577"/>
        <w:spacing w:after="0" w:line="281"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64" w:lineRule="exact"/>
        <w:rPr>
          <w:rFonts w:ascii="Arial" w:cs="Arial" w:eastAsia="Arial" w:hAnsi="Arial"/>
          <w:sz w:val="16"/>
          <w:szCs w:val="16"/>
          <w:color w:val="auto"/>
        </w:rPr>
      </w:pPr>
    </w:p>
    <w:p>
      <w:pPr>
        <w:ind w:left="1180" w:right="120" w:hanging="583"/>
        <w:spacing w:after="0" w:line="247"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spacing w:after="0" w:line="88" w:lineRule="exact"/>
        <w:rPr>
          <w:rFonts w:ascii="Arial" w:cs="Arial" w:eastAsia="Arial" w:hAnsi="Arial"/>
          <w:sz w:val="18"/>
          <w:szCs w:val="18"/>
          <w:color w:val="auto"/>
        </w:rPr>
      </w:pPr>
    </w:p>
    <w:p>
      <w:pPr>
        <w:ind w:left="1180" w:right="100" w:hanging="583"/>
        <w:spacing w:after="0" w:line="252"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a scheme or making false or fraudulent statements to defraud any healthcare benefit program, regardless of the payor (e.g., public or private);</w:t>
      </w:r>
    </w:p>
    <w:p>
      <w:pPr>
        <w:spacing w:after="0" w:line="84" w:lineRule="exact"/>
        <w:rPr>
          <w:rFonts w:ascii="Arial" w:cs="Arial" w:eastAsia="Arial" w:hAnsi="Arial"/>
          <w:sz w:val="18"/>
          <w:szCs w:val="18"/>
          <w:color w:val="auto"/>
        </w:rPr>
      </w:pPr>
    </w:p>
    <w:p>
      <w:pPr>
        <w:ind w:left="1180" w:right="20" w:hanging="583"/>
        <w:spacing w:after="0" w:line="286" w:lineRule="auto"/>
        <w:tabs>
          <w:tab w:leader="none" w:pos="1180" w:val="left"/>
        </w:tabs>
        <w:numPr>
          <w:ilvl w:val="1"/>
          <w:numId w:val="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covered subcontractors;</w:t>
      </w:r>
    </w:p>
    <w:p>
      <w:pPr>
        <w:spacing w:after="0" w:line="60" w:lineRule="exact"/>
        <w:rPr>
          <w:rFonts w:ascii="Arial" w:cs="Arial" w:eastAsia="Arial" w:hAnsi="Arial"/>
          <w:sz w:val="16"/>
          <w:szCs w:val="16"/>
          <w:color w:val="auto"/>
        </w:rPr>
      </w:pPr>
    </w:p>
    <w:p>
      <w:pPr>
        <w:ind w:left="1180" w:right="20" w:hanging="583"/>
        <w:spacing w:after="0" w:line="247"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88" w:lineRule="exact"/>
        <w:rPr>
          <w:rFonts w:ascii="Arial" w:cs="Arial" w:eastAsia="Arial" w:hAnsi="Arial"/>
          <w:sz w:val="18"/>
          <w:szCs w:val="18"/>
          <w:color w:val="auto"/>
        </w:rPr>
      </w:pPr>
    </w:p>
    <w:p>
      <w:pPr>
        <w:ind w:left="1180" w:hanging="583"/>
        <w:spacing w:after="0" w:line="282" w:lineRule="auto"/>
        <w:tabs>
          <w:tab w:leader="none" w:pos="1180" w:val="left"/>
        </w:tabs>
        <w:numPr>
          <w:ilvl w:val="1"/>
          <w:numId w:val="8"/>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 w:name="page23"/>
    <w:bookmarkEnd w:id="22"/>
    <w:p>
      <w:pPr>
        <w:ind w:right="220" w:firstLine="589"/>
        <w:spacing w:after="0" w:line="252" w:lineRule="auto"/>
        <w:rPr>
          <w:sz w:val="20"/>
          <w:szCs w:val="20"/>
          <w:color w:val="auto"/>
        </w:rPr>
      </w:pPr>
      <w:r>
        <w:rPr>
          <w:rFonts w:ascii="Arial" w:cs="Arial" w:eastAsia="Arial" w:hAnsi="Arial"/>
          <w:sz w:val="18"/>
          <w:szCs w:val="18"/>
          <w:color w:val="auto"/>
        </w:rPr>
        <w:t>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9" w:lineRule="exact"/>
        <w:rPr>
          <w:sz w:val="20"/>
          <w:szCs w:val="20"/>
          <w:color w:val="auto"/>
        </w:rPr>
      </w:pPr>
    </w:p>
    <w:p>
      <w:pPr>
        <w:ind w:right="100" w:firstLine="589"/>
        <w:spacing w:after="0" w:line="284"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66"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8" w:lineRule="exact"/>
        <w:rPr>
          <w:sz w:val="20"/>
          <w:szCs w:val="20"/>
          <w:color w:val="auto"/>
        </w:rPr>
      </w:pPr>
    </w:p>
    <w:p>
      <w:pPr>
        <w:ind w:right="20" w:firstLine="589"/>
        <w:spacing w:after="0" w:line="280"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changed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66" w:lineRule="exact"/>
        <w:rPr>
          <w:sz w:val="20"/>
          <w:szCs w:val="20"/>
          <w:color w:val="auto"/>
        </w:rPr>
      </w:pPr>
    </w:p>
    <w:p>
      <w:pPr>
        <w:ind w:left="1160" w:hanging="57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4" w:lineRule="exact"/>
        <w:rPr>
          <w:rFonts w:ascii="Arial" w:cs="Arial" w:eastAsia="Arial" w:hAnsi="Arial"/>
          <w:sz w:val="18"/>
          <w:szCs w:val="18"/>
          <w:color w:val="auto"/>
        </w:rPr>
      </w:pPr>
    </w:p>
    <w:p>
      <w:pPr>
        <w:ind w:left="1160" w:right="140" w:hanging="577"/>
        <w:spacing w:after="0" w:line="261"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1160" w:right="460" w:hanging="577"/>
        <w:spacing w:after="0" w:line="261"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 sale discounts off negotiated prices;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3" w:name="page24"/>
    <w:bookmarkEnd w:id="23"/>
    <w:p>
      <w:pPr>
        <w:ind w:left="1160" w:hanging="57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4" w:lineRule="exact"/>
        <w:rPr>
          <w:rFonts w:ascii="Arial" w:cs="Arial" w:eastAsia="Arial" w:hAnsi="Arial"/>
          <w:sz w:val="18"/>
          <w:szCs w:val="18"/>
          <w:color w:val="auto"/>
        </w:rPr>
      </w:pPr>
    </w:p>
    <w:p>
      <w:pPr>
        <w:ind w:left="1160" w:right="140" w:hanging="577"/>
        <w:spacing w:after="0" w:line="261"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1"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There have been executive, judicial and Congressional challenges to certain aspects of the Affordable Care Act. For example, the Tax Cuts and Jobs Act of 2017, or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eliminated the health insurer tax.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Prior to the U.S. Supreme Court ruling, on January 28, 2021,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PPACA will be subject to judicial or Congressional challenges in the future. It is unclear how any such challenges and the healthcare reform measures of the Biden administration will impact the Affordable Care Act.</w:t>
      </w:r>
    </w:p>
    <w:p>
      <w:pPr>
        <w:spacing w:after="0" w:line="174" w:lineRule="exact"/>
        <w:rPr>
          <w:sz w:val="20"/>
          <w:szCs w:val="20"/>
          <w:color w:val="auto"/>
        </w:rPr>
      </w:pPr>
    </w:p>
    <w:p>
      <w:pPr>
        <w:ind w:right="40" w:firstLine="589"/>
        <w:spacing w:after="0" w:line="276"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and guidance in September 2020, providing pathways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December 27, 2021, CMS issued a final rule that rescinded an interim final rule implementing the Trump administration’s Most Favored Nation executive order, which would tie Medicare Part B payments for certain physician-administered drugs to the lowest price paid in other economically advanced countries.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Congress is also considering additional health reform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purchasing. It is also possible that additional governmental action will be taken in response to the COVID-19 pandemic.</w:t>
      </w:r>
    </w:p>
    <w:p>
      <w:pPr>
        <w:spacing w:after="0" w:line="214" w:lineRule="exact"/>
        <w:rPr>
          <w:sz w:val="20"/>
          <w:szCs w:val="20"/>
          <w:color w:val="auto"/>
        </w:rPr>
      </w:pPr>
    </w:p>
    <w:p>
      <w:pPr>
        <w:ind w:right="320" w:firstLine="589"/>
        <w:spacing w:after="0" w:line="252" w:lineRule="auto"/>
        <w:rPr>
          <w:sz w:val="20"/>
          <w:szCs w:val="20"/>
          <w:color w:val="auto"/>
        </w:rPr>
      </w:pPr>
      <w:r>
        <w:rPr>
          <w:rFonts w:ascii="Arial" w:cs="Arial" w:eastAsia="Arial" w:hAnsi="Arial"/>
          <w:sz w:val="18"/>
          <w:szCs w:val="18"/>
          <w:color w:val="auto"/>
        </w:rPr>
        <w:t>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08"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08" w:lineRule="exact"/>
        <w:rPr>
          <w:sz w:val="20"/>
          <w:szCs w:val="20"/>
          <w:color w:val="auto"/>
        </w:rPr>
      </w:pPr>
    </w:p>
    <w:p>
      <w:pPr>
        <w:ind w:right="300" w:firstLine="589"/>
        <w:spacing w:after="0" w:line="252"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14" w:lineRule="exact"/>
        <w:rPr>
          <w:sz w:val="20"/>
          <w:szCs w:val="20"/>
          <w:color w:val="auto"/>
        </w:rPr>
      </w:pPr>
    </w:p>
    <w:p>
      <w:pPr>
        <w:ind w:right="300" w:firstLine="589"/>
        <w:spacing w:after="0" w:line="252" w:lineRule="auto"/>
        <w:rPr>
          <w:sz w:val="20"/>
          <w:szCs w:val="20"/>
          <w:color w:val="auto"/>
        </w:rPr>
      </w:pPr>
      <w:r>
        <w:rPr>
          <w:rFonts w:ascii="Arial" w:cs="Arial" w:eastAsia="Arial" w:hAnsi="Arial"/>
          <w:sz w:val="18"/>
          <w:szCs w:val="18"/>
          <w:color w:val="auto"/>
        </w:rPr>
        <w:t>As of February 25, 2022, we had 59 full-time employees. Of the full-time employees, 41 were primarily engaged in research and development activities and 15 have an M.D. or Ph.D. degree. None of our employees are represented by labor unions or covered by collective bargaining agreements. We consider our relationship with our employees to be good.</w:t>
      </w:r>
    </w:p>
    <w:p>
      <w:pPr>
        <w:spacing w:after="0" w:line="189"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Compensation and Benefits</w:t>
      </w:r>
    </w:p>
    <w:p>
      <w:pPr>
        <w:spacing w:after="0" w:line="108" w:lineRule="exact"/>
        <w:rPr>
          <w:sz w:val="20"/>
          <w:szCs w:val="20"/>
          <w:color w:val="auto"/>
        </w:rPr>
      </w:pPr>
    </w:p>
    <w:p>
      <w:pPr>
        <w:ind w:right="120" w:firstLine="589"/>
        <w:spacing w:after="0" w:line="284" w:lineRule="auto"/>
        <w:rPr>
          <w:sz w:val="20"/>
          <w:szCs w:val="20"/>
          <w:color w:val="auto"/>
        </w:rPr>
      </w:pPr>
      <w:r>
        <w:rPr>
          <w:rFonts w:ascii="Arial" w:cs="Arial" w:eastAsia="Arial" w:hAnsi="Arial"/>
          <w:sz w:val="16"/>
          <w:szCs w:val="16"/>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robust benefits package to promote well-being across all aspects of their lives, including health care, retirement planning and paid time off. In addition, we have conducted employee surveys to gauge employee engagement and identify areas of future focus for our human capital practices and benefits offerings.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Diversity, Equity and Inclusion (DEI)</w:t>
      </w:r>
    </w:p>
    <w:p>
      <w:pPr>
        <w:spacing w:after="0" w:line="108" w:lineRule="exact"/>
        <w:rPr>
          <w:sz w:val="20"/>
          <w:szCs w:val="20"/>
          <w:color w:val="auto"/>
        </w:rPr>
      </w:pPr>
    </w:p>
    <w:p>
      <w:pPr>
        <w:ind w:right="20" w:firstLine="589"/>
        <w:spacing w:after="0" w:line="299" w:lineRule="auto"/>
        <w:rPr>
          <w:sz w:val="20"/>
          <w:szCs w:val="20"/>
          <w:color w:val="auto"/>
        </w:rPr>
      </w:pPr>
      <w:r>
        <w:rPr>
          <w:rFonts w:ascii="Arial" w:cs="Arial" w:eastAsia="Arial" w:hAnsi="Arial"/>
          <w:sz w:val="16"/>
          <w:szCs w:val="16"/>
          <w:color w:val="auto"/>
        </w:rPr>
        <w:t>We believe that a diverse workforce is critical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5" w:name="page26"/>
    <w:bookmarkEnd w:id="25"/>
    <w:p>
      <w:pPr>
        <w:spacing w:after="0" w:line="249" w:lineRule="auto"/>
        <w:rPr>
          <w:sz w:val="20"/>
          <w:szCs w:val="20"/>
          <w:color w:val="auto"/>
        </w:rPr>
      </w:pPr>
      <w:r>
        <w:rPr>
          <w:rFonts w:ascii="Arial" w:cs="Arial" w:eastAsia="Arial" w:hAnsi="Arial"/>
          <w:sz w:val="18"/>
          <w:szCs w:val="18"/>
          <w:color w:val="auto"/>
        </w:rPr>
        <w:t>to achieve our corporate objectives. All employees must adhere to a code of business conduct and ethics and our employee handbook, which combined, define standards for appropriate behavior and are annually trained to help prevent, identify, report, and stop any type of discrimination and harassment. Our recruitment, hiring, development, training, compensation, and advancement is based on qualifications, performance, skills, and experience without regard to gender, race, or ethnicity.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14" w:lineRule="exact"/>
        <w:rPr>
          <w:sz w:val="20"/>
          <w:szCs w:val="20"/>
          <w:color w:val="auto"/>
        </w:rPr>
      </w:pPr>
    </w:p>
    <w:p>
      <w:pPr>
        <w:jc w:val="both"/>
        <w:ind w:right="320" w:firstLine="589"/>
        <w:spacing w:after="0" w:line="252" w:lineRule="auto"/>
        <w:rPr>
          <w:sz w:val="20"/>
          <w:szCs w:val="20"/>
          <w:color w:val="auto"/>
        </w:rPr>
      </w:pPr>
      <w:r>
        <w:rPr>
          <w:rFonts w:ascii="Arial" w:cs="Arial" w:eastAsia="Arial" w:hAnsi="Arial"/>
          <w:sz w:val="18"/>
          <w:szCs w:val="18"/>
          <w:color w:val="auto"/>
        </w:rPr>
        <w:t>We were incorporated in Delaware in 2005. In 2011, we established a wholly owned subsidiary in the United Kingdom, in 2014 we established a wholly owned U.S. subsidiary, and in 2021, we established a wholly owned subsidiary in the Netherlands. There have been no material activities for these entities to date. We currently operate in one segment.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executive offices are located at 35 Gatehouse Drive, Building D, Floor 3, Waltham, Massachusetts 02451 and our telephone number is</w:t>
      </w:r>
    </w:p>
    <w:p>
      <w:pPr>
        <w:spacing w:after="0" w:line="38" w:lineRule="exact"/>
        <w:rPr>
          <w:sz w:val="20"/>
          <w:szCs w:val="20"/>
          <w:color w:val="auto"/>
        </w:rPr>
      </w:pPr>
    </w:p>
    <w:p>
      <w:pPr>
        <w:ind w:right="180" w:firstLine="5"/>
        <w:spacing w:after="0" w:line="308" w:lineRule="auto"/>
        <w:tabs>
          <w:tab w:leader="none" w:pos="4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419-1400. Our corporate website address is www.syndax.com. Information contained on or accessible through our website is not a part of this Annual Report on Form 10-K, and the inclusion of our website address in this Annual Report on Form 10-K is an inactive textual reference only.</w:t>
      </w:r>
    </w:p>
    <w:p>
      <w:pPr>
        <w:spacing w:after="0" w:line="147" w:lineRule="exact"/>
        <w:rPr>
          <w:sz w:val="20"/>
          <w:szCs w:val="20"/>
          <w:color w:val="auto"/>
        </w:rPr>
      </w:pPr>
    </w:p>
    <w:p>
      <w:pPr>
        <w:ind w:firstLine="589"/>
        <w:spacing w:after="0" w:line="299" w:lineRule="auto"/>
        <w:rPr>
          <w:sz w:val="20"/>
          <w:szCs w:val="20"/>
          <w:color w:val="auto"/>
        </w:rPr>
      </w:pPr>
      <w:r>
        <w:rPr>
          <w:rFonts w:ascii="Arial" w:cs="Arial" w:eastAsia="Arial" w:hAnsi="Arial"/>
          <w:sz w:val="16"/>
          <w:szCs w:val="16"/>
          <w:color w:val="auto"/>
        </w:rPr>
        <w:t xml:space="preserve">We file electronically with the SEC, our annual reports on Form 10-K, quarterly reports on Form 10-Q, current reports on Form 8-K, and amendments to those reports filed or furnished pursuant to Section 13(a) or 15(d) of the Exchange Act. We make available on our website at </w:t>
      </w:r>
      <w:r>
        <w:rPr>
          <w:rFonts w:ascii="Arial" w:cs="Arial" w:eastAsia="Arial" w:hAnsi="Arial"/>
          <w:sz w:val="16"/>
          <w:szCs w:val="16"/>
          <w:u w:val="single" w:color="auto"/>
          <w:color w:val="auto"/>
        </w:rPr>
        <w:t>www.syndax.com</w:t>
      </w:r>
      <w:r>
        <w:rPr>
          <w:rFonts w:ascii="Arial" w:cs="Arial" w:eastAsia="Arial" w:hAnsi="Arial"/>
          <w:sz w:val="16"/>
          <w:szCs w:val="16"/>
          <w:color w:val="auto"/>
        </w:rPr>
        <w:t>, under “Investors,” free of charge, copies of these reports as soon as reasonably practicable after filing or furnishing these reports with the SEC.</w:t>
      </w: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443"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114"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on Form 10-K as well as our other publicly available filings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Selected Risks</w:t>
      </w:r>
    </w:p>
    <w:p>
      <w:pPr>
        <w:spacing w:after="0" w:line="220" w:lineRule="exact"/>
        <w:rPr>
          <w:sz w:val="20"/>
          <w:szCs w:val="20"/>
          <w:color w:val="auto"/>
        </w:rPr>
      </w:pPr>
    </w:p>
    <w:p>
      <w:pPr>
        <w:ind w:right="200" w:firstLine="589"/>
        <w:spacing w:after="0" w:line="261" w:lineRule="auto"/>
        <w:rPr>
          <w:sz w:val="20"/>
          <w:szCs w:val="20"/>
          <w:color w:val="auto"/>
        </w:rPr>
      </w:pPr>
      <w:r>
        <w:rPr>
          <w:rFonts w:ascii="Arial" w:cs="Arial" w:eastAsia="Arial" w:hAnsi="Arial"/>
          <w:sz w:val="18"/>
          <w:szCs w:val="18"/>
          <w:color w:val="auto"/>
        </w:rPr>
        <w:t>Our business is subject to numerous risks and uncertainties, of which you should be aware before making a decision to invest in our securities. These risks and uncertainties include, among others, the following:</w:t>
      </w:r>
    </w:p>
    <w:p>
      <w:pPr>
        <w:spacing w:after="0" w:line="76" w:lineRule="exact"/>
        <w:rPr>
          <w:sz w:val="20"/>
          <w:szCs w:val="20"/>
          <w:color w:val="auto"/>
        </w:rPr>
      </w:pPr>
    </w:p>
    <w:p>
      <w:pPr>
        <w:ind w:left="1160" w:hanging="57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business, including our clinical trials.</w:t>
      </w:r>
    </w:p>
    <w:p>
      <w:pPr>
        <w:spacing w:after="0" w:line="134" w:lineRule="exact"/>
        <w:rPr>
          <w:rFonts w:ascii="Arial" w:cs="Arial" w:eastAsia="Arial" w:hAnsi="Arial"/>
          <w:sz w:val="18"/>
          <w:szCs w:val="18"/>
          <w:color w:val="auto"/>
        </w:rPr>
      </w:pPr>
    </w:p>
    <w:p>
      <w:pPr>
        <w:ind w:left="1160" w:hanging="577"/>
        <w:spacing w:after="0" w:line="26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75" w:lineRule="exact"/>
        <w:rPr>
          <w:rFonts w:ascii="Arial" w:cs="Arial" w:eastAsia="Arial" w:hAnsi="Arial"/>
          <w:sz w:val="18"/>
          <w:szCs w:val="18"/>
          <w:color w:val="auto"/>
        </w:rPr>
      </w:pPr>
    </w:p>
    <w:p>
      <w:pPr>
        <w:ind w:left="1160" w:right="220" w:hanging="577"/>
        <w:spacing w:after="0" w:line="324"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28" w:lineRule="exact"/>
        <w:rPr>
          <w:rFonts w:ascii="Arial" w:cs="Arial" w:eastAsia="Arial" w:hAnsi="Arial"/>
          <w:sz w:val="16"/>
          <w:szCs w:val="16"/>
          <w:color w:val="auto"/>
        </w:rPr>
      </w:pPr>
    </w:p>
    <w:p>
      <w:pPr>
        <w:ind w:left="1160" w:right="460" w:hanging="577"/>
        <w:spacing w:after="0" w:line="26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SNDX-5613 has undergone limited clinical testing and we may fail to show that the drug is well tolerated and provides sufficient clinical benefit for patients.</w:t>
      </w:r>
    </w:p>
    <w:p>
      <w:pPr>
        <w:spacing w:after="0" w:line="75" w:lineRule="exact"/>
        <w:rPr>
          <w:rFonts w:ascii="Arial" w:cs="Arial" w:eastAsia="Arial" w:hAnsi="Arial"/>
          <w:sz w:val="18"/>
          <w:szCs w:val="18"/>
          <w:color w:val="auto"/>
        </w:rPr>
      </w:pPr>
    </w:p>
    <w:p>
      <w:pPr>
        <w:ind w:left="1160" w:right="400" w:hanging="577"/>
        <w:spacing w:after="0" w:line="26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this drug is well tolerated and provides a sufficient clinical benefit for patients.</w:t>
      </w:r>
    </w:p>
    <w:p>
      <w:pPr>
        <w:spacing w:after="0" w:line="75" w:lineRule="exact"/>
        <w:rPr>
          <w:rFonts w:ascii="Arial" w:cs="Arial" w:eastAsia="Arial" w:hAnsi="Arial"/>
          <w:sz w:val="18"/>
          <w:szCs w:val="18"/>
          <w:color w:val="auto"/>
        </w:rPr>
      </w:pPr>
    </w:p>
    <w:p>
      <w:pPr>
        <w:ind w:left="1160" w:right="240" w:hanging="577"/>
        <w:spacing w:after="0" w:line="324"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8" w:lineRule="exact"/>
        <w:rPr>
          <w:rFonts w:ascii="Arial" w:cs="Arial" w:eastAsia="Arial" w:hAnsi="Arial"/>
          <w:sz w:val="16"/>
          <w:szCs w:val="16"/>
          <w:color w:val="auto"/>
        </w:rPr>
      </w:pPr>
    </w:p>
    <w:p>
      <w:pPr>
        <w:ind w:left="1160" w:hanging="57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dependency upon our collaboration with Incyte to further develop and commercialize axatilimab.</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are or our collaborators are unable to enroll patients in clinical trials, these clinical trials may not be completed on a timely basis or at all.</w:t>
      </w:r>
    </w:p>
    <w:p>
      <w:pPr>
        <w:spacing w:after="0" w:line="157" w:lineRule="exact"/>
        <w:rPr>
          <w:rFonts w:ascii="Arial" w:cs="Arial" w:eastAsia="Arial" w:hAnsi="Arial"/>
          <w:sz w:val="16"/>
          <w:szCs w:val="16"/>
          <w:color w:val="auto"/>
        </w:rPr>
      </w:pPr>
    </w:p>
    <w:p>
      <w:pPr>
        <w:ind w:left="1160" w:right="300" w:hanging="577"/>
        <w:spacing w:after="0" w:line="26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75" w:lineRule="exact"/>
        <w:rPr>
          <w:rFonts w:ascii="Arial" w:cs="Arial" w:eastAsia="Arial" w:hAnsi="Arial"/>
          <w:sz w:val="18"/>
          <w:szCs w:val="18"/>
          <w:color w:val="auto"/>
        </w:rPr>
      </w:pPr>
    </w:p>
    <w:p>
      <w:pPr>
        <w:jc w:val="both"/>
        <w:ind w:left="1160" w:right="180" w:hanging="577"/>
        <w:spacing w:after="0" w:line="299"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48" w:lineRule="exact"/>
        <w:rPr>
          <w:rFonts w:ascii="Arial" w:cs="Arial" w:eastAsia="Arial" w:hAnsi="Arial"/>
          <w:sz w:val="16"/>
          <w:szCs w:val="16"/>
          <w:color w:val="auto"/>
        </w:rPr>
      </w:pPr>
    </w:p>
    <w:p>
      <w:pPr>
        <w:ind w:left="1160" w:hanging="57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34" w:lineRule="exact"/>
        <w:rPr>
          <w:rFonts w:ascii="Arial" w:cs="Arial" w:eastAsia="Arial" w:hAnsi="Arial"/>
          <w:sz w:val="18"/>
          <w:szCs w:val="18"/>
          <w:color w:val="auto"/>
        </w:rPr>
      </w:pPr>
    </w:p>
    <w:p>
      <w:pPr>
        <w:ind w:left="1160" w:right="140" w:hanging="577"/>
        <w:spacing w:after="0" w:line="324"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28" w:lineRule="exact"/>
        <w:rPr>
          <w:rFonts w:ascii="Arial" w:cs="Arial" w:eastAsia="Arial" w:hAnsi="Arial"/>
          <w:sz w:val="16"/>
          <w:szCs w:val="16"/>
          <w:color w:val="auto"/>
        </w:rPr>
      </w:pPr>
    </w:p>
    <w:p>
      <w:pPr>
        <w:ind w:left="1160" w:hanging="577"/>
        <w:spacing w:after="0"/>
        <w:tabs>
          <w:tab w:leader="none" w:pos="11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have incurred net losses since our inception, except 2021, and anticipate that we will continue to incur net losses for the foreseeable future.</w:t>
      </w:r>
    </w:p>
    <w:p>
      <w:pPr>
        <w:spacing w:after="0" w:line="169" w:lineRule="exact"/>
        <w:rPr>
          <w:rFonts w:ascii="Arial" w:cs="Arial" w:eastAsia="Arial" w:hAnsi="Arial"/>
          <w:sz w:val="15"/>
          <w:szCs w:val="15"/>
          <w:color w:val="auto"/>
        </w:rPr>
      </w:pPr>
    </w:p>
    <w:p>
      <w:pPr>
        <w:ind w:left="1160" w:hanging="57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34" w:lineRule="exact"/>
        <w:rPr>
          <w:rFonts w:ascii="Arial" w:cs="Arial" w:eastAsia="Arial" w:hAnsi="Arial"/>
          <w:sz w:val="18"/>
          <w:szCs w:val="18"/>
          <w:color w:val="auto"/>
        </w:rPr>
      </w:pPr>
    </w:p>
    <w:p>
      <w:pPr>
        <w:ind w:left="1160" w:right="20" w:hanging="577"/>
        <w:spacing w:after="0" w:line="252"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7" w:name="page28"/>
    <w:bookmarkEnd w:id="27"/>
    <w:p>
      <w:pPr>
        <w:ind w:left="1160" w:hanging="57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you could lose all or part of your investment.</w:t>
      </w:r>
    </w:p>
    <w:p>
      <w:pPr>
        <w:spacing w:after="0" w:line="134" w:lineRule="exact"/>
        <w:rPr>
          <w:rFonts w:ascii="Arial" w:cs="Arial" w:eastAsia="Arial" w:hAnsi="Arial"/>
          <w:sz w:val="18"/>
          <w:szCs w:val="18"/>
          <w:color w:val="auto"/>
        </w:rPr>
      </w:pPr>
    </w:p>
    <w:p>
      <w:pPr>
        <w:ind w:left="1160" w:right="340" w:hanging="577"/>
        <w:spacing w:after="0" w:line="261"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7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could adversely impact our business, including our clinical trials.</w:t>
      </w:r>
    </w:p>
    <w:p>
      <w:pPr>
        <w:spacing w:after="0" w:line="108"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The ongoing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executive orders may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64" w:lineRule="exact"/>
        <w:rPr>
          <w:sz w:val="20"/>
          <w:szCs w:val="20"/>
          <w:color w:val="auto"/>
        </w:rPr>
      </w:pPr>
    </w:p>
    <w:p>
      <w:pPr>
        <w:ind w:right="60" w:firstLine="589"/>
        <w:spacing w:after="0" w:line="246" w:lineRule="auto"/>
        <w:rPr>
          <w:sz w:val="20"/>
          <w:szCs w:val="20"/>
          <w:color w:val="auto"/>
        </w:rPr>
      </w:pPr>
      <w:r>
        <w:rPr>
          <w:rFonts w:ascii="Arial" w:cs="Arial" w:eastAsia="Arial" w:hAnsi="Arial"/>
          <w:sz w:val="18"/>
          <w:szCs w:val="18"/>
          <w:color w:val="auto"/>
        </w:rPr>
        <w:t>While the COVID-19 pandemic has not yet had a material impact on our business operations, quarantines and various government orders related to the pandemic, including its variants, may adversely impact our business operations and the business operations of our contract research organizations conducting our clinical trials and our third-party manufacturing facilities in the United States and other countries. In particular, if the pandemic continues to persist for an extended period of time and continues to impact essential distribution systems such as FedEx and postal delivery or if it results in facility closures facility closures for cleaning and/or insufficient staff, these ongoing constraints associated with the pandemic could cause disruptions to our supply chain and operations, including associated delays in the manufacturing and supply of our products, which would adversely impact our ability to continue our clinical trial operations.</w:t>
      </w:r>
    </w:p>
    <w:p>
      <w:pPr>
        <w:spacing w:after="0" w:line="92"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addition, our clinical trials may be affected by the COVID-19 pandemic. For example, we have experienced delays in clinical site initiation and patient enrollment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60"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The spread of COVID-19, including its variants, has caused a broad impact globally and may materially affect us economically. While the full extent of the economic impact brought by, and the duration of, the pandemic may be difficult to assess or predict, it has resulted in uncertainty in macroeconomic conditions and result in significant disruption of global financial markets, reducing our ability to access capital, which could in the future negatively affect our liquidity. In addition, a recession or market correction resulting from the pandemic could materially affect our business and the value of our common stock.</w:t>
      </w:r>
    </w:p>
    <w:p>
      <w:pPr>
        <w:spacing w:after="0" w:line="57"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COVID-19 continues to evolve rapidly, and multiple variants of the virus that cause COVID-19 are circulating globally. 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social distancing requirements, business closures in the United States and other countries, the rollout of mass vaccinations for COVID-19 and the effectiveness of other actions taken in the United States and other countries to contain and treat the disease. While vaccines have been approved and are being deployed, the timing of achieving widespread vaccination remains uncertain, and the vaccines may be less effective against new variants, potentially leading to the reimpositions of restrictions in an effort to mitigate risks to public health, especially as more infectious variants of the virus emerge for a prolonged period of time, further delaying the return of the global economy to pre-pandemic levels.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8" w:name="page29"/>
    <w:bookmarkEnd w:id="28"/>
    <w:p>
      <w:pPr>
        <w:ind w:right="120"/>
        <w:spacing w:after="0" w:line="324" w:lineRule="auto"/>
        <w:rPr>
          <w:sz w:val="20"/>
          <w:szCs w:val="20"/>
          <w:color w:val="auto"/>
        </w:rPr>
      </w:pPr>
      <w:r>
        <w:rPr>
          <w:rFonts w:ascii="Arial" w:cs="Arial" w:eastAsia="Arial" w:hAnsi="Arial"/>
          <w:sz w:val="16"/>
          <w:szCs w:val="16"/>
          <w:color w:val="auto"/>
        </w:rPr>
        <w:t>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29" w:lineRule="exact"/>
        <w:rPr>
          <w:sz w:val="20"/>
          <w:szCs w:val="20"/>
          <w:color w:val="auto"/>
        </w:rPr>
      </w:pPr>
    </w:p>
    <w:p>
      <w:pPr>
        <w:ind w:right="440" w:firstLine="589"/>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76" w:lineRule="exact"/>
        <w:rPr>
          <w:sz w:val="20"/>
          <w:szCs w:val="20"/>
          <w:color w:val="auto"/>
        </w:rPr>
      </w:pPr>
    </w:p>
    <w:p>
      <w:pPr>
        <w:ind w:right="260" w:firstLine="667"/>
        <w:spacing w:after="0" w:line="299"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48" w:lineRule="exact"/>
        <w:rPr>
          <w:sz w:val="20"/>
          <w:szCs w:val="20"/>
          <w:color w:val="auto"/>
        </w:rPr>
      </w:pPr>
    </w:p>
    <w:p>
      <w:pPr>
        <w:ind w:left="1160" w:hanging="577"/>
        <w:spacing w:after="0" w:line="26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impact to expected site initiation, enrollment and participation in our clinical trials;</w:t>
      </w:r>
    </w:p>
    <w:p>
      <w:pPr>
        <w:spacing w:after="0" w:line="75" w:lineRule="exact"/>
        <w:rPr>
          <w:rFonts w:ascii="Arial" w:cs="Arial" w:eastAsia="Arial" w:hAnsi="Arial"/>
          <w:sz w:val="18"/>
          <w:szCs w:val="18"/>
          <w:color w:val="auto"/>
        </w:rPr>
      </w:pPr>
    </w:p>
    <w:p>
      <w:pPr>
        <w:jc w:val="both"/>
        <w:ind w:left="1160" w:right="120" w:hanging="577"/>
        <w:spacing w:after="0" w:line="324"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28" w:lineRule="exact"/>
        <w:rPr>
          <w:rFonts w:ascii="Arial" w:cs="Arial" w:eastAsia="Arial" w:hAnsi="Arial"/>
          <w:sz w:val="16"/>
          <w:szCs w:val="16"/>
          <w:color w:val="auto"/>
        </w:rPr>
      </w:pPr>
    </w:p>
    <w:p>
      <w:pPr>
        <w:ind w:left="1160" w:right="620" w:hanging="577"/>
        <w:spacing w:after="0" w:line="26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the pivotal Phase 2 cohorts of the AUGMENT-101 trial of SNDX-5613 in patients with relapsed/refractory acute leukemias;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timely completion of the pivotal Phase 2 trial, AGAVE-201, of axatilimab in patients with chronic Graft Versus Host Disease, or cGVHD;</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SNDX-5613 and axatilimab;</w:t>
      </w:r>
    </w:p>
    <w:p>
      <w:pPr>
        <w:spacing w:after="0" w:line="134" w:lineRule="exact"/>
        <w:rPr>
          <w:rFonts w:ascii="Arial" w:cs="Arial" w:eastAsia="Arial" w:hAnsi="Arial"/>
          <w:sz w:val="18"/>
          <w:szCs w:val="18"/>
          <w:color w:val="auto"/>
        </w:rPr>
      </w:pPr>
    </w:p>
    <w:p>
      <w:pPr>
        <w:ind w:left="1160" w:right="300" w:hanging="577"/>
        <w:spacing w:after="0" w:line="252"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84" w:lineRule="exact"/>
        <w:rPr>
          <w:rFonts w:ascii="Arial" w:cs="Arial" w:eastAsia="Arial" w:hAnsi="Arial"/>
          <w:sz w:val="18"/>
          <w:szCs w:val="18"/>
          <w:color w:val="auto"/>
        </w:rPr>
      </w:pPr>
    </w:p>
    <w:p>
      <w:pPr>
        <w:ind w:left="1160" w:hanging="57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34" w:lineRule="exact"/>
        <w:rPr>
          <w:rFonts w:ascii="Arial" w:cs="Arial" w:eastAsia="Arial" w:hAnsi="Arial"/>
          <w:sz w:val="18"/>
          <w:szCs w:val="18"/>
          <w:color w:val="auto"/>
        </w:rPr>
      </w:pPr>
    </w:p>
    <w:p>
      <w:pPr>
        <w:ind w:left="1160" w:right="460" w:hanging="577"/>
        <w:spacing w:after="0" w:line="26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 indications and fibrotic diseases;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availability, perceived advantages, relative cost, relative safety and relative efficacy of alternative and competing treatments;</w:t>
      </w:r>
    </w:p>
    <w:p>
      <w:pPr>
        <w:spacing w:after="0" w:line="157" w:lineRule="exact"/>
        <w:rPr>
          <w:rFonts w:ascii="Arial" w:cs="Arial" w:eastAsia="Arial" w:hAnsi="Arial"/>
          <w:sz w:val="16"/>
          <w:szCs w:val="16"/>
          <w:color w:val="auto"/>
        </w:rPr>
      </w:pPr>
    </w:p>
    <w:p>
      <w:pPr>
        <w:ind w:left="1160" w:right="320" w:hanging="577"/>
        <w:spacing w:after="0" w:line="26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75" w:lineRule="exact"/>
        <w:rPr>
          <w:rFonts w:ascii="Arial" w:cs="Arial" w:eastAsia="Arial" w:hAnsi="Arial"/>
          <w:sz w:val="18"/>
          <w:szCs w:val="18"/>
          <w:color w:val="auto"/>
        </w:rPr>
      </w:pPr>
    </w:p>
    <w:p>
      <w:pPr>
        <w:ind w:left="1160" w:right="420" w:hanging="577"/>
        <w:spacing w:after="0" w:line="26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75" w:lineRule="exact"/>
        <w:rPr>
          <w:rFonts w:ascii="Arial" w:cs="Arial" w:eastAsia="Arial" w:hAnsi="Arial"/>
          <w:sz w:val="18"/>
          <w:szCs w:val="18"/>
          <w:color w:val="auto"/>
        </w:rPr>
      </w:pPr>
    </w:p>
    <w:p>
      <w:pPr>
        <w:ind w:left="1160" w:hanging="577"/>
        <w:spacing w:after="0" w:line="26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29" w:name="page30"/>
    <w:bookmarkEnd w:id="29"/>
    <w:p>
      <w:pPr>
        <w:ind w:left="1160" w:hanging="57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135" w:lineRule="exact"/>
        <w:rPr>
          <w:sz w:val="20"/>
          <w:szCs w:val="20"/>
          <w:color w:val="auto"/>
        </w:rPr>
      </w:pPr>
    </w:p>
    <w:p>
      <w:pPr>
        <w:ind w:right="240" w:firstLine="667"/>
        <w:spacing w:after="0" w:line="261"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8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SNDX-5613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76" w:lineRule="exact"/>
        <w:rPr>
          <w:sz w:val="20"/>
          <w:szCs w:val="20"/>
          <w:color w:val="auto"/>
        </w:rPr>
      </w:pPr>
    </w:p>
    <w:p>
      <w:pPr>
        <w:ind w:right="20" w:firstLine="674"/>
        <w:spacing w:after="0" w:line="277" w:lineRule="auto"/>
        <w:rPr>
          <w:sz w:val="20"/>
          <w:szCs w:val="20"/>
          <w:color w:val="auto"/>
        </w:rPr>
      </w:pPr>
      <w:r>
        <w:rPr>
          <w:rFonts w:ascii="Arial" w:cs="Arial" w:eastAsia="Arial" w:hAnsi="Arial"/>
          <w:sz w:val="16"/>
          <w:szCs w:val="16"/>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relapsed/refractory patients with MLLr and NPM1 mutant acute leukemias and determine if the observed clinical efficacy supports further development. The Phase 1 portion of the trial is assessing the safety, tolerability and pharmacokinetics of SNDX-5613,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SNDX-5613 across three expansion cohorts enrolling pediatric and adult patients with MLLr acute lymphoblastic leukemia, or ALL, MLLr acute myeloid leukemia, or AML, and NPM1 mutant AML. While we believe that we have established sufficient efficacy to warrant continued development in these indications, we have not yet sufficiently demonstrated a favorable risk-benefit of SNDX-5613 in patients.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this drug is well tolerated and provides a clinical benefit for patients.</w:t>
      </w:r>
    </w:p>
    <w:p>
      <w:pPr>
        <w:spacing w:after="0" w:line="131" w:lineRule="exact"/>
        <w:rPr>
          <w:sz w:val="20"/>
          <w:szCs w:val="20"/>
          <w:color w:val="auto"/>
        </w:rPr>
      </w:pPr>
    </w:p>
    <w:p>
      <w:pPr>
        <w:ind w:right="60" w:firstLine="674"/>
        <w:spacing w:after="0" w:line="279" w:lineRule="auto"/>
        <w:rPr>
          <w:sz w:val="20"/>
          <w:szCs w:val="20"/>
          <w:color w:val="auto"/>
        </w:rPr>
      </w:pPr>
      <w:r>
        <w:rPr>
          <w:rFonts w:ascii="Arial" w:cs="Arial" w:eastAsia="Arial" w:hAnsi="Arial"/>
          <w:sz w:val="16"/>
          <w:szCs w:val="16"/>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Following our end of Phase 1 meeting with the FDA, we have aligned on a regulatory path for axatilimab for the treatment of cGVHD and commenced a pivotal Phase 2 trial, AGAVE-201, to assess the safety and efficacy of different doses and schedules of axatilimab for the treatment of patients with cGVHD. While we believe that we have established sufficient efficacy to warrant continued development in this indication, we have not yet sufficiently demonstrated a favorable risk-benefit of axatilimab in patients.</w:t>
      </w:r>
    </w:p>
    <w:p>
      <w:pPr>
        <w:spacing w:after="0" w:line="174"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9" w:lineRule="exact"/>
        <w:rPr>
          <w:sz w:val="20"/>
          <w:szCs w:val="20"/>
          <w:color w:val="auto"/>
        </w:rPr>
      </w:pPr>
    </w:p>
    <w:p>
      <w:pPr>
        <w:ind w:firstLine="667"/>
        <w:spacing w:after="0" w:line="284" w:lineRule="auto"/>
        <w:rPr>
          <w:sz w:val="20"/>
          <w:szCs w:val="20"/>
          <w:color w:val="auto"/>
        </w:rPr>
      </w:pPr>
      <w:r>
        <w:rPr>
          <w:rFonts w:ascii="Arial" w:cs="Arial" w:eastAsia="Arial" w:hAnsi="Arial"/>
          <w:sz w:val="16"/>
          <w:szCs w:val="16"/>
          <w:color w:val="auto"/>
        </w:rPr>
        <w:t>From time to time, we may publish interim top-line or preliminary data from our clinical trials. For example, in April and December 2021,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0" w:name="page31"/>
    <w:bookmarkEnd w:id="30"/>
    <w:p>
      <w:pPr>
        <w:ind w:right="220"/>
        <w:spacing w:after="0" w:line="252" w:lineRule="auto"/>
        <w:rPr>
          <w:sz w:val="20"/>
          <w:szCs w:val="20"/>
          <w:color w:val="auto"/>
        </w:rPr>
      </w:pPr>
      <w:r>
        <w:rPr>
          <w:rFonts w:ascii="Arial" w:cs="Arial" w:eastAsia="Arial" w:hAnsi="Arial"/>
          <w:sz w:val="18"/>
          <w:szCs w:val="18"/>
          <w:color w:val="auto"/>
        </w:rPr>
        <w:t>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76" w:lineRule="exact"/>
        <w:rPr>
          <w:sz w:val="20"/>
          <w:szCs w:val="20"/>
          <w:color w:val="auto"/>
        </w:rPr>
      </w:pPr>
    </w:p>
    <w:p>
      <w:pPr>
        <w:ind w:right="60" w:firstLine="667"/>
        <w:spacing w:after="0" w:line="302" w:lineRule="auto"/>
        <w:rPr>
          <w:sz w:val="20"/>
          <w:szCs w:val="20"/>
          <w:color w:val="auto"/>
        </w:rPr>
      </w:pPr>
      <w:r>
        <w:rPr>
          <w:rFonts w:ascii="Arial" w:cs="Arial" w:eastAsia="Arial" w:hAnsi="Arial"/>
          <w:sz w:val="15"/>
          <w:szCs w:val="15"/>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15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We are dependent upon our collaboration with Incyte to further develop and commercialize axatilimab. If we or Incyte fail to perform as expected or if the collaboration is terminated as a result of actions by the Federal Trade Commission or the Department of Justice, the potential for us to generate future revenues under the collaboration could be significantly reduced, the development and/or commercialization of axatilmab may be terminated or substantially delayed, and our business could be adversely affected.</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are subject to numerous risks related to the Incyte Agreement to collaborate on the development and commercialization of axatilimab.</w:t>
      </w:r>
    </w:p>
    <w:p>
      <w:pPr>
        <w:spacing w:after="0" w:line="131" w:lineRule="exact"/>
        <w:rPr>
          <w:sz w:val="20"/>
          <w:szCs w:val="20"/>
          <w:color w:val="auto"/>
        </w:rPr>
      </w:pPr>
    </w:p>
    <w:p>
      <w:pPr>
        <w:ind w:right="60" w:firstLine="667"/>
        <w:spacing w:after="0" w:line="284" w:lineRule="auto"/>
        <w:rPr>
          <w:sz w:val="20"/>
          <w:szCs w:val="20"/>
          <w:color w:val="auto"/>
        </w:rPr>
      </w:pPr>
      <w:r>
        <w:rPr>
          <w:rFonts w:ascii="Arial" w:cs="Arial" w:eastAsia="Arial" w:hAnsi="Arial"/>
          <w:sz w:val="16"/>
          <w:szCs w:val="16"/>
          <w:color w:val="auto"/>
        </w:rPr>
        <w:t>For example, there is no assurance that the parties will achieve any of the regulatory development or sales milestones, that we will receive any future milestone or royalty payments under the collaboration agreement or that the collaboration will not be unwound as a result of actions by the Federal Trade Commission or the Department of Justice.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61" w:lineRule="exact"/>
        <w:rPr>
          <w:sz w:val="20"/>
          <w:szCs w:val="20"/>
          <w:color w:val="auto"/>
        </w:rPr>
      </w:pPr>
    </w:p>
    <w:p>
      <w:pPr>
        <w:ind w:left="1180" w:hanging="426"/>
        <w:spacing w:after="0" w:line="261"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75" w:lineRule="exact"/>
        <w:rPr>
          <w:rFonts w:ascii="Arial" w:cs="Arial" w:eastAsia="Arial" w:hAnsi="Arial"/>
          <w:sz w:val="18"/>
          <w:szCs w:val="18"/>
          <w:color w:val="auto"/>
        </w:rPr>
      </w:pPr>
    </w:p>
    <w:p>
      <w:pPr>
        <w:ind w:left="1180" w:right="420" w:hanging="426"/>
        <w:spacing w:after="0" w:line="261"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75" w:lineRule="exact"/>
        <w:rPr>
          <w:rFonts w:ascii="Arial" w:cs="Arial" w:eastAsia="Arial" w:hAnsi="Arial"/>
          <w:sz w:val="18"/>
          <w:szCs w:val="18"/>
          <w:color w:val="auto"/>
        </w:rPr>
      </w:pPr>
    </w:p>
    <w:p>
      <w:pPr>
        <w:ind w:left="1180" w:right="180" w:hanging="426"/>
        <w:spacing w:after="0" w:line="261"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75" w:lineRule="exact"/>
        <w:rPr>
          <w:rFonts w:ascii="Arial" w:cs="Arial" w:eastAsia="Arial" w:hAnsi="Arial"/>
          <w:sz w:val="18"/>
          <w:szCs w:val="18"/>
          <w:color w:val="auto"/>
        </w:rPr>
      </w:pPr>
    </w:p>
    <w:p>
      <w:pPr>
        <w:ind w:left="1180" w:right="80" w:hanging="426"/>
        <w:spacing w:after="0" w:line="261"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cannot ensure that the potential strategic benefits and opportunities expected from this collaboration with be realized on our anticipated timeline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all.</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enroll patients in clinical trials, these clinical trials may not be completed on a timely basis or at all.</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31" w:name="page32"/>
    <w:bookmarkEnd w:id="31"/>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we are pursuing;</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 a result of the above factors, there is a risk that our or our collaborators’ clinical trials may not be completed on a timely basis or at all.</w:t>
      </w:r>
    </w:p>
    <w:p>
      <w:pPr>
        <w:spacing w:after="0" w:line="23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08" w:lineRule="exact"/>
        <w:rPr>
          <w:sz w:val="20"/>
          <w:szCs w:val="20"/>
          <w:color w:val="auto"/>
        </w:rPr>
      </w:pPr>
    </w:p>
    <w:p>
      <w:pPr>
        <w:ind w:left="1160" w:hanging="57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4" w:lineRule="exact"/>
        <w:rPr>
          <w:rFonts w:ascii="Arial" w:cs="Arial" w:eastAsia="Arial" w:hAnsi="Arial"/>
          <w:sz w:val="18"/>
          <w:szCs w:val="18"/>
          <w:color w:val="auto"/>
        </w:rPr>
      </w:pPr>
    </w:p>
    <w:p>
      <w:pPr>
        <w:ind w:left="1160" w:right="1140" w:hanging="577"/>
        <w:spacing w:after="0" w:line="261"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ind w:left="1160" w:hanging="577"/>
        <w:spacing w:after="0" w:line="261"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1160" w:right="480" w:hanging="577"/>
        <w:spacing w:after="0" w:line="261"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1160" w:right="160" w:hanging="577"/>
        <w:spacing w:after="0" w:line="261"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75" w:lineRule="exact"/>
        <w:rPr>
          <w:rFonts w:ascii="Arial" w:cs="Arial" w:eastAsia="Arial" w:hAnsi="Arial"/>
          <w:sz w:val="18"/>
          <w:szCs w:val="18"/>
          <w:color w:val="auto"/>
        </w:rPr>
      </w:pPr>
    </w:p>
    <w:p>
      <w:pPr>
        <w:ind w:left="1160" w:right="100" w:hanging="577"/>
        <w:spacing w:after="0" w:line="252"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4" w:lineRule="exact"/>
        <w:rPr>
          <w:rFonts w:ascii="Arial" w:cs="Arial" w:eastAsia="Arial" w:hAnsi="Arial"/>
          <w:sz w:val="18"/>
          <w:szCs w:val="18"/>
          <w:color w:val="auto"/>
        </w:rPr>
      </w:pPr>
    </w:p>
    <w:p>
      <w:pPr>
        <w:ind w:left="1160" w:hanging="57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4" w:lineRule="exact"/>
        <w:rPr>
          <w:rFonts w:ascii="Arial" w:cs="Arial" w:eastAsia="Arial" w:hAnsi="Arial"/>
          <w:sz w:val="18"/>
          <w:szCs w:val="18"/>
          <w:color w:val="auto"/>
        </w:rPr>
      </w:pPr>
    </w:p>
    <w:p>
      <w:pPr>
        <w:ind w:left="1160" w:right="20" w:hanging="577"/>
        <w:spacing w:after="0" w:line="261"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443" w:right="399" w:bottom="1440" w:gutter="0" w:footer="0" w:header="0"/>
        </w:sectPr>
      </w:pPr>
    </w:p>
    <w:bookmarkStart w:id="32" w:name="page33"/>
    <w:bookmarkEnd w:id="32"/>
    <w:p>
      <w:pPr>
        <w:ind w:left="1160" w:right="120" w:hanging="577"/>
        <w:spacing w:after="0" w:line="261"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1160" w:right="220" w:hanging="577"/>
        <w:spacing w:after="0" w:line="261"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160" w:right="100" w:hanging="577"/>
        <w:spacing w:after="0" w:line="261"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08" w:lineRule="exact"/>
        <w:rPr>
          <w:sz w:val="20"/>
          <w:szCs w:val="20"/>
          <w:color w:val="auto"/>
        </w:rPr>
      </w:pPr>
    </w:p>
    <w:p>
      <w:pPr>
        <w:ind w:right="20" w:firstLine="667"/>
        <w:spacing w:after="0" w:line="247" w:lineRule="auto"/>
        <w:rPr>
          <w:sz w:val="20"/>
          <w:szCs w:val="20"/>
          <w:color w:val="auto"/>
        </w:rPr>
      </w:pPr>
      <w:r>
        <w:rPr>
          <w:rFonts w:ascii="Arial" w:cs="Arial" w:eastAsia="Arial" w:hAnsi="Arial"/>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76" w:lineRule="exact"/>
        <w:rPr>
          <w:sz w:val="20"/>
          <w:szCs w:val="20"/>
          <w:color w:val="auto"/>
        </w:rPr>
      </w:pPr>
    </w:p>
    <w:p>
      <w:pPr>
        <w:ind w:right="20" w:firstLine="667"/>
        <w:spacing w:after="0" w:line="286"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60" w:lineRule="exact"/>
        <w:rPr>
          <w:sz w:val="20"/>
          <w:szCs w:val="20"/>
          <w:color w:val="auto"/>
        </w:rPr>
      </w:pPr>
    </w:p>
    <w:p>
      <w:pPr>
        <w:ind w:right="100" w:firstLine="667"/>
        <w:spacing w:after="0" w:line="286"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60" w:lineRule="exact"/>
        <w:rPr>
          <w:sz w:val="20"/>
          <w:szCs w:val="20"/>
          <w:color w:val="auto"/>
        </w:rPr>
      </w:pPr>
    </w:p>
    <w:p>
      <w:pPr>
        <w:ind w:left="1160" w:hanging="5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34" w:lineRule="exact"/>
        <w:rPr>
          <w:rFonts w:ascii="Arial" w:cs="Arial" w:eastAsia="Arial" w:hAnsi="Arial"/>
          <w:sz w:val="18"/>
          <w:szCs w:val="18"/>
          <w:color w:val="auto"/>
        </w:rPr>
      </w:pPr>
    </w:p>
    <w:p>
      <w:pPr>
        <w:ind w:left="1160" w:right="80" w:hanging="577"/>
        <w:spacing w:after="0" w:line="261"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75" w:lineRule="exact"/>
        <w:rPr>
          <w:rFonts w:ascii="Arial" w:cs="Arial" w:eastAsia="Arial" w:hAnsi="Arial"/>
          <w:sz w:val="18"/>
          <w:szCs w:val="18"/>
          <w:color w:val="auto"/>
        </w:rPr>
      </w:pPr>
    </w:p>
    <w:p>
      <w:pPr>
        <w:ind w:left="1160" w:right="440" w:hanging="577"/>
        <w:spacing w:after="0" w:line="261"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75" w:lineRule="exact"/>
        <w:rPr>
          <w:rFonts w:ascii="Arial" w:cs="Arial" w:eastAsia="Arial" w:hAnsi="Arial"/>
          <w:sz w:val="18"/>
          <w:szCs w:val="18"/>
          <w:color w:val="auto"/>
        </w:rPr>
      </w:pPr>
    </w:p>
    <w:p>
      <w:pPr>
        <w:ind w:left="1160" w:hanging="577"/>
        <w:spacing w:after="0" w:line="261"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33" w:name="page34"/>
    <w:bookmarkEnd w:id="33"/>
    <w:p>
      <w:pPr>
        <w:ind w:left="1160" w:hanging="57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35" w:lineRule="exact"/>
        <w:rPr>
          <w:sz w:val="20"/>
          <w:szCs w:val="20"/>
          <w:color w:val="auto"/>
        </w:rPr>
      </w:pPr>
    </w:p>
    <w:p>
      <w:pPr>
        <w:ind w:right="40" w:firstLine="667"/>
        <w:spacing w:after="0" w:line="281"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76" w:lineRule="exact"/>
        <w:rPr>
          <w:sz w:val="20"/>
          <w:szCs w:val="20"/>
          <w:color w:val="auto"/>
        </w:rPr>
      </w:pPr>
    </w:p>
    <w:p>
      <w:pPr>
        <w:ind w:right="80" w:firstLine="667"/>
        <w:spacing w:after="0" w:line="290"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57" w:lineRule="exact"/>
        <w:rPr>
          <w:sz w:val="20"/>
          <w:szCs w:val="20"/>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35" w:lineRule="exact"/>
        <w:rPr>
          <w:sz w:val="20"/>
          <w:szCs w:val="20"/>
          <w:color w:val="auto"/>
        </w:rPr>
      </w:pPr>
    </w:p>
    <w:p>
      <w:pPr>
        <w:ind w:right="40" w:firstLine="667"/>
        <w:spacing w:after="0" w:line="261"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8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84" w:lineRule="exact"/>
        <w:rPr>
          <w:sz w:val="20"/>
          <w:szCs w:val="20"/>
          <w:color w:val="auto"/>
        </w:rPr>
      </w:pPr>
    </w:p>
    <w:p>
      <w:pPr>
        <w:ind w:firstLine="667"/>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COVID-19 pandemic, may impact the ability of our existing or future manufacturers to perform their obligations to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34" w:name="page35"/>
    <w:bookmarkEnd w:id="34"/>
    <w:p>
      <w:pPr>
        <w:ind w:firstLine="667"/>
        <w:spacing w:after="0" w:line="279" w:lineRule="auto"/>
        <w:rPr>
          <w:sz w:val="20"/>
          <w:szCs w:val="20"/>
          <w:color w:val="auto"/>
        </w:rPr>
      </w:pPr>
      <w:r>
        <w:rPr>
          <w:rFonts w:ascii="Arial" w:cs="Arial" w:eastAsia="Arial" w:hAnsi="Arial"/>
          <w:sz w:val="16"/>
          <w:szCs w:val="16"/>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08" w:lineRule="exact"/>
        <w:rPr>
          <w:sz w:val="20"/>
          <w:szCs w:val="20"/>
          <w:color w:val="auto"/>
        </w:rPr>
      </w:pPr>
    </w:p>
    <w:p>
      <w:pPr>
        <w:ind w:right="40" w:firstLine="667"/>
        <w:spacing w:after="0" w:line="284"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61" w:lineRule="exact"/>
        <w:rPr>
          <w:sz w:val="20"/>
          <w:szCs w:val="20"/>
          <w:color w:val="auto"/>
        </w:rPr>
      </w:pPr>
    </w:p>
    <w:p>
      <w:pPr>
        <w:ind w:right="80" w:firstLine="667"/>
        <w:spacing w:after="0" w:line="24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9" w:lineRule="exact"/>
        <w:rPr>
          <w:sz w:val="20"/>
          <w:szCs w:val="20"/>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4" w:lineRule="exact"/>
        <w:rPr>
          <w:rFonts w:ascii="Arial" w:cs="Arial" w:eastAsia="Arial" w:hAnsi="Arial"/>
          <w:sz w:val="18"/>
          <w:szCs w:val="18"/>
          <w:color w:val="auto"/>
        </w:rPr>
      </w:pPr>
    </w:p>
    <w:p>
      <w:pPr>
        <w:ind w:left="1160" w:right="20" w:hanging="577"/>
        <w:spacing w:after="0" w:line="261"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35" w:lineRule="exact"/>
        <w:rPr>
          <w:sz w:val="20"/>
          <w:szCs w:val="20"/>
          <w:color w:val="auto"/>
        </w:rPr>
      </w:pPr>
    </w:p>
    <w:p>
      <w:pPr>
        <w:ind w:right="240" w:firstLine="667"/>
        <w:spacing w:after="0" w:line="261"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5" w:name="page36"/>
    <w:bookmarkEnd w:id="35"/>
    <w:p>
      <w:pPr>
        <w:ind w:firstLine="667"/>
        <w:spacing w:after="0" w:line="28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64" w:lineRule="exact"/>
        <w:rPr>
          <w:sz w:val="20"/>
          <w:szCs w:val="20"/>
          <w:color w:val="auto"/>
        </w:rPr>
      </w:pPr>
    </w:p>
    <w:p>
      <w:pPr>
        <w:ind w:firstLine="667"/>
        <w:spacing w:after="0" w:line="278"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4" w:lineRule="exact"/>
        <w:rPr>
          <w:sz w:val="20"/>
          <w:szCs w:val="20"/>
          <w:color w:val="auto"/>
        </w:rPr>
      </w:pPr>
    </w:p>
    <w:p>
      <w:pPr>
        <w:ind w:right="700"/>
        <w:spacing w:after="0" w:line="324"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29" w:lineRule="exact"/>
        <w:rPr>
          <w:sz w:val="20"/>
          <w:szCs w:val="20"/>
          <w:color w:val="auto"/>
        </w:rPr>
      </w:pPr>
    </w:p>
    <w:p>
      <w:pPr>
        <w:ind w:right="60" w:firstLine="667"/>
        <w:spacing w:after="0" w:line="284" w:lineRule="auto"/>
        <w:rPr>
          <w:sz w:val="20"/>
          <w:szCs w:val="20"/>
          <w:color w:val="auto"/>
        </w:rPr>
      </w:pPr>
      <w:r>
        <w:rPr>
          <w:rFonts w:ascii="Arial" w:cs="Arial" w:eastAsia="Arial" w:hAnsi="Arial"/>
          <w:sz w:val="16"/>
          <w:szCs w:val="16"/>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61" w:lineRule="exact"/>
        <w:rPr>
          <w:sz w:val="20"/>
          <w:szCs w:val="20"/>
          <w:color w:val="auto"/>
        </w:rPr>
      </w:pPr>
    </w:p>
    <w:p>
      <w:pPr>
        <w:ind w:right="280" w:firstLine="667"/>
        <w:spacing w:after="0" w:line="261"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76" w:lineRule="exact"/>
        <w:rPr>
          <w:sz w:val="20"/>
          <w:szCs w:val="20"/>
          <w:color w:val="auto"/>
        </w:rPr>
      </w:pPr>
    </w:p>
    <w:p>
      <w:pPr>
        <w:ind w:left="1160" w:hanging="57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34" w:lineRule="exact"/>
        <w:rPr>
          <w:rFonts w:ascii="Arial" w:cs="Arial" w:eastAsia="Arial" w:hAnsi="Arial"/>
          <w:sz w:val="18"/>
          <w:szCs w:val="18"/>
          <w:color w:val="auto"/>
        </w:rPr>
      </w:pPr>
    </w:p>
    <w:p>
      <w:pPr>
        <w:ind w:left="1160" w:right="500" w:hanging="577"/>
        <w:spacing w:after="0" w:line="261"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75" w:lineRule="exact"/>
        <w:rPr>
          <w:rFonts w:ascii="Arial" w:cs="Arial" w:eastAsia="Arial" w:hAnsi="Arial"/>
          <w:sz w:val="18"/>
          <w:szCs w:val="18"/>
          <w:color w:val="auto"/>
        </w:rPr>
      </w:pPr>
    </w:p>
    <w:p>
      <w:pPr>
        <w:ind w:left="1160" w:right="720" w:hanging="577"/>
        <w:spacing w:after="0" w:line="252"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4" w:lineRule="exact"/>
        <w:rPr>
          <w:rFonts w:ascii="Arial" w:cs="Arial" w:eastAsia="Arial" w:hAnsi="Arial"/>
          <w:sz w:val="18"/>
          <w:szCs w:val="18"/>
          <w:color w:val="auto"/>
        </w:rPr>
      </w:pPr>
    </w:p>
    <w:p>
      <w:pPr>
        <w:ind w:left="1160" w:hanging="57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36" w:name="page37"/>
    <w:bookmarkEnd w:id="36"/>
    <w:p>
      <w:pPr>
        <w:ind w:left="1160" w:hanging="57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35" w:lineRule="exact"/>
        <w:rPr>
          <w:sz w:val="20"/>
          <w:szCs w:val="20"/>
          <w:color w:val="auto"/>
        </w:rPr>
      </w:pPr>
    </w:p>
    <w:p>
      <w:pPr>
        <w:ind w:right="300" w:firstLine="667"/>
        <w:spacing w:after="0" w:line="324" w:lineRule="auto"/>
        <w:rPr>
          <w:sz w:val="20"/>
          <w:szCs w:val="20"/>
          <w:color w:val="auto"/>
        </w:rPr>
      </w:pPr>
      <w:r>
        <w:rPr>
          <w:rFonts w:ascii="Arial" w:cs="Arial" w:eastAsia="Arial" w:hAnsi="Arial"/>
          <w:sz w:val="16"/>
          <w:szCs w:val="16"/>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obtain regulatory approval in international jurisdictions would prevent us from marketing our product candidates outside the United States.</w:t>
      </w:r>
    </w:p>
    <w:p>
      <w:pPr>
        <w:spacing w:after="0" w:line="143" w:lineRule="exact"/>
        <w:rPr>
          <w:sz w:val="20"/>
          <w:szCs w:val="20"/>
          <w:color w:val="auto"/>
        </w:rPr>
      </w:pPr>
    </w:p>
    <w:p>
      <w:pPr>
        <w:ind w:firstLine="667"/>
        <w:spacing w:after="0" w:line="278"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7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76" w:lineRule="exact"/>
        <w:rPr>
          <w:sz w:val="20"/>
          <w:szCs w:val="20"/>
          <w:color w:val="auto"/>
        </w:rPr>
      </w:pPr>
    </w:p>
    <w:p>
      <w:pPr>
        <w:ind w:right="40" w:firstLine="667"/>
        <w:spacing w:after="0" w:line="290"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five years, the FDA has approved three drugs, ibrutinib (</w:t>
      </w:r>
      <w:r>
        <w:rPr>
          <w:rFonts w:ascii="Arial" w:cs="Arial" w:eastAsia="Arial" w:hAnsi="Arial"/>
          <w:sz w:val="16"/>
          <w:szCs w:val="16"/>
          <w:i w:val="1"/>
          <w:iCs w:val="1"/>
          <w:color w:val="auto"/>
        </w:rPr>
        <w:t>Imbruvica®</w:t>
      </w:r>
      <w:r>
        <w:rPr>
          <w:rFonts w:ascii="Arial" w:cs="Arial" w:eastAsia="Arial" w:hAnsi="Arial"/>
          <w:sz w:val="16"/>
          <w:szCs w:val="16"/>
          <w:color w:val="auto"/>
        </w:rPr>
        <w:t>), belomosidil (</w:t>
      </w:r>
      <w:r>
        <w:rPr>
          <w:rFonts w:ascii="Arial" w:cs="Arial" w:eastAsia="Arial" w:hAnsi="Arial"/>
          <w:sz w:val="16"/>
          <w:szCs w:val="16"/>
          <w:i w:val="1"/>
          <w:iCs w:val="1"/>
          <w:color w:val="auto"/>
        </w:rPr>
        <w:t>Rezurock</w:t>
      </w:r>
      <w:r>
        <w:rPr>
          <w:rFonts w:ascii="Arial" w:cs="Arial" w:eastAsia="Arial" w:hAnsi="Arial"/>
          <w:sz w:val="16"/>
          <w:szCs w:val="16"/>
          <w:color w:val="auto"/>
        </w:rPr>
        <w:t>®) and ruxolitinib (</w:t>
      </w:r>
      <w:r>
        <w:rPr>
          <w:rFonts w:ascii="Arial" w:cs="Arial" w:eastAsia="Arial" w:hAnsi="Arial"/>
          <w:sz w:val="16"/>
          <w:szCs w:val="16"/>
          <w:i w:val="1"/>
          <w:iCs w:val="1"/>
          <w:color w:val="auto"/>
        </w:rPr>
        <w:t>Jakafi</w:t>
      </w:r>
      <w:r>
        <w:rPr>
          <w:rFonts w:ascii="Arial" w:cs="Arial" w:eastAsia="Arial" w:hAnsi="Arial"/>
          <w:sz w:val="16"/>
          <w:szCs w:val="16"/>
          <w:color w:val="auto"/>
        </w:rPr>
        <w:t>®), for use in patients with cGVHD after failure of one or more lines of systemic therapy. All three of these drugs may compete with axatilimab in patients diagnosed with cGVHD.</w:t>
      </w:r>
    </w:p>
    <w:p>
      <w:pPr>
        <w:spacing w:after="0" w:line="57" w:lineRule="exact"/>
        <w:rPr>
          <w:sz w:val="20"/>
          <w:szCs w:val="20"/>
          <w:color w:val="auto"/>
        </w:rPr>
      </w:pPr>
    </w:p>
    <w:p>
      <w:pPr>
        <w:ind w:right="80" w:firstLine="667"/>
        <w:spacing w:after="0" w:line="249" w:lineRule="auto"/>
        <w:rPr>
          <w:sz w:val="20"/>
          <w:szCs w:val="20"/>
          <w:color w:val="auto"/>
        </w:rPr>
      </w:pPr>
      <w:r>
        <w:rPr>
          <w:rFonts w:ascii="Arial" w:cs="Arial" w:eastAsia="Arial" w:hAnsi="Arial"/>
          <w:sz w:val="18"/>
          <w:szCs w:val="18"/>
          <w:color w:val="auto"/>
        </w:rPr>
        <w:t>SNDX-5613 is being developed for the treatment of adult and pediatric patients with MLLr ALL, MLLr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87" w:lineRule="exact"/>
        <w:rPr>
          <w:sz w:val="20"/>
          <w:szCs w:val="20"/>
          <w:color w:val="auto"/>
        </w:rPr>
      </w:pPr>
    </w:p>
    <w:p>
      <w:pPr>
        <w:ind w:right="60" w:firstLine="667"/>
        <w:spacing w:after="0" w:line="282"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65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08" w:lineRule="exact"/>
        <w:rPr>
          <w:sz w:val="20"/>
          <w:szCs w:val="20"/>
          <w:color w:val="auto"/>
        </w:rPr>
      </w:pPr>
    </w:p>
    <w:p>
      <w:pPr>
        <w:ind w:left="1160" w:hanging="577"/>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34" w:lineRule="exact"/>
        <w:rPr>
          <w:rFonts w:ascii="Arial" w:cs="Arial" w:eastAsia="Arial" w:hAnsi="Arial"/>
          <w:sz w:val="18"/>
          <w:szCs w:val="18"/>
          <w:color w:val="auto"/>
        </w:rPr>
      </w:pPr>
    </w:p>
    <w:p>
      <w:pPr>
        <w:ind w:left="1160" w:right="560" w:hanging="577"/>
        <w:spacing w:after="0" w:line="261"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 and</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w:t>
      </w:r>
    </w:p>
    <w:p>
      <w:pPr>
        <w:spacing w:after="0" w:line="135" w:lineRule="exact"/>
        <w:rPr>
          <w:sz w:val="20"/>
          <w:szCs w:val="20"/>
          <w:color w:val="auto"/>
        </w:rPr>
      </w:pPr>
    </w:p>
    <w:p>
      <w:pPr>
        <w:ind w:firstLine="667"/>
        <w:spacing w:after="0" w:line="24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9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The actions of Eddingpharm Investment Company Limited, or Eddingpharm, and any other current or future sublicensees could adversely affect our business.</w:t>
      </w:r>
    </w:p>
    <w:p>
      <w:pPr>
        <w:spacing w:after="0" w:line="76"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We currently exclusively sublicense entinostat to Eddingpharm for development and commercialization of entinostat in China and select Asian countries. In December 2021, Eddingpharm announced that the results of its multi-center, randomized, double-blinded, placebo-controlled Phase III registration trial, which was designed to evaluate entinostat plus exemestane compared to placebo plus exemestane in patients with locally advanced or metastatic HR positive, HER2 negative breast cancer who have previously progressed on hormone therapy, showed that entinostat plus exemestane improved progression free survival, overall response rate and disease control rate, compared with placebo plus exemestane in patients with advanced HR positive, HER2 negative breast cancer who had progressed after previous endocrine therapy. Nonetheless, it is possible that any future clinical trials conducted by Eddingpharm, including the forthcoming overall survival data in its ongoing Phase III registration trial, and trials by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08" w:lineRule="exact"/>
        <w:rPr>
          <w:sz w:val="20"/>
          <w:szCs w:val="20"/>
          <w:color w:val="auto"/>
        </w:rPr>
      </w:pPr>
    </w:p>
    <w:p>
      <w:pPr>
        <w:ind w:firstLine="667"/>
        <w:spacing w:after="0" w:line="246" w:lineRule="auto"/>
        <w:rPr>
          <w:sz w:val="20"/>
          <w:szCs w:val="20"/>
          <w:color w:val="auto"/>
        </w:rPr>
      </w:pPr>
      <w:r>
        <w:rPr>
          <w:rFonts w:ascii="Arial" w:cs="Arial" w:eastAsia="Arial" w:hAnsi="Arial"/>
          <w:sz w:val="18"/>
          <w:szCs w:val="18"/>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76" w:lineRule="exact"/>
        <w:rPr>
          <w:sz w:val="20"/>
          <w:szCs w:val="20"/>
          <w:color w:val="auto"/>
        </w:rPr>
      </w:pPr>
    </w:p>
    <w:p>
      <w:pPr>
        <w:ind w:right="60" w:firstLine="667"/>
        <w:spacing w:after="0" w:line="299"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38" w:name="page39"/>
    <w:bookmarkEnd w:id="38"/>
    <w:p>
      <w:pPr>
        <w:spacing w:after="0" w:line="278" w:lineRule="auto"/>
        <w:rPr>
          <w:sz w:val="20"/>
          <w:szCs w:val="20"/>
          <w:color w:val="auto"/>
        </w:rPr>
      </w:pPr>
      <w:r>
        <w:rPr>
          <w:rFonts w:ascii="Arial" w:cs="Arial" w:eastAsia="Arial" w:hAnsi="Arial"/>
          <w:sz w:val="16"/>
          <w:szCs w:val="16"/>
          <w:color w:val="auto"/>
        </w:rPr>
        <w:t>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08" w:lineRule="exact"/>
        <w:rPr>
          <w:sz w:val="20"/>
          <w:szCs w:val="20"/>
          <w:color w:val="auto"/>
        </w:rPr>
      </w:pPr>
    </w:p>
    <w:p>
      <w:pPr>
        <w:ind w:right="120" w:firstLine="667"/>
        <w:spacing w:after="0" w:line="24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89" w:lineRule="exact"/>
        <w:rPr>
          <w:sz w:val="20"/>
          <w:szCs w:val="20"/>
          <w:color w:val="auto"/>
        </w:rPr>
      </w:pPr>
    </w:p>
    <w:p>
      <w:pPr>
        <w:jc w:val="both"/>
        <w:ind w:right="40" w:firstLine="667"/>
        <w:spacing w:after="0" w:line="290"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62"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29" w:lineRule="exact"/>
        <w:rPr>
          <w:sz w:val="20"/>
          <w:szCs w:val="20"/>
          <w:color w:val="auto"/>
        </w:rPr>
      </w:pPr>
    </w:p>
    <w:p>
      <w:pPr>
        <w:ind w:right="20" w:firstLine="667"/>
        <w:spacing w:after="0" w:line="247"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89" w:lineRule="exact"/>
        <w:rPr>
          <w:sz w:val="20"/>
          <w:szCs w:val="20"/>
          <w:color w:val="auto"/>
        </w:rPr>
      </w:pPr>
    </w:p>
    <w:p>
      <w:pPr>
        <w:ind w:right="100" w:firstLine="667"/>
        <w:spacing w:after="0" w:line="252"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84" w:lineRule="exact"/>
        <w:rPr>
          <w:sz w:val="20"/>
          <w:szCs w:val="20"/>
          <w:color w:val="auto"/>
        </w:rPr>
      </w:pPr>
    </w:p>
    <w:p>
      <w:pPr>
        <w:ind w:right="420" w:firstLine="667"/>
        <w:spacing w:after="0" w:line="26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drug is approved by the FDA or foreign regulatory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9" w:name="page40"/>
    <w:bookmarkEnd w:id="39"/>
    <w:p>
      <w:pPr>
        <w:ind w:right="80"/>
        <w:spacing w:after="0" w:line="284" w:lineRule="auto"/>
        <w:rPr>
          <w:sz w:val="20"/>
          <w:szCs w:val="20"/>
          <w:color w:val="auto"/>
        </w:rPr>
      </w:pPr>
      <w:r>
        <w:rPr>
          <w:rFonts w:ascii="Arial" w:cs="Arial" w:eastAsia="Arial" w:hAnsi="Arial"/>
          <w:sz w:val="16"/>
          <w:szCs w:val="16"/>
          <w:color w:val="auto"/>
        </w:rPr>
        <w:t>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61" w:lineRule="exact"/>
        <w:rPr>
          <w:sz w:val="20"/>
          <w:szCs w:val="20"/>
          <w:color w:val="auto"/>
        </w:rPr>
      </w:pPr>
    </w:p>
    <w:p>
      <w:pPr>
        <w:ind w:right="40" w:firstLine="667"/>
        <w:spacing w:after="0" w:line="282" w:lineRule="auto"/>
        <w:rPr>
          <w:sz w:val="20"/>
          <w:szCs w:val="20"/>
          <w:color w:val="auto"/>
        </w:rPr>
      </w:pPr>
      <w:r>
        <w:rPr>
          <w:rFonts w:ascii="Arial" w:cs="Arial" w:eastAsia="Arial" w:hAnsi="Arial"/>
          <w:sz w:val="16"/>
          <w:szCs w:val="16"/>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4" w:lineRule="exact"/>
        <w:rPr>
          <w:sz w:val="20"/>
          <w:szCs w:val="20"/>
          <w:color w:val="auto"/>
        </w:rPr>
      </w:pPr>
    </w:p>
    <w:p>
      <w:pPr>
        <w:ind w:right="100" w:firstLine="667"/>
        <w:spacing w:after="0" w:line="281" w:lineRule="auto"/>
        <w:rPr>
          <w:sz w:val="20"/>
          <w:szCs w:val="20"/>
          <w:color w:val="auto"/>
        </w:rPr>
      </w:pPr>
      <w:r>
        <w:rPr>
          <w:rFonts w:ascii="Arial" w:cs="Arial" w:eastAsia="Arial" w:hAnsi="Arial"/>
          <w:sz w:val="16"/>
          <w:szCs w:val="16"/>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64" w:lineRule="exact"/>
        <w:rPr>
          <w:sz w:val="20"/>
          <w:szCs w:val="20"/>
          <w:color w:val="auto"/>
        </w:rPr>
      </w:pPr>
    </w:p>
    <w:p>
      <w:pPr>
        <w:ind w:right="60" w:firstLine="667"/>
        <w:spacing w:after="0" w:line="24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43" w:lineRule="exact"/>
        <w:rPr>
          <w:sz w:val="20"/>
          <w:szCs w:val="20"/>
          <w:color w:val="auto"/>
        </w:rPr>
      </w:pPr>
    </w:p>
    <w:p>
      <w:pPr>
        <w:ind w:firstLine="667"/>
        <w:spacing w:after="0" w:line="278"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U.S. Supreme Court ruling, January 28, 2021,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443" w:right="399" w:bottom="1440" w:gutter="0" w:footer="0" w:header="0"/>
        </w:sectPr>
      </w:pPr>
    </w:p>
    <w:bookmarkStart w:id="40" w:name="page41"/>
    <w:bookmarkEnd w:id="40"/>
    <w:p>
      <w:pPr>
        <w:ind w:right="80"/>
        <w:spacing w:after="0" w:line="249" w:lineRule="auto"/>
        <w:rPr>
          <w:sz w:val="20"/>
          <w:szCs w:val="20"/>
          <w:color w:val="auto"/>
        </w:rPr>
      </w:pPr>
      <w:r>
        <w:rPr>
          <w:rFonts w:ascii="Arial" w:cs="Arial" w:eastAsia="Arial" w:hAnsi="Arial"/>
          <w:sz w:val="18"/>
          <w:szCs w:val="18"/>
          <w:color w:val="auto"/>
        </w:rPr>
        <w:t>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87" w:lineRule="exact"/>
        <w:rPr>
          <w:sz w:val="20"/>
          <w:szCs w:val="20"/>
          <w:color w:val="auto"/>
        </w:rPr>
      </w:pPr>
    </w:p>
    <w:p>
      <w:pPr>
        <w:ind w:right="80" w:firstLine="667"/>
        <w:spacing w:after="0" w:line="280"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has extended the 2% reduction to 2031 with the exception of a temporary suspension from May 1, 2020 through March 31, 2022 due to the COVID-19 pandemic, unless additional congressional action is taken.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66" w:lineRule="exact"/>
        <w:rPr>
          <w:sz w:val="20"/>
          <w:szCs w:val="20"/>
          <w:color w:val="auto"/>
        </w:rPr>
      </w:pPr>
    </w:p>
    <w:p>
      <w:pPr>
        <w:ind w:firstLine="667"/>
        <w:spacing w:after="0" w:line="276"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and guidance in September 2020, providing pathways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the Centers for Medicare &amp; Medicaid Services, or CMS, issued an interim final rule implementing the Trump administration’s Most Favored Nation, or MFN, executive order, which would tie Medicare Part B payments for certain physician-administered drugs to the lowest price paid in other economically advanced countries. On December 27, 2021, CMS issued a final rule that rescinded the interim final rule implementing the Trump administration’s Most Favored Nation executive order.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Congress is also considering additional health reform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4" w:lineRule="exact"/>
        <w:rPr>
          <w:sz w:val="20"/>
          <w:szCs w:val="20"/>
          <w:color w:val="auto"/>
        </w:rPr>
      </w:pPr>
    </w:p>
    <w:p>
      <w:pPr>
        <w:ind w:right="180" w:firstLine="667"/>
        <w:spacing w:after="0" w:line="299" w:lineRule="auto"/>
        <w:rPr>
          <w:sz w:val="20"/>
          <w:szCs w:val="20"/>
          <w:color w:val="auto"/>
        </w:rPr>
      </w:pPr>
      <w:r>
        <w:rPr>
          <w:rFonts w:ascii="Arial" w:cs="Arial" w:eastAsia="Arial" w:hAnsi="Arial"/>
          <w:sz w:val="16"/>
          <w:szCs w:val="16"/>
          <w:color w:val="auto"/>
        </w:rPr>
        <w:t>It is also possible that additional governmental action is taken in response to the COVID-19 pandemic.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1" w:name="page42"/>
    <w:bookmarkEnd w:id="41"/>
    <w:p>
      <w:pPr>
        <w:ind w:right="60"/>
        <w:spacing w:after="0" w:line="299" w:lineRule="auto"/>
        <w:rPr>
          <w:sz w:val="20"/>
          <w:szCs w:val="20"/>
          <w:color w:val="auto"/>
        </w:rPr>
      </w:pPr>
      <w:r>
        <w:rPr>
          <w:rFonts w:ascii="Arial" w:cs="Arial" w:eastAsia="Arial" w:hAnsi="Arial"/>
          <w:sz w:val="16"/>
          <w:szCs w:val="16"/>
          <w:color w:val="auto"/>
        </w:rPr>
        <w:t>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08" w:lineRule="exact"/>
        <w:rPr>
          <w:sz w:val="20"/>
          <w:szCs w:val="20"/>
          <w:color w:val="auto"/>
        </w:rPr>
      </w:pPr>
    </w:p>
    <w:p>
      <w:pPr>
        <w:ind w:right="100" w:firstLine="667"/>
        <w:spacing w:after="0" w:line="290" w:lineRule="auto"/>
        <w:rPr>
          <w:sz w:val="20"/>
          <w:szCs w:val="20"/>
          <w:color w:val="auto"/>
        </w:rPr>
      </w:pPr>
      <w:r>
        <w:rPr>
          <w:rFonts w:ascii="Arial" w:cs="Arial" w:eastAsia="Arial" w:hAnsi="Arial"/>
          <w:sz w:val="16"/>
          <w:szCs w:val="16"/>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57" w:lineRule="exact"/>
        <w:rPr>
          <w:sz w:val="20"/>
          <w:szCs w:val="20"/>
          <w:color w:val="auto"/>
        </w:rPr>
      </w:pPr>
    </w:p>
    <w:p>
      <w:pPr>
        <w:ind w:left="1160" w:hanging="57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force;</w:t>
      </w:r>
    </w:p>
    <w:p>
      <w:pPr>
        <w:spacing w:after="0" w:line="134" w:lineRule="exact"/>
        <w:rPr>
          <w:rFonts w:ascii="Arial" w:cs="Arial" w:eastAsia="Arial" w:hAnsi="Arial"/>
          <w:sz w:val="18"/>
          <w:szCs w:val="18"/>
          <w:color w:val="auto"/>
        </w:rPr>
      </w:pPr>
    </w:p>
    <w:p>
      <w:pPr>
        <w:ind w:left="1160" w:hanging="577"/>
        <w:spacing w:after="0" w:line="261"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34" w:lineRule="exact"/>
        <w:rPr>
          <w:rFonts w:ascii="Arial" w:cs="Arial" w:eastAsia="Arial" w:hAnsi="Arial"/>
          <w:sz w:val="18"/>
          <w:szCs w:val="18"/>
          <w:color w:val="auto"/>
        </w:rPr>
      </w:pPr>
    </w:p>
    <w:p>
      <w:pPr>
        <w:ind w:left="1160" w:right="80" w:hanging="577"/>
        <w:spacing w:after="0" w:line="252"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84" w:lineRule="exact"/>
        <w:rPr>
          <w:sz w:val="20"/>
          <w:szCs w:val="20"/>
          <w:color w:val="auto"/>
        </w:rPr>
      </w:pPr>
    </w:p>
    <w:p>
      <w:pPr>
        <w:ind w:right="160" w:firstLine="667"/>
        <w:spacing w:after="0" w:line="24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31" w:lineRule="exact"/>
        <w:rPr>
          <w:sz w:val="20"/>
          <w:szCs w:val="20"/>
          <w:color w:val="auto"/>
        </w:rPr>
      </w:pPr>
    </w:p>
    <w:p>
      <w:pPr>
        <w:ind w:right="60" w:firstLine="667"/>
        <w:spacing w:after="0" w:line="24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7" w:lineRule="exact"/>
        <w:rPr>
          <w:sz w:val="20"/>
          <w:szCs w:val="20"/>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35" w:lineRule="exact"/>
        <w:rPr>
          <w:sz w:val="20"/>
          <w:szCs w:val="20"/>
          <w:color w:val="auto"/>
        </w:rPr>
      </w:pPr>
    </w:p>
    <w:p>
      <w:pPr>
        <w:ind w:right="80" w:firstLine="667"/>
        <w:spacing w:after="0" w:line="290" w:lineRule="auto"/>
        <w:rPr>
          <w:sz w:val="20"/>
          <w:szCs w:val="20"/>
          <w:color w:val="auto"/>
        </w:rPr>
      </w:pPr>
      <w:r>
        <w:rPr>
          <w:rFonts w:ascii="Arial" w:cs="Arial" w:eastAsia="Arial" w:hAnsi="Arial"/>
          <w:sz w:val="16"/>
          <w:szCs w:val="16"/>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42" w:name="page43"/>
    <w:bookmarkEnd w:id="42"/>
    <w:p>
      <w:pPr>
        <w:ind w:right="180"/>
        <w:spacing w:after="0" w:line="261" w:lineRule="auto"/>
        <w:rPr>
          <w:sz w:val="20"/>
          <w:szCs w:val="20"/>
          <w:color w:val="auto"/>
        </w:rPr>
      </w:pPr>
      <w:r>
        <w:rPr>
          <w:rFonts w:ascii="Arial" w:cs="Arial" w:eastAsia="Arial" w:hAnsi="Arial"/>
          <w:sz w:val="18"/>
          <w:szCs w:val="18"/>
          <w:color w:val="auto"/>
        </w:rPr>
        <w:t>successful product liability claim or series of claims brought against us, particularly if judgments exceed our insurance coverage, could decrease our cash and adversely affect our business and financial condition.</w:t>
      </w:r>
    </w:p>
    <w:p>
      <w:pPr>
        <w:spacing w:after="0" w:line="18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57" w:lineRule="exact"/>
        <w:rPr>
          <w:sz w:val="20"/>
          <w:szCs w:val="20"/>
          <w:color w:val="auto"/>
        </w:rPr>
      </w:pPr>
    </w:p>
    <w:p>
      <w:pPr>
        <w:ind w:right="360" w:firstLine="667"/>
        <w:spacing w:after="0" w:line="286" w:lineRule="auto"/>
        <w:rPr>
          <w:sz w:val="20"/>
          <w:szCs w:val="20"/>
          <w:color w:val="auto"/>
        </w:rPr>
      </w:pPr>
      <w:r>
        <w:rPr>
          <w:rFonts w:ascii="Arial" w:cs="Arial" w:eastAsia="Arial" w:hAnsi="Arial"/>
          <w:sz w:val="16"/>
          <w:szCs w:val="16"/>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0" w:lineRule="exact"/>
        <w:rPr>
          <w:sz w:val="20"/>
          <w:szCs w:val="20"/>
          <w:color w:val="auto"/>
        </w:rPr>
      </w:pPr>
    </w:p>
    <w:p>
      <w:pPr>
        <w:ind w:left="1160" w:right="260" w:hanging="577"/>
        <w:spacing w:after="0" w:line="290"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57" w:lineRule="exact"/>
        <w:rPr>
          <w:rFonts w:ascii="Arial" w:cs="Arial" w:eastAsia="Arial" w:hAnsi="Arial"/>
          <w:sz w:val="16"/>
          <w:szCs w:val="16"/>
          <w:color w:val="auto"/>
        </w:rPr>
      </w:pPr>
    </w:p>
    <w:p>
      <w:pPr>
        <w:ind w:left="1160" w:right="20" w:hanging="577"/>
        <w:spacing w:after="0" w:line="249"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87" w:lineRule="exact"/>
        <w:rPr>
          <w:rFonts w:ascii="Arial" w:cs="Arial" w:eastAsia="Arial" w:hAnsi="Arial"/>
          <w:sz w:val="18"/>
          <w:szCs w:val="18"/>
          <w:color w:val="auto"/>
        </w:rPr>
      </w:pPr>
    </w:p>
    <w:p>
      <w:pPr>
        <w:ind w:left="1160" w:right="40" w:hanging="577"/>
        <w:spacing w:after="0" w:line="284"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60" w:lineRule="exact"/>
        <w:rPr>
          <w:rFonts w:ascii="Arial" w:cs="Arial" w:eastAsia="Arial" w:hAnsi="Arial"/>
          <w:sz w:val="16"/>
          <w:szCs w:val="16"/>
          <w:color w:val="auto"/>
        </w:rPr>
      </w:pPr>
    </w:p>
    <w:p>
      <w:pPr>
        <w:ind w:left="1160" w:right="160" w:hanging="577"/>
        <w:spacing w:after="0" w:line="24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87" w:lineRule="exact"/>
        <w:rPr>
          <w:rFonts w:ascii="Arial" w:cs="Arial" w:eastAsia="Arial" w:hAnsi="Arial"/>
          <w:sz w:val="18"/>
          <w:szCs w:val="18"/>
          <w:color w:val="auto"/>
        </w:rPr>
      </w:pPr>
    </w:p>
    <w:p>
      <w:pPr>
        <w:ind w:left="1160" w:right="20" w:hanging="577"/>
        <w:spacing w:after="0" w:line="284"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60" w:lineRule="exact"/>
        <w:rPr>
          <w:rFonts w:ascii="Arial" w:cs="Arial" w:eastAsia="Arial" w:hAnsi="Arial"/>
          <w:sz w:val="16"/>
          <w:szCs w:val="16"/>
          <w:color w:val="auto"/>
        </w:rPr>
      </w:pPr>
    </w:p>
    <w:p>
      <w:pPr>
        <w:ind w:left="1160" w:hanging="577"/>
        <w:spacing w:after="0" w:line="252"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43" w:name="page44"/>
    <w:bookmarkEnd w:id="43"/>
    <w:p>
      <w:pPr>
        <w:ind w:left="1160" w:right="100"/>
        <w:spacing w:after="0" w:line="279" w:lineRule="auto"/>
        <w:rPr>
          <w:sz w:val="20"/>
          <w:szCs w:val="20"/>
          <w:color w:val="auto"/>
        </w:rPr>
      </w:pPr>
      <w:r>
        <w:rPr>
          <w:rFonts w:ascii="Arial" w:cs="Arial" w:eastAsia="Arial" w:hAnsi="Arial"/>
          <w:sz w:val="16"/>
          <w:szCs w:val="16"/>
          <w:color w:val="auto"/>
        </w:rPr>
        <w:t>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69" w:lineRule="exact"/>
        <w:rPr>
          <w:sz w:val="20"/>
          <w:szCs w:val="20"/>
          <w:color w:val="auto"/>
        </w:rPr>
      </w:pPr>
    </w:p>
    <w:p>
      <w:pPr>
        <w:ind w:firstLine="667"/>
        <w:spacing w:after="0" w:line="279"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76" w:lineRule="exact"/>
        <w:rPr>
          <w:sz w:val="20"/>
          <w:szCs w:val="20"/>
          <w:color w:val="auto"/>
        </w:rPr>
      </w:pPr>
    </w:p>
    <w:p>
      <w:pPr>
        <w:ind w:right="20" w:firstLine="667"/>
        <w:spacing w:after="0" w:line="277"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4" w:name="page45"/>
    <w:bookmarkEnd w:id="44"/>
    <w:p>
      <w:pPr>
        <w:ind w:right="40" w:firstLine="667"/>
        <w:spacing w:after="0" w:line="246"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92" w:lineRule="exact"/>
        <w:rPr>
          <w:sz w:val="20"/>
          <w:szCs w:val="20"/>
          <w:color w:val="auto"/>
        </w:rPr>
      </w:pPr>
    </w:p>
    <w:p>
      <w:pPr>
        <w:ind w:firstLine="589"/>
        <w:spacing w:after="0" w:line="277"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except 2021, and anticipate that we will continue to incur net losses for the foreseeable future.</w:t>
      </w:r>
    </w:p>
    <w:p>
      <w:pPr>
        <w:spacing w:after="0" w:line="131" w:lineRule="exact"/>
        <w:rPr>
          <w:sz w:val="20"/>
          <w:szCs w:val="20"/>
          <w:color w:val="auto"/>
        </w:rPr>
      </w:pPr>
    </w:p>
    <w:p>
      <w:pPr>
        <w:ind w:right="80" w:firstLine="667"/>
        <w:spacing w:after="0" w:line="247"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the year ended December 31, 2021, we reported a net income of $24.9 million. We reported a net income attributable to stockholders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$24.9 million for the year ended December 31, 2021. As of December 31, 2021, we had an accumulated deficit of $543.7 million, which included non-cash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charges for stock-based compensation, preferred stock accretion and historical extinguishment charges. We expect to continue to incur significant losses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foreseeable future, and we expect these losses to increase as we continue our pre-commercialization activities for, and our research and development of,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seek regulatory approvals for, our product candidates. We may also encounter unforeseen expenses, difficulties, complications, delays and other unknown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adversely affect our business. The size of our future net losses will depend, in part, on the rate of future growth of our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45" w:name="page46"/>
    <w:bookmarkEnd w:id="45"/>
    <w:p>
      <w:pPr>
        <w:ind w:right="280"/>
        <w:spacing w:after="0" w:line="261" w:lineRule="auto"/>
        <w:rPr>
          <w:sz w:val="20"/>
          <w:szCs w:val="20"/>
          <w:color w:val="auto"/>
        </w:rPr>
      </w:pPr>
      <w:r>
        <w:rPr>
          <w:rFonts w:ascii="Arial" w:cs="Arial" w:eastAsia="Arial" w:hAnsi="Arial"/>
          <w:sz w:val="18"/>
          <w:szCs w:val="18"/>
          <w:color w:val="auto"/>
        </w:rPr>
        <w:t>expenses and our ability to generate revenues, if any. Our prior losses and expected future losses have had and will continue to have an adverse effect on our stockholders’ equity and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08" w:lineRule="exact"/>
        <w:rPr>
          <w:sz w:val="20"/>
          <w:szCs w:val="20"/>
          <w:color w:val="auto"/>
        </w:rPr>
      </w:pPr>
    </w:p>
    <w:p>
      <w:pPr>
        <w:jc w:val="both"/>
        <w:ind w:right="60" w:firstLine="667"/>
        <w:spacing w:after="0" w:line="252"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4" w:lineRule="exact"/>
        <w:rPr>
          <w:sz w:val="20"/>
          <w:szCs w:val="20"/>
          <w:color w:val="auto"/>
        </w:rPr>
      </w:pPr>
    </w:p>
    <w:p>
      <w:pPr>
        <w:ind w:left="1160" w:hanging="57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34" w:lineRule="exact"/>
        <w:rPr>
          <w:rFonts w:ascii="Arial" w:cs="Arial" w:eastAsia="Arial" w:hAnsi="Arial"/>
          <w:sz w:val="18"/>
          <w:szCs w:val="18"/>
          <w:color w:val="auto"/>
        </w:rPr>
      </w:pPr>
    </w:p>
    <w:p>
      <w:pPr>
        <w:ind w:left="1160" w:right="100" w:hanging="577"/>
        <w:spacing w:after="0" w:line="261"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 to build a portfolio of product candidates through the acquisition or in-license of products, product candidates or technologies;</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34" w:lineRule="exact"/>
        <w:rPr>
          <w:rFonts w:ascii="Arial" w:cs="Arial" w:eastAsia="Arial" w:hAnsi="Arial"/>
          <w:sz w:val="18"/>
          <w:szCs w:val="18"/>
          <w:color w:val="auto"/>
        </w:rPr>
      </w:pPr>
    </w:p>
    <w:p>
      <w:pPr>
        <w:ind w:left="1160" w:right="40" w:hanging="577"/>
        <w:spacing w:after="0" w:line="261"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35" w:lineRule="exact"/>
        <w:rPr>
          <w:sz w:val="20"/>
          <w:szCs w:val="20"/>
          <w:color w:val="auto"/>
        </w:rPr>
      </w:pPr>
    </w:p>
    <w:p>
      <w:pPr>
        <w:ind w:right="20" w:firstLine="667"/>
        <w:spacing w:after="0" w:line="248"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87" w:lineRule="exact"/>
        <w:rPr>
          <w:sz w:val="20"/>
          <w:szCs w:val="20"/>
          <w:color w:val="auto"/>
        </w:rPr>
      </w:pPr>
    </w:p>
    <w:p>
      <w:pPr>
        <w:ind w:right="300" w:firstLine="674"/>
        <w:spacing w:after="0" w:line="24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92" w:lineRule="exact"/>
        <w:rPr>
          <w:sz w:val="20"/>
          <w:szCs w:val="20"/>
          <w:color w:val="auto"/>
        </w:rPr>
      </w:pPr>
    </w:p>
    <w:p>
      <w:pPr>
        <w:spacing w:after="0" w:line="361" w:lineRule="auto"/>
        <w:rPr>
          <w:sz w:val="20"/>
          <w:szCs w:val="20"/>
          <w:color w:val="auto"/>
        </w:rPr>
      </w:pPr>
      <w:r>
        <w:rPr>
          <w:rFonts w:ascii="Arial" w:cs="Arial" w:eastAsia="Arial" w:hAnsi="Arial"/>
          <w:sz w:val="15"/>
          <w:szCs w:val="15"/>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 w:lineRule="exact"/>
        <w:rPr>
          <w:sz w:val="20"/>
          <w:szCs w:val="20"/>
          <w:color w:val="auto"/>
        </w:rPr>
      </w:pPr>
    </w:p>
    <w:p>
      <w:pPr>
        <w:ind w:right="60" w:firstLine="667"/>
        <w:spacing w:after="0" w:line="247"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89" w:lineRule="exact"/>
        <w:rPr>
          <w:sz w:val="20"/>
          <w:szCs w:val="20"/>
          <w:color w:val="auto"/>
        </w:rPr>
      </w:pPr>
    </w:p>
    <w:p>
      <w:pPr>
        <w:ind w:right="420" w:firstLine="667"/>
        <w:spacing w:after="0" w:line="261"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6" w:name="page47"/>
    <w:bookmarkEnd w:id="46"/>
    <w:p>
      <w:pPr>
        <w:jc w:val="both"/>
        <w:ind w:right="400"/>
        <w:spacing w:after="0" w:line="290" w:lineRule="auto"/>
        <w:rPr>
          <w:sz w:val="20"/>
          <w:szCs w:val="20"/>
          <w:color w:val="auto"/>
        </w:rPr>
      </w:pPr>
      <w:r>
        <w:rPr>
          <w:rFonts w:ascii="Arial" w:cs="Arial" w:eastAsia="Arial" w:hAnsi="Arial"/>
          <w:sz w:val="16"/>
          <w:szCs w:val="16"/>
          <w:color w:val="auto"/>
        </w:rPr>
        <w:t>additional financing may divert our management from our day-to-day activities, which may adversely affect our ability to develop and commercialize our product candidates. The COVID-19 pandemic has resulted in periods of significant disruption of global financial markets. If future disruption or volatility occur,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57" w:lineRule="exact"/>
        <w:rPr>
          <w:sz w:val="20"/>
          <w:szCs w:val="20"/>
          <w:color w:val="auto"/>
        </w:rPr>
      </w:pPr>
    </w:p>
    <w:p>
      <w:pPr>
        <w:ind w:left="1160" w:hanging="577"/>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delay, scale back or discontinue the development or commercialization of our product candidates or cease operations altogether;</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34" w:lineRule="exact"/>
        <w:rPr>
          <w:rFonts w:ascii="Arial" w:cs="Arial" w:eastAsia="Arial" w:hAnsi="Arial"/>
          <w:sz w:val="18"/>
          <w:szCs w:val="18"/>
          <w:color w:val="auto"/>
        </w:rPr>
      </w:pPr>
    </w:p>
    <w:p>
      <w:pPr>
        <w:ind w:left="1160" w:hanging="577"/>
        <w:spacing w:after="0" w:line="261"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76" w:lineRule="exact"/>
        <w:rPr>
          <w:sz w:val="20"/>
          <w:szCs w:val="20"/>
          <w:color w:val="auto"/>
        </w:rPr>
      </w:pPr>
    </w:p>
    <w:p>
      <w:pPr>
        <w:ind w:right="320" w:firstLine="667"/>
        <w:spacing w:after="0" w:line="324"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08" w:lineRule="exact"/>
        <w:rPr>
          <w:sz w:val="20"/>
          <w:szCs w:val="20"/>
          <w:color w:val="auto"/>
        </w:rPr>
      </w:pPr>
    </w:p>
    <w:p>
      <w:pPr>
        <w:ind w:left="1160" w:hanging="57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4" w:lineRule="exact"/>
        <w:rPr>
          <w:rFonts w:ascii="Arial" w:cs="Arial" w:eastAsia="Arial" w:hAnsi="Arial"/>
          <w:sz w:val="18"/>
          <w:szCs w:val="18"/>
          <w:color w:val="auto"/>
        </w:rPr>
      </w:pPr>
    </w:p>
    <w:p>
      <w:pPr>
        <w:ind w:left="1160" w:right="460" w:hanging="577"/>
        <w:spacing w:after="0" w:line="324"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28" w:lineRule="exact"/>
        <w:rPr>
          <w:rFonts w:ascii="Arial" w:cs="Arial" w:eastAsia="Arial" w:hAnsi="Arial"/>
          <w:sz w:val="16"/>
          <w:szCs w:val="16"/>
          <w:color w:val="auto"/>
        </w:rPr>
      </w:pPr>
    </w:p>
    <w:p>
      <w:pPr>
        <w:jc w:val="both"/>
        <w:ind w:left="1160" w:right="400" w:hanging="577"/>
        <w:spacing w:after="0" w:line="252"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4" w:lineRule="exact"/>
        <w:rPr>
          <w:rFonts w:ascii="Arial" w:cs="Arial" w:eastAsia="Arial" w:hAnsi="Arial"/>
          <w:sz w:val="18"/>
          <w:szCs w:val="18"/>
          <w:color w:val="auto"/>
        </w:rPr>
      </w:pPr>
    </w:p>
    <w:p>
      <w:pPr>
        <w:ind w:left="1160" w:hanging="57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4" w:lineRule="exact"/>
        <w:rPr>
          <w:rFonts w:ascii="Arial" w:cs="Arial" w:eastAsia="Arial" w:hAnsi="Arial"/>
          <w:sz w:val="18"/>
          <w:szCs w:val="18"/>
          <w:color w:val="auto"/>
        </w:rPr>
      </w:pPr>
    </w:p>
    <w:p>
      <w:pPr>
        <w:ind w:left="1160" w:right="660" w:hanging="577"/>
        <w:spacing w:after="0" w:line="261"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1160" w:right="20" w:hanging="577"/>
        <w:spacing w:after="0" w:line="261"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75" w:lineRule="exact"/>
        <w:rPr>
          <w:rFonts w:ascii="Arial" w:cs="Arial" w:eastAsia="Arial" w:hAnsi="Arial"/>
          <w:sz w:val="18"/>
          <w:szCs w:val="18"/>
          <w:color w:val="auto"/>
        </w:rPr>
      </w:pPr>
    </w:p>
    <w:p>
      <w:pPr>
        <w:ind w:left="1160" w:right="200" w:hanging="577"/>
        <w:spacing w:after="0" w:line="261"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 and</w:t>
      </w:r>
    </w:p>
    <w:p>
      <w:pPr>
        <w:spacing w:after="0" w:line="157" w:lineRule="exact"/>
        <w:rPr>
          <w:rFonts w:ascii="Arial" w:cs="Arial" w:eastAsia="Arial" w:hAnsi="Arial"/>
          <w:sz w:val="16"/>
          <w:szCs w:val="16"/>
          <w:color w:val="auto"/>
        </w:rPr>
      </w:pPr>
    </w:p>
    <w:p>
      <w:pPr>
        <w:ind w:left="1160" w:right="200" w:hanging="577"/>
        <w:spacing w:after="0" w:line="324"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29" w:lineRule="exact"/>
        <w:rPr>
          <w:sz w:val="20"/>
          <w:szCs w:val="20"/>
          <w:color w:val="auto"/>
        </w:rPr>
      </w:pPr>
    </w:p>
    <w:p>
      <w:pPr>
        <w:ind w:right="300" w:firstLine="667"/>
        <w:spacing w:after="0" w:line="261"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7" w:name="page48"/>
    <w:bookmarkEnd w:id="47"/>
    <w:p>
      <w:pPr>
        <w:ind w:right="480"/>
        <w:spacing w:after="0" w:line="261"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76" w:lineRule="exact"/>
        <w:rPr>
          <w:sz w:val="20"/>
          <w:szCs w:val="20"/>
          <w:color w:val="auto"/>
        </w:rPr>
      </w:pPr>
    </w:p>
    <w:p>
      <w:pPr>
        <w:ind w:firstLine="667"/>
        <w:spacing w:after="0" w:line="290" w:lineRule="auto"/>
        <w:rPr>
          <w:sz w:val="20"/>
          <w:szCs w:val="20"/>
          <w:color w:val="auto"/>
        </w:rPr>
      </w:pPr>
      <w:r>
        <w:rPr>
          <w:rFonts w:ascii="Arial" w:cs="Arial" w:eastAsia="Arial" w:hAnsi="Arial"/>
          <w:sz w:val="16"/>
          <w:szCs w:val="16"/>
          <w:color w:val="auto"/>
        </w:rPr>
        <w:t>Our amended loan and security agreement, or the Loan Agreement, with Hercules Capital, Inc., or Hercules, for aggregate maximum borrowings of up to $80.0 million, or the Credit Facility, is collateralized by substantially all of our and our subsidiaries personal property and other assets, other than our intellectual property. As of December 31, 2021, the outstanding principal balance under the Credit Facility was $20.0 million. The Credit Facility contains customary representations, warranties, affirmative and negative covenants and events of default applicable to us and our subsidiaries.</w:t>
      </w:r>
    </w:p>
    <w:p>
      <w:pPr>
        <w:spacing w:after="0" w:line="57" w:lineRule="exact"/>
        <w:rPr>
          <w:sz w:val="20"/>
          <w:szCs w:val="20"/>
          <w:color w:val="auto"/>
        </w:rPr>
      </w:pPr>
    </w:p>
    <w:p>
      <w:pPr>
        <w:ind w:right="20" w:firstLine="667"/>
        <w:spacing w:after="0" w:line="246"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08" w:lineRule="exact"/>
        <w:rPr>
          <w:sz w:val="20"/>
          <w:szCs w:val="20"/>
          <w:color w:val="auto"/>
        </w:rPr>
      </w:pPr>
    </w:p>
    <w:p>
      <w:pPr>
        <w:ind w:right="80" w:firstLine="667"/>
        <w:spacing w:after="0" w:line="280"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modified or applied in a manner that is adverse to us, which could adversely affect our business and financial condition. These changes could require us to pay additional taxes on a prospective or retroactive basis, as well as penalties, interest and other costs for past amounts deemed to be due, and also could increase our compliance, operating and other costs, as well as the costs of any future products. For example, tax legislation enacted in 2017 made many significant changes to the U.S. tax laws, some of which were further modified in 2020, and may be modified or repealed in the future by the current or a future U.S. administration. Regulatory or other guidance from the Internal Revenue Service and other tax authorities with respect to any tax legislation also may affect us. In addition, it is uncertain if and to what extent various states will conform to current federal law, or any newly enacted federal tax legislation. Changes in corporate tax rates, the utilization of net operating losses and other deferred tax assets, the deductibility of expenses, and the taxation of foreign earnings, as applicable, could increase our future tax expense and could have a material adverse impact on our business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8" w:lineRule="exact"/>
        <w:rPr>
          <w:sz w:val="20"/>
          <w:szCs w:val="20"/>
          <w:color w:val="auto"/>
        </w:rPr>
      </w:pPr>
    </w:p>
    <w:p>
      <w:pPr>
        <w:ind w:right="60" w:firstLine="589"/>
        <w:spacing w:after="0" w:line="280"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08" w:lineRule="exact"/>
        <w:rPr>
          <w:sz w:val="20"/>
          <w:szCs w:val="20"/>
          <w:color w:val="auto"/>
        </w:rPr>
      </w:pPr>
    </w:p>
    <w:p>
      <w:pPr>
        <w:ind w:right="60" w:firstLine="667"/>
        <w:spacing w:after="0" w:line="248"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7" w:lineRule="exact"/>
        <w:rPr>
          <w:sz w:val="20"/>
          <w:szCs w:val="20"/>
          <w:color w:val="auto"/>
        </w:rPr>
      </w:pPr>
    </w:p>
    <w:p>
      <w:pPr>
        <w:ind w:right="20" w:firstLine="667"/>
        <w:spacing w:after="0" w:line="302" w:lineRule="auto"/>
        <w:rPr>
          <w:sz w:val="20"/>
          <w:szCs w:val="20"/>
          <w:color w:val="auto"/>
        </w:rPr>
      </w:pPr>
      <w:r>
        <w:rPr>
          <w:rFonts w:ascii="Arial" w:cs="Arial" w:eastAsia="Arial" w:hAnsi="Arial"/>
          <w:sz w:val="15"/>
          <w:szCs w:val="15"/>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51" w:lineRule="exact"/>
        <w:rPr>
          <w:sz w:val="20"/>
          <w:szCs w:val="20"/>
          <w:color w:val="auto"/>
        </w:rPr>
      </w:pPr>
    </w:p>
    <w:p>
      <w:pPr>
        <w:ind w:firstLine="667"/>
        <w:spacing w:after="0" w:line="27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6" w:lineRule="exact"/>
        <w:rPr>
          <w:sz w:val="20"/>
          <w:szCs w:val="20"/>
          <w:color w:val="auto"/>
        </w:rPr>
      </w:pPr>
    </w:p>
    <w:p>
      <w:pPr>
        <w:ind w:right="40" w:firstLine="667"/>
        <w:spacing w:after="0" w:line="29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49" w:name="page50"/>
    <w:bookmarkEnd w:id="49"/>
    <w:p>
      <w:pPr>
        <w:ind w:right="160"/>
        <w:spacing w:after="0" w:line="261" w:lineRule="auto"/>
        <w:rPr>
          <w:sz w:val="20"/>
          <w:szCs w:val="20"/>
          <w:color w:val="auto"/>
        </w:rPr>
      </w:pPr>
      <w:r>
        <w:rPr>
          <w:rFonts w:ascii="Arial" w:cs="Arial" w:eastAsia="Arial" w:hAnsi="Arial"/>
          <w:sz w:val="18"/>
          <w:szCs w:val="18"/>
          <w:color w:val="auto"/>
        </w:rPr>
        <w:t>Patent RE39,754, which we licensed from Bayer, covers the chemical entity of entinostat and any crystalline or non-crystalline form of entinostat and expired in September 2017.</w:t>
      </w:r>
    </w:p>
    <w:p>
      <w:pPr>
        <w:spacing w:after="0" w:line="76" w:lineRule="exact"/>
        <w:rPr>
          <w:sz w:val="20"/>
          <w:szCs w:val="20"/>
          <w:color w:val="auto"/>
        </w:rPr>
      </w:pPr>
    </w:p>
    <w:p>
      <w:pPr>
        <w:ind w:firstLine="667"/>
        <w:spacing w:after="0" w:line="279"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66" w:lineRule="exact"/>
        <w:rPr>
          <w:sz w:val="20"/>
          <w:szCs w:val="20"/>
          <w:color w:val="auto"/>
        </w:rPr>
      </w:pPr>
    </w:p>
    <w:p>
      <w:pPr>
        <w:ind w:right="100" w:firstLine="667"/>
        <w:spacing w:after="0" w:line="284" w:lineRule="auto"/>
        <w:rPr>
          <w:sz w:val="20"/>
          <w:szCs w:val="20"/>
          <w:color w:val="auto"/>
        </w:rPr>
      </w:pPr>
      <w:r>
        <w:rPr>
          <w:rFonts w:ascii="Arial" w:cs="Arial" w:eastAsia="Arial" w:hAnsi="Arial"/>
          <w:sz w:val="16"/>
          <w:szCs w:val="16"/>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61" w:lineRule="exact"/>
        <w:rPr>
          <w:sz w:val="20"/>
          <w:szCs w:val="20"/>
          <w:color w:val="auto"/>
        </w:rPr>
      </w:pPr>
    </w:p>
    <w:p>
      <w:pPr>
        <w:ind w:right="140" w:firstLine="667"/>
        <w:spacing w:after="0" w:line="246"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92" w:lineRule="exact"/>
        <w:rPr>
          <w:sz w:val="20"/>
          <w:szCs w:val="20"/>
          <w:color w:val="auto"/>
        </w:rPr>
      </w:pPr>
    </w:p>
    <w:p>
      <w:pPr>
        <w:ind w:firstLine="667"/>
        <w:spacing w:after="0" w:line="304" w:lineRule="auto"/>
        <w:rPr>
          <w:sz w:val="20"/>
          <w:szCs w:val="20"/>
          <w:color w:val="auto"/>
        </w:rPr>
      </w:pPr>
      <w:r>
        <w:rPr>
          <w:rFonts w:ascii="Arial" w:cs="Arial" w:eastAsia="Arial" w:hAnsi="Arial"/>
          <w:sz w:val="15"/>
          <w:szCs w:val="15"/>
          <w:color w:val="auto"/>
        </w:rPr>
        <w:t>The portfolio that we licensed from Vitae Pharmaceuticals, which is now a subsidiary of AbbVie Inc.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8" w:lineRule="exact"/>
        <w:rPr>
          <w:sz w:val="20"/>
          <w:szCs w:val="20"/>
          <w:color w:val="auto"/>
        </w:rPr>
      </w:pPr>
    </w:p>
    <w:p>
      <w:pPr>
        <w:ind w:firstLine="667"/>
        <w:spacing w:after="0" w:line="309" w:lineRule="auto"/>
        <w:rPr>
          <w:sz w:val="20"/>
          <w:szCs w:val="20"/>
          <w:color w:val="auto"/>
        </w:rPr>
      </w:pPr>
      <w:r>
        <w:rPr>
          <w:rFonts w:ascii="Arial" w:cs="Arial" w:eastAsia="Arial" w:hAnsi="Arial"/>
          <w:sz w:val="15"/>
          <w:szCs w:val="15"/>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50" w:name="page51"/>
    <w:bookmarkEnd w:id="50"/>
    <w:p>
      <w:pPr>
        <w:spacing w:after="0" w:line="299" w:lineRule="auto"/>
        <w:rPr>
          <w:sz w:val="20"/>
          <w:szCs w:val="20"/>
          <w:color w:val="auto"/>
        </w:rPr>
      </w:pPr>
      <w:r>
        <w:rPr>
          <w:rFonts w:ascii="Arial" w:cs="Arial" w:eastAsia="Arial" w:hAnsi="Arial"/>
          <w:sz w:val="16"/>
          <w:szCs w:val="16"/>
          <w:color w:val="auto"/>
        </w:rPr>
        <w:t>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48" w:lineRule="exact"/>
        <w:rPr>
          <w:sz w:val="20"/>
          <w:szCs w:val="20"/>
          <w:color w:val="auto"/>
        </w:rPr>
      </w:pPr>
    </w:p>
    <w:p>
      <w:pPr>
        <w:ind w:right="20" w:firstLine="667"/>
        <w:spacing w:after="0" w:line="28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64" w:lineRule="exact"/>
        <w:rPr>
          <w:sz w:val="20"/>
          <w:szCs w:val="20"/>
          <w:color w:val="auto"/>
        </w:rPr>
      </w:pPr>
    </w:p>
    <w:p>
      <w:pPr>
        <w:ind w:right="40" w:firstLine="667"/>
        <w:spacing w:after="0" w:line="279" w:lineRule="auto"/>
        <w:rPr>
          <w:sz w:val="20"/>
          <w:szCs w:val="20"/>
          <w:color w:val="auto"/>
        </w:rPr>
      </w:pPr>
      <w:r>
        <w:rPr>
          <w:rFonts w:ascii="Arial" w:cs="Arial" w:eastAsia="Arial" w:hAnsi="Arial"/>
          <w:sz w:val="16"/>
          <w:szCs w:val="16"/>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76" w:lineRule="exact"/>
        <w:rPr>
          <w:sz w:val="20"/>
          <w:szCs w:val="20"/>
          <w:color w:val="auto"/>
        </w:rPr>
      </w:pPr>
    </w:p>
    <w:p>
      <w:pPr>
        <w:ind w:firstLine="667"/>
        <w:spacing w:after="0" w:line="247" w:lineRule="auto"/>
        <w:rPr>
          <w:sz w:val="20"/>
          <w:szCs w:val="20"/>
          <w:color w:val="auto"/>
        </w:rPr>
      </w:pPr>
      <w:r>
        <w:rPr>
          <w:rFonts w:ascii="Arial" w:cs="Arial" w:eastAsia="Arial" w:hAnsi="Arial"/>
          <w:sz w:val="18"/>
          <w:szCs w:val="18"/>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89" w:lineRule="exact"/>
        <w:rPr>
          <w:sz w:val="20"/>
          <w:szCs w:val="20"/>
          <w:color w:val="auto"/>
        </w:rPr>
      </w:pPr>
    </w:p>
    <w:p>
      <w:pPr>
        <w:ind w:firstLine="667"/>
        <w:spacing w:after="0" w:line="286" w:lineRule="auto"/>
        <w:rPr>
          <w:sz w:val="20"/>
          <w:szCs w:val="20"/>
          <w:color w:val="auto"/>
        </w:rPr>
      </w:pPr>
      <w:r>
        <w:rPr>
          <w:rFonts w:ascii="Arial" w:cs="Arial" w:eastAsia="Arial" w:hAnsi="Arial"/>
          <w:sz w:val="16"/>
          <w:szCs w:val="16"/>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0" w:lineRule="exact"/>
        <w:rPr>
          <w:sz w:val="20"/>
          <w:szCs w:val="20"/>
          <w:color w:val="auto"/>
        </w:rPr>
      </w:pPr>
    </w:p>
    <w:p>
      <w:pPr>
        <w:ind w:right="80" w:firstLine="667"/>
        <w:spacing w:after="0" w:line="248"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1" w:name="page52"/>
    <w:bookmarkEnd w:id="51"/>
    <w:p>
      <w:pPr>
        <w:ind w:right="240" w:firstLine="667"/>
        <w:spacing w:after="0" w:line="261"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18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76" w:lineRule="exact"/>
        <w:rPr>
          <w:sz w:val="20"/>
          <w:szCs w:val="20"/>
          <w:color w:val="auto"/>
        </w:rPr>
      </w:pPr>
    </w:p>
    <w:p>
      <w:pPr>
        <w:ind w:right="60" w:firstLine="667"/>
        <w:spacing w:after="0" w:line="281" w:lineRule="auto"/>
        <w:rPr>
          <w:sz w:val="20"/>
          <w:szCs w:val="20"/>
          <w:color w:val="auto"/>
        </w:rPr>
      </w:pPr>
      <w:r>
        <w:rPr>
          <w:rFonts w:ascii="Arial" w:cs="Arial" w:eastAsia="Arial" w:hAnsi="Arial"/>
          <w:sz w:val="16"/>
          <w:szCs w:val="16"/>
          <w:color w:val="auto"/>
        </w:rPr>
        <w:t>Our commercial success depends upon our ability to develop, manufacture, market and sell SNDX-5613. Subject to the achievement of certain milestone events, we may be required to pay Vitae, which is now a subsidiary of AbbVie, up to $99 million in one-time development and regulatory milestone payments over the term of the AbbVie license agreement. In the event that we or any of our affiliates or sublicensees commercializes SNDX-5613,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 In June 2019, we achieved certain development and regulatory milestones. As a result, in June 2019, we recorded $4.0 million as research and development expense. The amount was paid in 2020.</w:t>
      </w:r>
    </w:p>
    <w:p>
      <w:pPr>
        <w:spacing w:after="0" w:line="64" w:lineRule="exact"/>
        <w:rPr>
          <w:sz w:val="20"/>
          <w:szCs w:val="20"/>
          <w:color w:val="auto"/>
        </w:rPr>
      </w:pPr>
    </w:p>
    <w:p>
      <w:pPr>
        <w:ind w:right="20" w:firstLine="667"/>
        <w:spacing w:after="0" w:line="286" w:lineRule="auto"/>
        <w:rPr>
          <w:sz w:val="20"/>
          <w:szCs w:val="20"/>
          <w:color w:val="auto"/>
        </w:rPr>
      </w:pPr>
      <w:r>
        <w:rPr>
          <w:rFonts w:ascii="Arial" w:cs="Arial" w:eastAsia="Arial" w:hAnsi="Arial"/>
          <w:sz w:val="16"/>
          <w:szCs w:val="16"/>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60" w:lineRule="exact"/>
        <w:rPr>
          <w:sz w:val="20"/>
          <w:szCs w:val="20"/>
          <w:color w:val="auto"/>
        </w:rPr>
      </w:pPr>
    </w:p>
    <w:p>
      <w:pPr>
        <w:jc w:val="both"/>
        <w:ind w:firstLine="667"/>
        <w:spacing w:after="0" w:line="248"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SNDX-5613 have occurred and the last-to-expire relevant patent covering SNDX-5613 in a given country may change in the future.</w:t>
      </w:r>
    </w:p>
    <w:p>
      <w:pPr>
        <w:spacing w:after="0" w:line="87" w:lineRule="exact"/>
        <w:rPr>
          <w:sz w:val="20"/>
          <w:szCs w:val="20"/>
          <w:color w:val="auto"/>
        </w:rPr>
      </w:pPr>
    </w:p>
    <w:p>
      <w:pPr>
        <w:ind w:right="160" w:firstLine="667"/>
        <w:spacing w:after="0" w:line="261"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18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76" w:lineRule="exact"/>
        <w:rPr>
          <w:sz w:val="20"/>
          <w:szCs w:val="20"/>
          <w:color w:val="auto"/>
        </w:rPr>
      </w:pPr>
    </w:p>
    <w:p>
      <w:pPr>
        <w:ind w:right="160" w:firstLine="667"/>
        <w:spacing w:after="0" w:line="248" w:lineRule="auto"/>
        <w:rPr>
          <w:sz w:val="20"/>
          <w:szCs w:val="20"/>
          <w:color w:val="auto"/>
        </w:rPr>
      </w:pPr>
      <w:r>
        <w:rPr>
          <w:rFonts w:ascii="Arial" w:cs="Arial" w:eastAsia="Arial" w:hAnsi="Arial"/>
          <w:sz w:val="18"/>
          <w:szCs w:val="18"/>
          <w:color w:val="auto"/>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7" w:lineRule="exact"/>
        <w:rPr>
          <w:sz w:val="20"/>
          <w:szCs w:val="20"/>
          <w:color w:val="auto"/>
        </w:rPr>
      </w:pPr>
    </w:p>
    <w:p>
      <w:pPr>
        <w:ind w:right="20" w:firstLine="667"/>
        <w:spacing w:after="0" w:line="282"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2" w:name="page53"/>
    <w:bookmarkEnd w:id="52"/>
    <w:p>
      <w:pPr>
        <w:ind w:right="40" w:firstLine="667"/>
        <w:spacing w:after="0" w:line="284" w:lineRule="auto"/>
        <w:rPr>
          <w:sz w:val="20"/>
          <w:szCs w:val="20"/>
          <w:color w:val="auto"/>
        </w:rPr>
      </w:pPr>
      <w:r>
        <w:rPr>
          <w:rFonts w:ascii="Arial" w:cs="Arial" w:eastAsia="Arial" w:hAnsi="Arial"/>
          <w:sz w:val="16"/>
          <w:szCs w:val="16"/>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61" w:lineRule="exact"/>
        <w:rPr>
          <w:sz w:val="20"/>
          <w:szCs w:val="20"/>
          <w:color w:val="auto"/>
        </w:rPr>
      </w:pPr>
    </w:p>
    <w:p>
      <w:pPr>
        <w:ind w:right="240" w:firstLine="667"/>
        <w:spacing w:after="0" w:line="261"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131" w:lineRule="exact"/>
        <w:rPr>
          <w:sz w:val="20"/>
          <w:szCs w:val="20"/>
          <w:color w:val="auto"/>
        </w:rPr>
      </w:pPr>
    </w:p>
    <w:p>
      <w:pPr>
        <w:ind w:right="60" w:firstLine="667"/>
        <w:spacing w:after="0" w:line="279"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66" w:lineRule="exact"/>
        <w:rPr>
          <w:sz w:val="20"/>
          <w:szCs w:val="20"/>
          <w:color w:val="auto"/>
        </w:rPr>
      </w:pPr>
    </w:p>
    <w:p>
      <w:pPr>
        <w:ind w:right="160" w:firstLine="667"/>
        <w:spacing w:after="0" w:line="28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71" w:lineRule="exact"/>
        <w:rPr>
          <w:sz w:val="20"/>
          <w:szCs w:val="20"/>
          <w:color w:val="auto"/>
        </w:rPr>
      </w:pPr>
    </w:p>
    <w:p>
      <w:pPr>
        <w:jc w:val="both"/>
        <w:ind w:right="800"/>
        <w:spacing w:after="0" w:line="252"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4" w:lineRule="exact"/>
        <w:rPr>
          <w:sz w:val="20"/>
          <w:szCs w:val="20"/>
          <w:color w:val="auto"/>
        </w:rPr>
      </w:pPr>
    </w:p>
    <w:p>
      <w:pPr>
        <w:ind w:firstLine="667"/>
        <w:spacing w:after="0" w:line="282"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patent applications covering our product candidates, our competitors might be able to enter the market, which would harm our business.</w:t>
      </w:r>
    </w:p>
    <w:p>
      <w:pPr>
        <w:spacing w:after="0" w:line="21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76" w:lineRule="exact"/>
        <w:rPr>
          <w:sz w:val="20"/>
          <w:szCs w:val="20"/>
          <w:color w:val="auto"/>
        </w:rPr>
      </w:pPr>
    </w:p>
    <w:p>
      <w:pPr>
        <w:ind w:right="20" w:firstLine="667"/>
        <w:spacing w:after="0" w:line="279" w:lineRule="auto"/>
        <w:rPr>
          <w:sz w:val="20"/>
          <w:szCs w:val="20"/>
          <w:color w:val="auto"/>
        </w:rPr>
      </w:pPr>
      <w:r>
        <w:rPr>
          <w:rFonts w:ascii="Arial" w:cs="Arial" w:eastAsia="Arial" w:hAnsi="Arial"/>
          <w:sz w:val="16"/>
          <w:szCs w:val="16"/>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66" w:lineRule="exact"/>
        <w:rPr>
          <w:sz w:val="20"/>
          <w:szCs w:val="20"/>
          <w:color w:val="auto"/>
        </w:rPr>
      </w:pPr>
    </w:p>
    <w:p>
      <w:pPr>
        <w:ind w:firstLine="667"/>
        <w:spacing w:after="0" w:line="279"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69" w:lineRule="exact"/>
        <w:rPr>
          <w:sz w:val="20"/>
          <w:szCs w:val="20"/>
          <w:color w:val="auto"/>
        </w:rPr>
      </w:pPr>
    </w:p>
    <w:p>
      <w:pPr>
        <w:ind w:firstLine="667"/>
        <w:spacing w:after="0" w:line="24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9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84" w:lineRule="exact"/>
        <w:rPr>
          <w:sz w:val="20"/>
          <w:szCs w:val="20"/>
          <w:color w:val="auto"/>
        </w:rPr>
      </w:pPr>
    </w:p>
    <w:p>
      <w:pPr>
        <w:ind w:right="80" w:firstLine="667"/>
        <w:spacing w:after="0" w:line="309" w:lineRule="auto"/>
        <w:rPr>
          <w:sz w:val="20"/>
          <w:szCs w:val="20"/>
          <w:color w:val="auto"/>
        </w:rPr>
      </w:pPr>
      <w:r>
        <w:rPr>
          <w:rFonts w:ascii="Arial" w:cs="Arial" w:eastAsia="Arial" w:hAnsi="Arial"/>
          <w:sz w:val="15"/>
          <w:szCs w:val="15"/>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4" w:name="page55"/>
    <w:bookmarkEnd w:id="54"/>
    <w:p>
      <w:pPr>
        <w:ind w:firstLine="667"/>
        <w:spacing w:after="0" w:line="284"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76" w:lineRule="exact"/>
        <w:rPr>
          <w:sz w:val="20"/>
          <w:szCs w:val="20"/>
          <w:color w:val="auto"/>
        </w:rPr>
      </w:pPr>
    </w:p>
    <w:p>
      <w:pPr>
        <w:ind w:right="120" w:firstLine="667"/>
        <w:spacing w:after="0" w:line="309" w:lineRule="auto"/>
        <w:rPr>
          <w:sz w:val="20"/>
          <w:szCs w:val="20"/>
          <w:color w:val="auto"/>
        </w:rPr>
      </w:pPr>
      <w:r>
        <w:rPr>
          <w:rFonts w:ascii="Arial" w:cs="Arial" w:eastAsia="Arial" w:hAnsi="Arial"/>
          <w:sz w:val="15"/>
          <w:szCs w:val="15"/>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46" w:lineRule="exact"/>
        <w:rPr>
          <w:sz w:val="20"/>
          <w:szCs w:val="20"/>
          <w:color w:val="auto"/>
        </w:rPr>
      </w:pPr>
    </w:p>
    <w:p>
      <w:pPr>
        <w:jc w:val="both"/>
        <w:ind w:right="200" w:firstLine="667"/>
        <w:spacing w:after="0" w:line="252"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84" w:lineRule="exact"/>
        <w:rPr>
          <w:sz w:val="20"/>
          <w:szCs w:val="20"/>
          <w:color w:val="auto"/>
        </w:rPr>
      </w:pPr>
    </w:p>
    <w:p>
      <w:pPr>
        <w:ind w:right="160" w:firstLine="667"/>
        <w:spacing w:after="0" w:line="290"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08" w:lineRule="exact"/>
        <w:rPr>
          <w:sz w:val="20"/>
          <w:szCs w:val="20"/>
          <w:color w:val="auto"/>
        </w:rPr>
      </w:pPr>
    </w:p>
    <w:p>
      <w:pPr>
        <w:ind w:right="40" w:firstLine="589"/>
        <w:spacing w:after="0" w:line="280"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08" w:lineRule="exact"/>
        <w:rPr>
          <w:sz w:val="20"/>
          <w:szCs w:val="20"/>
          <w:color w:val="auto"/>
        </w:rPr>
      </w:pPr>
    </w:p>
    <w:p>
      <w:pPr>
        <w:ind w:right="300" w:firstLine="674"/>
        <w:spacing w:after="0" w:line="324" w:lineRule="auto"/>
        <w:rPr>
          <w:sz w:val="20"/>
          <w:szCs w:val="20"/>
          <w:color w:val="auto"/>
        </w:rPr>
      </w:pPr>
      <w:r>
        <w:rPr>
          <w:rFonts w:ascii="Arial" w:cs="Arial" w:eastAsia="Arial" w:hAnsi="Arial"/>
          <w:sz w:val="16"/>
          <w:szCs w:val="16"/>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29" w:lineRule="exact"/>
        <w:rPr>
          <w:sz w:val="20"/>
          <w:szCs w:val="20"/>
          <w:color w:val="auto"/>
        </w:rPr>
      </w:pPr>
    </w:p>
    <w:p>
      <w:pPr>
        <w:ind w:left="1160" w:hanging="57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55" w:name="page56"/>
    <w:bookmarkEnd w:id="55"/>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4" w:lineRule="exact"/>
        <w:rPr>
          <w:rFonts w:ascii="Arial" w:cs="Arial" w:eastAsia="Arial" w:hAnsi="Arial"/>
          <w:sz w:val="18"/>
          <w:szCs w:val="18"/>
          <w:color w:val="auto"/>
        </w:rPr>
      </w:pPr>
    </w:p>
    <w:p>
      <w:pPr>
        <w:ind w:left="1160" w:right="780" w:hanging="577"/>
        <w:spacing w:after="0" w:line="261"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57" w:lineRule="exact"/>
        <w:rPr>
          <w:rFonts w:ascii="Arial" w:cs="Arial" w:eastAsia="Arial" w:hAnsi="Arial"/>
          <w:sz w:val="16"/>
          <w:szCs w:val="16"/>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industry, political and market conditions, including, but not limited to the ongoing impact of the COVID-19 pandemic.</w:t>
      </w:r>
    </w:p>
    <w:p>
      <w:pPr>
        <w:spacing w:after="0" w:line="158" w:lineRule="exact"/>
        <w:rPr>
          <w:sz w:val="20"/>
          <w:szCs w:val="20"/>
          <w:color w:val="auto"/>
        </w:rPr>
      </w:pPr>
    </w:p>
    <w:p>
      <w:pPr>
        <w:ind w:firstLine="667"/>
        <w:spacing w:after="0" w:line="288" w:lineRule="auto"/>
        <w:rPr>
          <w:sz w:val="20"/>
          <w:szCs w:val="20"/>
          <w:color w:val="auto"/>
        </w:rPr>
      </w:pPr>
      <w:r>
        <w:rPr>
          <w:rFonts w:ascii="Arial" w:cs="Arial" w:eastAsia="Arial" w:hAnsi="Arial"/>
          <w:sz w:val="16"/>
          <w:szCs w:val="16"/>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6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76" w:lineRule="exact"/>
        <w:rPr>
          <w:sz w:val="20"/>
          <w:szCs w:val="20"/>
          <w:color w:val="auto"/>
        </w:rPr>
      </w:pPr>
    </w:p>
    <w:p>
      <w:pPr>
        <w:ind w:right="100" w:firstLine="667"/>
        <w:spacing w:after="0" w:line="282"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during 2021, we sold a total of 3,802,144 shares of our common stock and pre-funded warrants to purchase 1,142,856 shares of our common stock. The pre-funded warrants are exercisable into shares of common stock for $0.0001 per share. The shares of common stock into which the warrants may be exercised are considered outstanding for the purposes of computing earnings per share. As of December 31, 2021, we had 3,975,024 pre-funded warrants outstanding. The issuance of these shares of our common stock resulted, and any future issuance pursuant to the exercise of the outstanding pre-funded warrants will result, in dilution to our stockholders.</w:t>
      </w:r>
    </w:p>
    <w:p>
      <w:pPr>
        <w:spacing w:after="0" w:line="64" w:lineRule="exact"/>
        <w:rPr>
          <w:sz w:val="20"/>
          <w:szCs w:val="20"/>
          <w:color w:val="auto"/>
        </w:rPr>
      </w:pPr>
    </w:p>
    <w:p>
      <w:pPr>
        <w:ind w:right="420" w:firstLine="667"/>
        <w:spacing w:after="0" w:line="261" w:lineRule="auto"/>
        <w:rPr>
          <w:sz w:val="20"/>
          <w:szCs w:val="20"/>
          <w:color w:val="auto"/>
        </w:rPr>
      </w:pPr>
      <w:r>
        <w:rPr>
          <w:rFonts w:ascii="Arial" w:cs="Arial" w:eastAsia="Arial" w:hAnsi="Arial"/>
          <w:sz w:val="18"/>
          <w:szCs w:val="18"/>
          <w:color w:val="auto"/>
        </w:rPr>
        <w:t>We may also seek additional funding through government or other third-party funding and other collaborations, strategic alliances and licensing arrangements. These financing activities may have an adverse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653" w:right="399" w:bottom="1440" w:gutter="0" w:footer="0" w:header="0"/>
        </w:sectPr>
      </w:pPr>
    </w:p>
    <w:bookmarkStart w:id="56" w:name="page57"/>
    <w:bookmarkEnd w:id="56"/>
    <w:p>
      <w:pPr>
        <w:spacing w:after="0" w:line="279" w:lineRule="auto"/>
        <w:rPr>
          <w:sz w:val="20"/>
          <w:szCs w:val="20"/>
          <w:color w:val="auto"/>
        </w:rPr>
      </w:pPr>
      <w:r>
        <w:rPr>
          <w:rFonts w:ascii="Arial" w:cs="Arial" w:eastAsia="Arial" w:hAnsi="Arial"/>
          <w:sz w:val="16"/>
          <w:szCs w:val="16"/>
          <w:color w:val="auto"/>
        </w:rPr>
        <w:t>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December 22, 2021, we entered into Amendment No. 1 to our Loan Agreement with Hercules, which provided for increased aggregate maximum borrowings of up to $80.0 million in multiple tranches. Our only borrowings to date under the Loan Agreement are the first tranche of $20.0 million, which we drew upon on February 7, 2020.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6" w:lineRule="exact"/>
        <w:rPr>
          <w:sz w:val="20"/>
          <w:szCs w:val="20"/>
          <w:color w:val="auto"/>
        </w:rPr>
      </w:pPr>
    </w:p>
    <w:p>
      <w:pPr>
        <w:jc w:val="both"/>
        <w:ind w:firstLine="667"/>
        <w:spacing w:after="0" w:line="252"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76"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76"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As of December 31, 2021, our executive officers, directors, holders of 5% or more of our capital stock and their respective affiliates beneficially owned approximately 39.7%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Effective as of December 31, 2021, we are a large accelerated filer, which will increase our costs and demands on management.</w:t>
      </w:r>
    </w:p>
    <w:p>
      <w:pPr>
        <w:spacing w:after="0" w:line="131" w:lineRule="exact"/>
        <w:rPr>
          <w:sz w:val="20"/>
          <w:szCs w:val="20"/>
          <w:color w:val="auto"/>
        </w:rPr>
      </w:pPr>
    </w:p>
    <w:p>
      <w:pPr>
        <w:ind w:right="180" w:firstLine="589"/>
        <w:spacing w:after="0" w:line="290" w:lineRule="auto"/>
        <w:rPr>
          <w:sz w:val="20"/>
          <w:szCs w:val="20"/>
          <w:color w:val="auto"/>
        </w:rPr>
      </w:pPr>
      <w:r>
        <w:rPr>
          <w:rFonts w:ascii="Arial" w:cs="Arial" w:eastAsia="Arial" w:hAnsi="Arial"/>
          <w:sz w:val="16"/>
          <w:szCs w:val="16"/>
          <w:color w:val="auto"/>
        </w:rPr>
        <w:t>As a result of the market value of our common stock held by non-affiliates as of June 30, 2021, we are a large accelerated filer as of December 31, 2021, and no longer qualify as an EGC. Additionally, due to our public float as of June 30, 2021, we will no longer qualify as a smaller reporting company as defined in the Exchange Act. However, we are not required to reflect the change in our smaller reporting company status, and comply with the associated increased disclosure obligations, until our quarterly report on Form 10-Q for the three-month period ending March 31, 2022.</w:t>
      </w:r>
    </w:p>
    <w:p>
      <w:pPr>
        <w:spacing w:after="0" w:line="57" w:lineRule="exact"/>
        <w:rPr>
          <w:sz w:val="20"/>
          <w:szCs w:val="20"/>
          <w:color w:val="auto"/>
        </w:rPr>
      </w:pPr>
    </w:p>
    <w:p>
      <w:pPr>
        <w:ind w:right="660" w:firstLine="589"/>
        <w:spacing w:after="0" w:line="324" w:lineRule="auto"/>
        <w:rPr>
          <w:sz w:val="20"/>
          <w:szCs w:val="20"/>
          <w:color w:val="auto"/>
        </w:rPr>
      </w:pPr>
      <w:r>
        <w:rPr>
          <w:rFonts w:ascii="Arial" w:cs="Arial" w:eastAsia="Arial" w:hAnsi="Arial"/>
          <w:sz w:val="16"/>
          <w:szCs w:val="16"/>
          <w:color w:val="auto"/>
        </w:rPr>
        <w:t>As a large accelerated filer, we are subject to certain disclosure and compliance requirements that apply to other public companies that did not previously apply to us due to our status as an emerging growth company. These requirements include, but are not limited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57" w:name="page58"/>
    <w:bookmarkEnd w:id="57"/>
    <w:p>
      <w:pPr>
        <w:ind w:left="1280" w:right="600" w:hanging="421"/>
        <w:spacing w:after="0" w:line="261"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w:t>
      </w:r>
    </w:p>
    <w:p>
      <w:pPr>
        <w:spacing w:after="0" w:line="75" w:lineRule="exact"/>
        <w:rPr>
          <w:rFonts w:ascii="Arial" w:cs="Arial" w:eastAsia="Arial" w:hAnsi="Arial"/>
          <w:sz w:val="18"/>
          <w:szCs w:val="18"/>
          <w:color w:val="auto"/>
        </w:rPr>
      </w:pPr>
    </w:p>
    <w:p>
      <w:pPr>
        <w:ind w:left="1280" w:right="140" w:hanging="421"/>
        <w:spacing w:after="0" w:line="324" w:lineRule="auto"/>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8" w:lineRule="exact"/>
        <w:rPr>
          <w:rFonts w:ascii="Arial" w:cs="Arial" w:eastAsia="Arial" w:hAnsi="Arial"/>
          <w:sz w:val="16"/>
          <w:szCs w:val="16"/>
          <w:color w:val="auto"/>
        </w:rPr>
      </w:pPr>
    </w:p>
    <w:p>
      <w:pPr>
        <w:ind w:left="1280" w:hanging="421"/>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134" w:lineRule="exact"/>
        <w:rPr>
          <w:rFonts w:ascii="Arial" w:cs="Arial" w:eastAsia="Arial" w:hAnsi="Arial"/>
          <w:sz w:val="18"/>
          <w:szCs w:val="18"/>
          <w:color w:val="auto"/>
        </w:rPr>
      </w:pPr>
    </w:p>
    <w:p>
      <w:pPr>
        <w:ind w:left="1280" w:right="680" w:hanging="421"/>
        <w:spacing w:after="0" w:line="261"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shareholder approval of any golden parachute payments not previously approved.</w:t>
      </w:r>
    </w:p>
    <w:p>
      <w:pPr>
        <w:spacing w:after="0" w:line="76"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We expect that compliance with the additional requirements of being a large accelerated filer will increase our legal and financial compliance costs and may cause management and other personnel to divert attention from operational and other business matters to devote increased time to public company reporting requirements. In addition, if we are not able to comply with changing requirements in a timely manner, the market price of our common stock could decline, and we could be subject to sanctions or investigations by Nasdaq, the SEC or other regulatory authorities, which would require additional financial and management resources are also a smaller reporting company as defined in the Securities Exchange Act of 1934, as amended, or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8" w:lineRule="exact"/>
        <w:rPr>
          <w:sz w:val="20"/>
          <w:szCs w:val="20"/>
          <w:color w:val="auto"/>
        </w:rPr>
      </w:pPr>
    </w:p>
    <w:p>
      <w:pPr>
        <w:ind w:right="160" w:firstLine="589"/>
        <w:spacing w:after="0" w:line="299"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54" w:lineRule="exact"/>
        <w:rPr>
          <w:sz w:val="20"/>
          <w:szCs w:val="20"/>
          <w:color w:val="auto"/>
        </w:rPr>
      </w:pPr>
    </w:p>
    <w:p>
      <w:pPr>
        <w:ind w:right="320"/>
        <w:spacing w:after="0" w:line="36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7" w:lineRule="exact"/>
        <w:rPr>
          <w:sz w:val="20"/>
          <w:szCs w:val="20"/>
          <w:color w:val="auto"/>
        </w:rPr>
      </w:pPr>
    </w:p>
    <w:p>
      <w:pPr>
        <w:ind w:right="100" w:firstLine="589"/>
        <w:spacing w:after="0" w:line="282"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64"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While we were an EGC, our independent registered public accounting firm was not required to attest to the effectiveness of our internal controls over financial reporting pursuant to Section 404. This exemption no longer applies to us as of December 31, 2021. Accordingly, beginning with this annual report on Form 10-K for the year ending December 31, 2021, we are required to include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8" w:name="page59"/>
    <w:bookmarkEnd w:id="58"/>
    <w:p>
      <w:pPr>
        <w:ind w:right="20"/>
        <w:spacing w:after="0" w:line="248" w:lineRule="auto"/>
        <w:rPr>
          <w:sz w:val="20"/>
          <w:szCs w:val="20"/>
          <w:color w:val="auto"/>
        </w:rPr>
      </w:pPr>
      <w:r>
        <w:rPr>
          <w:rFonts w:ascii="Arial" w:cs="Arial" w:eastAsia="Arial" w:hAnsi="Arial"/>
          <w:sz w:val="18"/>
          <w:szCs w:val="18"/>
          <w:color w:val="auto"/>
        </w:rPr>
        <w:t>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2" w:lineRule="exact"/>
        <w:rPr>
          <w:sz w:val="20"/>
          <w:szCs w:val="20"/>
          <w:color w:val="auto"/>
        </w:rPr>
      </w:pPr>
    </w:p>
    <w:p>
      <w:pPr>
        <w:spacing w:after="0" w:line="361"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7" w:lineRule="exact"/>
        <w:rPr>
          <w:sz w:val="20"/>
          <w:szCs w:val="20"/>
          <w:color w:val="auto"/>
        </w:rPr>
      </w:pPr>
    </w:p>
    <w:p>
      <w:pPr>
        <w:ind w:right="60" w:firstLine="589"/>
        <w:spacing w:after="0" w:line="278"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4"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Our headquarters is currently located in Waltham, Massachusetts, and consists of 12,207 square feet of leased office space under a lease that expires on February 28, 2025. We also have 4,039 square feet of leased office space in New York, New York, under a lease that expires on August 31, 2022. We believe that our existing facilities are sufficient for our needs for the foreseeable future. If we determine that additional or new facilities are needed in the future, we believe that sufficient options would be available to us on commercially reasonable terms.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4" w:lineRule="exact"/>
        <w:rPr>
          <w:sz w:val="20"/>
          <w:szCs w:val="20"/>
          <w:color w:val="auto"/>
        </w:rPr>
      </w:pPr>
    </w:p>
    <w:p>
      <w:pPr>
        <w:ind w:right="2200"/>
        <w:spacing w:after="0" w:line="36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80" w:firstLine="589"/>
        <w:spacing w:after="0" w:line="261" w:lineRule="auto"/>
        <w:rPr>
          <w:sz w:val="20"/>
          <w:szCs w:val="20"/>
          <w:color w:val="auto"/>
        </w:rPr>
      </w:pPr>
      <w:r>
        <w:rPr>
          <w:rFonts w:ascii="Arial" w:cs="Arial" w:eastAsia="Arial" w:hAnsi="Arial"/>
          <w:sz w:val="18"/>
          <w:szCs w:val="18"/>
          <w:color w:val="auto"/>
        </w:rPr>
        <w:t>Our common stock began trading on the Nasdaq Global Select Market on March 2, 2016, under the symbol “SNDX.” Prior to that time, there was no public market for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14" w:lineRule="exact"/>
        <w:rPr>
          <w:sz w:val="20"/>
          <w:szCs w:val="20"/>
          <w:color w:val="auto"/>
        </w:rPr>
      </w:pPr>
    </w:p>
    <w:p>
      <w:pPr>
        <w:ind w:right="200" w:firstLine="589"/>
        <w:spacing w:after="0" w:line="252" w:lineRule="auto"/>
        <w:rPr>
          <w:sz w:val="20"/>
          <w:szCs w:val="20"/>
          <w:color w:val="auto"/>
        </w:rPr>
      </w:pPr>
      <w:r>
        <w:rPr>
          <w:rFonts w:ascii="Arial" w:cs="Arial" w:eastAsia="Arial" w:hAnsi="Arial"/>
          <w:sz w:val="18"/>
          <w:szCs w:val="18"/>
          <w:color w:val="auto"/>
        </w:rPr>
        <w:t>As of February 24, 2022, we had approximately 17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4" w:lineRule="exact"/>
        <w:rPr>
          <w:sz w:val="20"/>
          <w:szCs w:val="20"/>
          <w:color w:val="auto"/>
        </w:rPr>
      </w:pPr>
    </w:p>
    <w:p>
      <w:pPr>
        <w:jc w:val="both"/>
        <w:ind w:right="220" w:firstLine="589"/>
        <w:spacing w:after="0" w:line="290"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14" w:lineRule="exact"/>
        <w:rPr>
          <w:sz w:val="20"/>
          <w:szCs w:val="20"/>
          <w:color w:val="auto"/>
        </w:rPr>
      </w:pPr>
    </w:p>
    <w:p>
      <w:pPr>
        <w:ind w:firstLine="899"/>
        <w:spacing w:after="0" w:line="302" w:lineRule="auto"/>
        <w:rPr>
          <w:sz w:val="20"/>
          <w:szCs w:val="20"/>
          <w:color w:val="auto"/>
        </w:rPr>
      </w:pPr>
      <w:r>
        <w:rPr>
          <w:rFonts w:ascii="Arial" w:cs="Arial" w:eastAsia="Arial" w:hAnsi="Arial"/>
          <w:sz w:val="15"/>
          <w:szCs w:val="15"/>
          <w:color w:val="auto"/>
        </w:rPr>
        <w:t>The performance graph shown below compares the annual change in cumulative total shareholder return on our common shares with the Nasdaq Composite Index and the Nasdaq Biotechnology Index from December 31, 2016, through the year ended December 31, 2021. The graph assumes an investment of $100 on December 31, 2016 in our common shares,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-26035</wp:posOffset>
            </wp:positionV>
            <wp:extent cx="5216525" cy="2428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6525"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[Reserved]</w:t>
      </w:r>
    </w:p>
    <w:p>
      <w:pPr>
        <w:spacing w:after="0" w:line="22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542"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4" w:lineRule="exact"/>
        <w:rPr>
          <w:sz w:val="20"/>
          <w:szCs w:val="20"/>
          <w:color w:val="auto"/>
        </w:rPr>
      </w:pPr>
    </w:p>
    <w:p>
      <w:pPr>
        <w:ind w:right="100" w:firstLine="589"/>
        <w:spacing w:after="0" w:line="281" w:lineRule="auto"/>
        <w:rPr>
          <w:sz w:val="20"/>
          <w:szCs w:val="20"/>
          <w:color w:val="auto"/>
        </w:rPr>
      </w:pPr>
      <w:r>
        <w:rPr>
          <w:rFonts w:ascii="Arial" w:cs="Arial" w:eastAsia="Arial" w:hAnsi="Arial"/>
          <w:sz w:val="16"/>
          <w:szCs w:val="16"/>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and other parts of this Annual Report on Form 10-K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entitled “Special Note Regarding Forward-Looking Statements.”</w:t>
      </w:r>
    </w:p>
    <w:p>
      <w:pPr>
        <w:spacing w:after="0" w:line="64" w:lineRule="exact"/>
        <w:rPr>
          <w:sz w:val="20"/>
          <w:szCs w:val="20"/>
          <w:color w:val="auto"/>
        </w:rPr>
      </w:pPr>
    </w:p>
    <w:p>
      <w:pPr>
        <w:jc w:val="both"/>
        <w:ind w:right="260" w:firstLine="589"/>
        <w:spacing w:after="0" w:line="252" w:lineRule="auto"/>
        <w:rPr>
          <w:sz w:val="20"/>
          <w:szCs w:val="20"/>
          <w:color w:val="auto"/>
        </w:rPr>
      </w:pPr>
      <w:r>
        <w:rPr>
          <w:rFonts w:ascii="Arial" w:cs="Arial" w:eastAsia="Arial" w:hAnsi="Arial"/>
          <w:sz w:val="18"/>
          <w:szCs w:val="18"/>
          <w:i w:val="1"/>
          <w:iCs w:val="1"/>
          <w:color w:val="auto"/>
        </w:rPr>
        <w:t>For the discussion of the financial condition and results of operations for the year ended December 31, 2020 compared to the year ended December 31, 2019, refer to "Management's Discussion and Analysis of Financial Condition and Results of Operations—Results of Operations" and "—Liquidity and Capital Resources" included in the Annual Report on Form 10-K filed with the SEC on March 12,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ind w:right="40" w:firstLine="589"/>
        <w:spacing w:after="0" w:line="246"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197" w:lineRule="exact"/>
        <w:rPr>
          <w:sz w:val="20"/>
          <w:szCs w:val="20"/>
          <w:color w:val="auto"/>
        </w:rPr>
      </w:pPr>
    </w:p>
    <w:p>
      <w:pPr>
        <w:ind w:right="20" w:firstLine="589"/>
        <w:spacing w:after="0" w:line="281"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We continue to incur significant research and development and other expenses related to our ongoing operations. We have generated minimal license revenue, except for in 2021. Other than in 2021, we have never been profitable and have incurred losses in each period since our inception in 2005. For the year ended December 31, 2021, we reported a net profit of $24.9 million, and for the years ended December 31, 2020, and 2019, we reported a net loss of $73.2 million and $56.0 million, respectively. For the year ended December 31, 2021, we reported a net profit attributable to common stockholders of $24.9 million, and for the years ended December 31, 2020, and 2019, we reported a net loss attributable to common stockholders of $77.1 million and $56.0 million, respectively. As of December 31, 2021, we had an accumulated deficit of $543.7 million, which included non-cash charges for stock-based compensation, preferred stock accretion and extinguishment charges. As of December 31, 2021, we had cash, cash equivalents and short-term investments of $439.9 million.</w:t>
      </w:r>
    </w:p>
    <w:p>
      <w:pPr>
        <w:spacing w:after="0" w:line="64"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We continue to monitor our daily operations and program timelines during the ongoing COVID-19 pandemic. The health and safety of our employees as well as the patients and people participating in and operating our clinical trials are of paramount importance. COVID-19, including its variants did not impact our financial guidance or changed our timelines for clinical data in 2021.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08"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We continue to address and mitigate the impact of the ongoing COVID-19 pandemic on our employees and our business. While we are not experiencing financial impacts at this time, given the changes in global macroeconomic conditions, the overall disruption of global healthcare systems, potential limitations to the efficacy of vaccines for COVID-19, the evolution of multiple variants of the virus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have gradually reopened our offices to allow employees to return to the office, while also supporting remote working options.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2" w:name="page63"/>
    <w:bookmarkEnd w:id="62"/>
    <w:p>
      <w:pPr>
        <w:ind w:firstLine="432"/>
        <w:spacing w:after="0" w:line="248" w:lineRule="auto"/>
        <w:rPr>
          <w:sz w:val="20"/>
          <w:szCs w:val="20"/>
          <w:color w:val="auto"/>
        </w:rPr>
      </w:pPr>
      <w:r>
        <w:rPr>
          <w:rFonts w:ascii="Arial" w:cs="Arial" w:eastAsia="Arial" w:hAnsi="Arial"/>
          <w:sz w:val="18"/>
          <w:szCs w:val="18"/>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If the COVID-19 pandemic continues to persist and if it impacts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87" w:lineRule="exact"/>
        <w:rPr>
          <w:sz w:val="20"/>
          <w:szCs w:val="20"/>
          <w:color w:val="auto"/>
        </w:rPr>
      </w:pPr>
    </w:p>
    <w:p>
      <w:pPr>
        <w:ind w:right="40" w:firstLine="432"/>
        <w:spacing w:after="0" w:line="280" w:lineRule="auto"/>
        <w:rPr>
          <w:sz w:val="20"/>
          <w:szCs w:val="20"/>
          <w:color w:val="auto"/>
        </w:rPr>
      </w:pPr>
      <w:r>
        <w:rPr>
          <w:rFonts w:ascii="Arial" w:cs="Arial" w:eastAsia="Arial" w:hAnsi="Arial"/>
          <w:sz w:val="16"/>
          <w:szCs w:val="16"/>
          <w:color w:val="auto"/>
        </w:rPr>
        <w:t>With respect to clinical development, we continue to take measures to implement remote and virtual approaches, including remote patient monitoring where possible, to maintain patient safety and trial continuity and to preserve study integrity. We have, and may continue to experience, disruptions and/or delays in our ability to initiate trial sites and enroll and assess patients. As the COVID-19 pandemic continues, we anticipate an ongoing, though minimal, impact on our ability to maintain patient enrollment in the AUGMENT-101 and AGAVE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we could experience significant disruptions to our clinical development timelines, which would adversely affect our business, financial condition, results of operations and growth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8" w:lineRule="exact"/>
        <w:rPr>
          <w:sz w:val="20"/>
          <w:szCs w:val="20"/>
          <w:color w:val="auto"/>
        </w:rPr>
      </w:pPr>
    </w:p>
    <w:p>
      <w:pPr>
        <w:ind w:right="80" w:firstLine="589"/>
        <w:spacing w:after="0" w:line="249"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year ended December 31, 2021 and 2020 have been solely derived from our license, development and commercialization agreements with Kyowa Kirin Co., Ltd., or KKC, and with Incyte Pharmaceuticals, Inc, or Incyte.</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granted Incyte an exclusive license to develop and commercialize axatilimab in the United States and the rest of the world. In 2021, we received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$152.0 million total consideration from the Incyte Agreements. We allocated $126.6 million of the total consideration received to the license, and such amount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was recognized as license revenue upon transfer of license to Incyte in December 2021 .</w:t>
      </w:r>
    </w:p>
    <w:p>
      <w:pPr>
        <w:spacing w:after="0" w:line="97"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We granted KKC an exclusive license to develop and commercialize entinostat in Japan and Korea, or the KKC license agreement. In 2015, we received a $25.0 million upfront payment from KKC,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KKC’s purchase of shares of our convertible preferred stock.</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September 2021, KKC informed us that they discontinued the entinostat program and cancelled the license to develop and commercialize entinostat.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recognized $12.4 million in revenue which was previously deferred.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8" w:lineRule="exact"/>
        <w:rPr>
          <w:sz w:val="20"/>
          <w:szCs w:val="20"/>
          <w:color w:val="auto"/>
        </w:rPr>
      </w:pPr>
    </w:p>
    <w:p>
      <w:pPr>
        <w:ind w:right="140" w:firstLine="589"/>
        <w:spacing w:after="0" w:line="261"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76" w:lineRule="exact"/>
        <w:rPr>
          <w:sz w:val="20"/>
          <w:szCs w:val="20"/>
          <w:color w:val="auto"/>
        </w:rPr>
      </w:pPr>
    </w:p>
    <w:p>
      <w:pPr>
        <w:ind w:left="1160" w:right="80" w:hanging="577"/>
        <w:spacing w:after="0" w:line="261"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75" w:lineRule="exact"/>
        <w:rPr>
          <w:rFonts w:ascii="Arial" w:cs="Arial" w:eastAsia="Arial" w:hAnsi="Arial"/>
          <w:sz w:val="18"/>
          <w:szCs w:val="18"/>
          <w:color w:val="auto"/>
        </w:rPr>
      </w:pPr>
    </w:p>
    <w:p>
      <w:pPr>
        <w:ind w:left="1160" w:right="320" w:hanging="577"/>
        <w:spacing w:after="0" w:line="261"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63" w:name="page64"/>
    <w:bookmarkEnd w:id="63"/>
    <w:p>
      <w:pPr>
        <w:ind w:left="1160" w:hanging="57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40" w:lineRule="exact"/>
        <w:rPr>
          <w:sz w:val="20"/>
          <w:szCs w:val="20"/>
          <w:color w:val="auto"/>
        </w:rPr>
      </w:pPr>
    </w:p>
    <w:p>
      <w:pPr>
        <w:ind w:firstLine="589"/>
        <w:spacing w:after="0" w:line="299"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48" w:lineRule="exact"/>
        <w:rPr>
          <w:sz w:val="20"/>
          <w:szCs w:val="20"/>
          <w:color w:val="auto"/>
        </w:rPr>
      </w:pPr>
    </w:p>
    <w:p>
      <w:pPr>
        <w:ind w:right="220" w:firstLine="589"/>
        <w:spacing w:after="0" w:line="286"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0" w:lineRule="exact"/>
        <w:rPr>
          <w:sz w:val="20"/>
          <w:szCs w:val="20"/>
          <w:color w:val="auto"/>
        </w:rPr>
      </w:pPr>
    </w:p>
    <w:p>
      <w:pPr>
        <w:ind w:right="20" w:firstLine="589"/>
        <w:spacing w:after="0" w:line="252"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84" w:lineRule="exact"/>
        <w:rPr>
          <w:sz w:val="20"/>
          <w:szCs w:val="20"/>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40" w:lineRule="exact"/>
        <w:rPr>
          <w:sz w:val="20"/>
          <w:szCs w:val="20"/>
          <w:color w:val="auto"/>
        </w:rPr>
      </w:pPr>
    </w:p>
    <w:p>
      <w:pPr>
        <w:ind w:right="100" w:firstLine="589"/>
        <w:spacing w:after="0" w:line="248"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8" w:lineRule="exact"/>
        <w:rPr>
          <w:sz w:val="20"/>
          <w:szCs w:val="20"/>
          <w:color w:val="auto"/>
        </w:rPr>
      </w:pPr>
    </w:p>
    <w:p>
      <w:pPr>
        <w:ind w:right="80" w:firstLine="589"/>
        <w:spacing w:after="0" w:line="282"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Interest income consists of income earned on our cash, cash equivalents and short-term investment balances.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08" w:lineRule="exact"/>
        <w:rPr>
          <w:sz w:val="20"/>
          <w:szCs w:val="20"/>
          <w:color w:val="auto"/>
        </w:rPr>
      </w:pPr>
    </w:p>
    <w:p>
      <w:pPr>
        <w:ind w:right="140" w:firstLine="589"/>
        <w:spacing w:after="0" w:line="261" w:lineRule="auto"/>
        <w:rPr>
          <w:sz w:val="20"/>
          <w:szCs w:val="20"/>
          <w:color w:val="auto"/>
        </w:rPr>
      </w:pPr>
      <w:r>
        <w:rPr>
          <w:rFonts w:ascii="Arial" w:cs="Arial" w:eastAsia="Arial" w:hAnsi="Arial"/>
          <w:sz w:val="18"/>
          <w:szCs w:val="18"/>
          <w:color w:val="auto"/>
        </w:rPr>
        <w:t>Other (expense) income includes income recorded for the change in fair value of derivative liability established based on the terms under of the Letter Agreement with connection with the share purchase agreement.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8"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on Form 10-K, we believe that the impact of recently issued standards that are not yet effective will not have a material impact on our financial position or results of operations upon adoption.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08" w:lineRule="exact"/>
        <w:rPr>
          <w:sz w:val="20"/>
          <w:szCs w:val="20"/>
          <w:color w:val="auto"/>
        </w:rPr>
      </w:pPr>
    </w:p>
    <w:p>
      <w:pPr>
        <w:ind w:right="40" w:firstLine="589"/>
        <w:spacing w:after="0" w:line="281" w:lineRule="auto"/>
        <w:rPr>
          <w:sz w:val="20"/>
          <w:szCs w:val="20"/>
          <w:color w:val="auto"/>
        </w:rPr>
      </w:pPr>
      <w:r>
        <w:rPr>
          <w:rFonts w:ascii="Arial" w:cs="Arial" w:eastAsia="Arial" w:hAnsi="Arial"/>
          <w:sz w:val="16"/>
          <w:szCs w:val="16"/>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Our critical accounting policies are described in greater detail in Note 3 to our audited consolidated financial statements included in this Annual Report on Form 10-K.</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listed below our critical accounting estimates that we believe to have the greatest potential impact on our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assumptions, judgments and estimates relative to our critical accounting estimates have not differed materially from actual results.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08" w:lineRule="exact"/>
        <w:rPr>
          <w:sz w:val="20"/>
          <w:szCs w:val="20"/>
          <w:color w:val="auto"/>
        </w:rPr>
      </w:pPr>
    </w:p>
    <w:p>
      <w:pPr>
        <w:ind w:right="80" w:firstLine="589"/>
        <w:spacing w:after="0" w:line="309" w:lineRule="auto"/>
        <w:rPr>
          <w:sz w:val="20"/>
          <w:szCs w:val="20"/>
          <w:color w:val="auto"/>
        </w:rPr>
      </w:pPr>
      <w:r>
        <w:rPr>
          <w:rFonts w:ascii="Arial" w:cs="Arial" w:eastAsia="Arial" w:hAnsi="Arial"/>
          <w:sz w:val="15"/>
          <w:szCs w:val="15"/>
          <w:color w:val="auto"/>
        </w:rPr>
        <w:t>We enter into license agreements for the development and commercialization of our product candidates. License agreements may include non-refundable upfront payments, contingent payments based on the occurrence of specified events under our license arrangements, partial or complete reimbursement of research and development expenses, license fees and royalties on sales of entinostat if they are successfully approved and commercialized. Our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51"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Revenue is recognized when, or as, performance obligations are satisfied, which occurs when control of the promised products or services is transferred to customers. Revenue is measured as the amount of consideration the Company expects to receive in exchange for transferring products or services to a customer (“transaction price”). To the extent that the transaction price includes variable consideration, we estimate the amount of variable consideration that should be included in the transaction price utilizing the most likely amount method.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5" w:name="page66"/>
    <w:bookmarkEnd w:id="65"/>
    <w:p>
      <w:pPr>
        <w:ind w:right="180" w:firstLine="589"/>
        <w:spacing w:after="0" w:line="327" w:lineRule="auto"/>
        <w:rPr>
          <w:sz w:val="20"/>
          <w:szCs w:val="20"/>
          <w:color w:val="auto"/>
        </w:rPr>
      </w:pPr>
      <w:r>
        <w:rPr>
          <w:rFonts w:ascii="Arial" w:cs="Arial" w:eastAsia="Arial" w:hAnsi="Arial"/>
          <w:sz w:val="15"/>
          <w:szCs w:val="15"/>
          <w:color w:val="auto"/>
        </w:rPr>
        <w:t>We assessed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136" w:lineRule="exact"/>
        <w:rPr>
          <w:sz w:val="20"/>
          <w:szCs w:val="20"/>
          <w:color w:val="auto"/>
        </w:rPr>
      </w:pPr>
    </w:p>
    <w:p>
      <w:pPr>
        <w:ind w:right="20" w:firstLine="589"/>
        <w:spacing w:after="0" w:line="280" w:lineRule="auto"/>
        <w:rPr>
          <w:sz w:val="20"/>
          <w:szCs w:val="20"/>
          <w:color w:val="auto"/>
        </w:rPr>
      </w:pPr>
      <w:r>
        <w:rPr>
          <w:rFonts w:ascii="Arial" w:cs="Arial" w:eastAsia="Arial" w:hAnsi="Arial"/>
          <w:sz w:val="16"/>
          <w:szCs w:val="16"/>
          <w:color w:val="auto"/>
        </w:rPr>
        <w:t>Licenses of intellectual property: If the license to our intellectual property is determined to be distinct from the other performance obligations identified in the arrangement, we recognize revenues from non-refundable, up-front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Arrangements containing licenses to our intellectual property typically provide for a know-how transfer period. These arrangements may or may not also include rights to future updates of that intellectual property and related know-how. Revenues from non-refundable, up-front fees allocated to the licenses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71" w:lineRule="exact"/>
        <w:rPr>
          <w:sz w:val="20"/>
          <w:szCs w:val="20"/>
          <w:color w:val="auto"/>
        </w:rPr>
      </w:pPr>
    </w:p>
    <w:p>
      <w:pPr>
        <w:ind w:right="20" w:firstLine="589"/>
        <w:spacing w:after="0" w:line="299" w:lineRule="auto"/>
        <w:rPr>
          <w:sz w:val="20"/>
          <w:szCs w:val="20"/>
          <w:color w:val="auto"/>
        </w:rPr>
      </w:pPr>
      <w:r>
        <w:rPr>
          <w:rFonts w:ascii="Arial" w:cs="Arial" w:eastAsia="Arial" w:hAnsi="Arial"/>
          <w:sz w:val="15"/>
          <w:szCs w:val="15"/>
          <w:color w:val="auto"/>
        </w:rPr>
        <w:t>Development Milestone Payments: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generally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For development milestones related to the KKC Agreement, we do not take a substantive role or control the research, development or commercialization of any products generated by KKC. Therefore, we are not able to reasonably estimate when, if at all, any development milestone payments may be payable to us. As such, the development milestone payments associated with the KKC Agreement involve a substantial degree of uncertainty and risk that they may never be received.</w:t>
      </w:r>
    </w:p>
    <w:p>
      <w:pPr>
        <w:spacing w:after="0" w:line="160"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Commercial Milestone Payments and Royalties: For arrangements that include sales-based royalties, including milestone payments based on the level of commercial sales, and the license is deemed to be the predominant item to which the royalties or commercial milestones relate, we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62"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When no performance obligations are required of us,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162"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our license agreements do not represent a financing component as the payment is not financing the transfer of goods or services, and the technology underlying the licenses granted reflects research and development expenses already incurred by us.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6" w:name="page67"/>
    <w:bookmarkEnd w:id="66"/>
    <w:p>
      <w:pPr>
        <w:ind w:left="600" w:right="140"/>
        <w:spacing w:after="0" w:line="350" w:lineRule="auto"/>
        <w:rPr>
          <w:sz w:val="20"/>
          <w:szCs w:val="20"/>
          <w:color w:val="auto"/>
        </w:rPr>
      </w:pPr>
      <w:r>
        <w:rPr>
          <w:rFonts w:ascii="Arial" w:cs="Arial" w:eastAsia="Arial" w:hAnsi="Arial"/>
          <w:sz w:val="16"/>
          <w:szCs w:val="16"/>
          <w:color w:val="auto"/>
        </w:rPr>
        <w:t>For license fee revenues, we recorded revenues of $126.6 million relating to the Incyte Agreement and $13.3 million relating to the KKC Agreement. We applied significant judgment to our Incyte Agreement. We evaluated whether our contractual obligations represented distinct performance</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obligations. Such evaluation required judgment since it was made from the customer’s perspective. We determined that the transfer of the license to Incyte was a distinct performance obligation, separate from the ongoing collaboration activities. As such, we estimated the standalone selling price to be $126.6 million which we recognized as $126.6 million of license revenue for the year ended December 31, 2021.</w:t>
      </w:r>
    </w:p>
    <w:p>
      <w:pPr>
        <w:spacing w:after="0" w:line="55" w:lineRule="exact"/>
        <w:rPr>
          <w:sz w:val="20"/>
          <w:szCs w:val="20"/>
          <w:color w:val="auto"/>
        </w:rPr>
      </w:pPr>
    </w:p>
    <w:p>
      <w:pPr>
        <w:ind w:right="140" w:firstLine="589"/>
        <w:spacing w:after="0" w:line="248" w:lineRule="auto"/>
        <w:rPr>
          <w:sz w:val="20"/>
          <w:szCs w:val="20"/>
          <w:color w:val="auto"/>
        </w:rPr>
      </w:pPr>
      <w:r>
        <w:rPr>
          <w:rFonts w:ascii="Arial" w:cs="Arial" w:eastAsia="Arial" w:hAnsi="Arial"/>
          <w:sz w:val="18"/>
          <w:szCs w:val="18"/>
          <w:color w:val="auto"/>
        </w:rPr>
        <w:t>We applied significant judgment to our KKC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In September 2021, KKC informed us, that they have discontinued the entinostat program and have cancelled the license to develop and commercialize entinostat. As a result, we recognized $12.4 million in revenue which was previously deferred.</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08"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153" w:lineRule="exact"/>
        <w:rPr>
          <w:sz w:val="20"/>
          <w:szCs w:val="20"/>
          <w:color w:val="auto"/>
        </w:rPr>
      </w:pPr>
    </w:p>
    <w:p>
      <w:pPr>
        <w:ind w:right="80" w:firstLine="589"/>
        <w:spacing w:after="0" w:line="281"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years ended December 31, 2021, 2020 and 2019:</w:t>
      </w:r>
    </w:p>
    <w:p>
      <w:pPr>
        <w:spacing w:after="0" w:line="9" w:lineRule="exact"/>
        <w:rPr>
          <w:sz w:val="20"/>
          <w:szCs w:val="20"/>
          <w:color w:val="auto"/>
        </w:rPr>
      </w:pPr>
    </w:p>
    <w:p>
      <w:pPr>
        <w:ind w:right="380"/>
        <w:spacing w:after="0" w:line="259" w:lineRule="auto"/>
        <w:rPr>
          <w:sz w:val="20"/>
          <w:szCs w:val="20"/>
          <w:color w:val="auto"/>
        </w:rPr>
      </w:pPr>
      <w:r>
        <w:rPr>
          <w:rFonts w:ascii="Arial" w:cs="Arial" w:eastAsia="Arial" w:hAnsi="Arial"/>
          <w:sz w:val="13"/>
          <w:szCs w:val="13"/>
          <w:i w:val="1"/>
          <w:iCs w:val="1"/>
          <w:color w:val="auto"/>
        </w:rPr>
        <w:t>For a comparison of our results of operations for the fiscal years ended December 31, 2021 and December 31, 2020, see “Part II, Item 7. Management’s Discussion and Analysis of Financial Condition and Results of Operations” of our Annual Report on Form 10-K for the fiscal year ended December 31, 2020, filed with the SEC on March 12,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tbl>
      <w:tblPr>
        <w:tblLayout w:type="fixed"/>
        <w:tblInd w:w="580" w:type="dxa"/>
        <w:tblCellMar>
          <w:top w:w="0" w:type="dxa"/>
          <w:left w:w="0" w:type="dxa"/>
          <w:bottom w:w="0" w:type="dxa"/>
          <w:right w:w="0" w:type="dxa"/>
        </w:tblCellMar>
      </w:tblPr>
      <w:tr>
        <w:trPr>
          <w:trHeight w:val="151"/>
        </w:trPr>
        <w:tc>
          <w:tcPr>
            <w:tcW w:w="2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ind w:left="100"/>
              <w:spacing w:after="0" w:line="151" w:lineRule="exact"/>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jc w:val="center"/>
              <w:ind w:right="360"/>
              <w:spacing w:after="0" w:line="151" w:lineRule="exact"/>
              <w:rPr>
                <w:sz w:val="20"/>
                <w:szCs w:val="20"/>
                <w:color w:val="auto"/>
              </w:rPr>
            </w:pPr>
            <w:r>
              <w:rPr>
                <w:rFonts w:ascii="Arial" w:cs="Arial" w:eastAsia="Arial" w:hAnsi="Arial"/>
                <w:sz w:val="14"/>
                <w:szCs w:val="14"/>
                <w:b w:val="1"/>
                <w:bCs w:val="1"/>
                <w:color w:val="auto"/>
                <w:w w:val="90"/>
              </w:rPr>
              <w:t>2021 - 2020 Increase</w:t>
            </w:r>
          </w:p>
        </w:tc>
        <w:tc>
          <w:tcPr>
            <w:tcW w:w="160" w:type="dxa"/>
            <w:vAlign w:val="bottom"/>
          </w:tcPr>
          <w:p>
            <w:pPr>
              <w:spacing w:after="0"/>
              <w:rPr>
                <w:sz w:val="13"/>
                <w:szCs w:val="13"/>
                <w:color w:val="auto"/>
              </w:rPr>
            </w:pPr>
          </w:p>
        </w:tc>
        <w:tc>
          <w:tcPr>
            <w:tcW w:w="1760" w:type="dxa"/>
            <w:vAlign w:val="bottom"/>
            <w:gridSpan w:val="5"/>
          </w:tcPr>
          <w:p>
            <w:pPr>
              <w:jc w:val="center"/>
              <w:ind w:right="400"/>
              <w:spacing w:after="0" w:line="151" w:lineRule="exact"/>
              <w:rPr>
                <w:sz w:val="20"/>
                <w:szCs w:val="20"/>
                <w:color w:val="auto"/>
              </w:rPr>
            </w:pPr>
            <w:r>
              <w:rPr>
                <w:rFonts w:ascii="Arial" w:cs="Arial" w:eastAsia="Arial" w:hAnsi="Arial"/>
                <w:sz w:val="14"/>
                <w:szCs w:val="14"/>
                <w:b w:val="1"/>
                <w:bCs w:val="1"/>
                <w:color w:val="auto"/>
                <w:w w:val="88"/>
              </w:rPr>
              <w:t>2020 - 2019 Increase</w:t>
            </w:r>
          </w:p>
        </w:tc>
        <w:tc>
          <w:tcPr>
            <w:tcW w:w="0" w:type="dxa"/>
            <w:vAlign w:val="bottom"/>
          </w:tcPr>
          <w:p>
            <w:pPr>
              <w:spacing w:after="0"/>
              <w:rPr>
                <w:sz w:val="1"/>
                <w:szCs w:val="1"/>
                <w:color w:val="auto"/>
              </w:rPr>
            </w:pPr>
          </w:p>
        </w:tc>
      </w:tr>
      <w:tr>
        <w:trPr>
          <w:trHeight w:val="167"/>
        </w:trPr>
        <w:tc>
          <w:tcPr>
            <w:tcW w:w="26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86"/>
              </w:rPr>
              <w:t>(Decrease)</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8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1"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1"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14"/>
              <w:spacing w:after="0" w:line="151"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4"/>
              <w:spacing w:after="0" w:line="151"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240"/>
              <w:spacing w:after="0"/>
              <w:rPr>
                <w:sz w:val="20"/>
                <w:szCs w:val="20"/>
                <w:color w:val="auto"/>
              </w:rPr>
            </w:pPr>
            <w:r>
              <w:rPr>
                <w:rFonts w:ascii="Arial" w:cs="Arial" w:eastAsia="Arial" w:hAnsi="Arial"/>
                <w:sz w:val="18"/>
                <w:szCs w:val="18"/>
                <w:color w:val="auto"/>
              </w:rPr>
              <w:t>License fees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139,709</w:t>
            </w:r>
          </w:p>
        </w:tc>
        <w:tc>
          <w:tcPr>
            <w:tcW w:w="12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$ 138,192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9110%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vMerge w:val="continue"/>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139,709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138,192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9110%</w:t>
            </w:r>
          </w:p>
        </w:tc>
        <w:tc>
          <w:tcPr>
            <w:tcW w:w="16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88,248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6"/>
        </w:trPr>
        <w:tc>
          <w:tcPr>
            <w:tcW w:w="26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22,505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16,062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vMerge w:val="continue"/>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113,489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72,940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59,056</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(71,423)</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(57,539)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(97,643)</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(2,357)</w:t>
            </w:r>
          </w:p>
        </w:tc>
        <w:tc>
          <w:tcPr>
            <w:tcW w:w="2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268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76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vMerge w:val="continue"/>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(1,735)</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(3,227)</w:t>
            </w:r>
          </w:p>
        </w:tc>
        <w:tc>
          <w:tcPr>
            <w:tcW w:w="2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24,926</w:t>
            </w:r>
          </w:p>
        </w:tc>
        <w:tc>
          <w:tcPr>
            <w:tcW w:w="12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(73,158)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(56,047)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 (98,084)</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17,111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Fees</w:t>
      </w:r>
    </w:p>
    <w:p>
      <w:pPr>
        <w:spacing w:after="0" w:line="108" w:lineRule="exact"/>
        <w:rPr>
          <w:sz w:val="20"/>
          <w:szCs w:val="20"/>
          <w:color w:val="auto"/>
        </w:rPr>
      </w:pPr>
    </w:p>
    <w:p>
      <w:pPr>
        <w:ind w:right="140" w:firstLine="589"/>
        <w:spacing w:after="0" w:line="252" w:lineRule="auto"/>
        <w:rPr>
          <w:sz w:val="20"/>
          <w:szCs w:val="20"/>
          <w:color w:val="auto"/>
        </w:rPr>
      </w:pPr>
      <w:r>
        <w:rPr>
          <w:rFonts w:ascii="Arial" w:cs="Arial" w:eastAsia="Arial" w:hAnsi="Arial"/>
          <w:sz w:val="18"/>
          <w:szCs w:val="18"/>
          <w:color w:val="auto"/>
        </w:rPr>
        <w:t>For the years ended December 31, 2021 and 2020, we recognized license fees of $139.7 million and $1.5 million, derived from the Incyte and KKC license agreements, respectively. For additional information on our agreement with Incyte and KKC, please refer to Note 4 Revenue, to these consolidated financial statements.</w:t>
      </w:r>
    </w:p>
    <w:p>
      <w:pPr>
        <w:spacing w:after="0" w:line="29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8"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For the year ended December 31, 2021, our total research and development expenses increased by $37.8 million, or 75%, to $88.2 million from $50.4 million for the prior year due to increases in clinical trial activities expenses of $31.3 million, professional expenses of $1.2 million, and employee related expenses of $5.3 million. The increase in clinical activities expenses was due to increased study activities related to SNDX-5613 of $7.7 million, increased CMC batch production costs for the Menin program of $9.5 million, increased study activity related to axatilimab of $9.3 million, increased development activities for the Menin program of $4.1 million and for axatilimab of $1.1 million, and an increase in license fees of $2.3 million, which were offset by reduction in the entinostat program of $2.7 million. The increase in employee related expense is primarily due to salary and benefits of $3.3 million and increase in stock-based compensation of $2.0 million due to increase in headcount.</w:t>
      </w:r>
    </w:p>
    <w:p>
      <w:pPr>
        <w:spacing w:after="0" w:line="169" w:lineRule="exact"/>
        <w:rPr>
          <w:sz w:val="20"/>
          <w:szCs w:val="20"/>
          <w:color w:val="auto"/>
        </w:rPr>
      </w:pPr>
    </w:p>
    <w:p>
      <w:pPr>
        <w:ind w:right="640" w:firstLine="589"/>
        <w:spacing w:after="0" w:line="261" w:lineRule="auto"/>
        <w:rPr>
          <w:sz w:val="20"/>
          <w:szCs w:val="20"/>
          <w:color w:val="auto"/>
        </w:rPr>
      </w:pPr>
      <w:r>
        <w:rPr>
          <w:rFonts w:ascii="Arial" w:cs="Arial" w:eastAsia="Arial" w:hAnsi="Arial"/>
          <w:sz w:val="18"/>
          <w:szCs w:val="18"/>
          <w:color w:val="auto"/>
        </w:rPr>
        <w:t>We expect research and development expenses to fluctuate from quarter to quarter depending on the timing of clinical trial activities, clinical manufacturing and other development activities.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647" w:right="479" w:bottom="1440" w:gutter="0" w:footer="0" w:header="0"/>
        </w:sectPr>
      </w:pPr>
    </w:p>
    <w:bookmarkStart w:id="68" w:name="page69"/>
    <w:bookmarkEnd w:id="68"/>
    <w:p>
      <w:pPr>
        <w:ind w:left="60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Years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2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1"/>
              <w:spacing w:after="0" w:line="151"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01"/>
              <w:spacing w:after="0" w:line="151"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68,468</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36,303</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19,780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88,248</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50,435</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8" w:lineRule="exact"/>
        <w:rPr>
          <w:sz w:val="20"/>
          <w:szCs w:val="20"/>
          <w:color w:val="auto"/>
        </w:rPr>
      </w:pPr>
    </w:p>
    <w:p>
      <w:pPr>
        <w:ind w:right="100" w:firstLine="589"/>
        <w:spacing w:after="0" w:line="248" w:lineRule="auto"/>
        <w:rPr>
          <w:sz w:val="20"/>
          <w:szCs w:val="20"/>
          <w:color w:val="auto"/>
        </w:rPr>
      </w:pPr>
      <w:r>
        <w:rPr>
          <w:rFonts w:ascii="Arial" w:cs="Arial" w:eastAsia="Arial" w:hAnsi="Arial"/>
          <w:sz w:val="18"/>
          <w:szCs w:val="18"/>
          <w:color w:val="2E2E2E"/>
        </w:rPr>
        <w:t>For the year ended December 31, 2021, our total general and administrative expenses increased by $2.7 million, or 12%, to $25.2 million, from $22.5 million for the prior year. The increase in general and administrative expenses was primarily due to increased employee related expenses of $2.7 million. The increase in employee related expenses is due to an increase in stock compensation expense of $2.3 million and $0.4 million for salary and benefits due to increased headcount. The increased stock compensation expense includes $0.7 million related to the modification of option agreements in connection with the retirement of a certain employees.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08" w:lineRule="exact"/>
        <w:rPr>
          <w:sz w:val="20"/>
          <w:szCs w:val="20"/>
          <w:color w:val="auto"/>
        </w:rPr>
      </w:pPr>
    </w:p>
    <w:p>
      <w:pPr>
        <w:ind w:right="340" w:firstLine="589"/>
        <w:spacing w:after="0" w:line="261" w:lineRule="auto"/>
        <w:rPr>
          <w:sz w:val="20"/>
          <w:szCs w:val="20"/>
          <w:color w:val="auto"/>
        </w:rPr>
      </w:pPr>
      <w:r>
        <w:rPr>
          <w:rFonts w:ascii="Arial" w:cs="Arial" w:eastAsia="Arial" w:hAnsi="Arial"/>
          <w:sz w:val="18"/>
          <w:szCs w:val="18"/>
          <w:color w:val="auto"/>
        </w:rPr>
        <w:t>For the year ended December 31, 2021, interest income, decreased by $0.4 million from the prior year. This decrease was primarily due to a lower average cash and investment balance and lower interest rates on our investments.</w:t>
      </w:r>
    </w:p>
    <w:p>
      <w:pPr>
        <w:spacing w:after="0" w:line="76" w:lineRule="exact"/>
        <w:rPr>
          <w:sz w:val="20"/>
          <w:szCs w:val="20"/>
          <w:color w:val="auto"/>
        </w:rPr>
      </w:pPr>
    </w:p>
    <w:p>
      <w:pPr>
        <w:ind w:right="160" w:firstLine="589"/>
        <w:spacing w:after="0" w:line="324" w:lineRule="auto"/>
        <w:rPr>
          <w:sz w:val="20"/>
          <w:szCs w:val="20"/>
          <w:color w:val="auto"/>
        </w:rPr>
      </w:pPr>
      <w:r>
        <w:rPr>
          <w:rFonts w:ascii="Arial" w:cs="Arial" w:eastAsia="Arial" w:hAnsi="Arial"/>
          <w:sz w:val="16"/>
          <w:szCs w:val="16"/>
          <w:color w:val="auto"/>
        </w:rPr>
        <w:t>Interest expense consists primarily of interest expense on our term loan, operational and capital leases. The decrease is primarily due to our amended term loan. For additional information on the loan amendment agreement, please refer to Note 14, Loan Payable, to these financial statements.</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08" w:lineRule="exact"/>
        <w:rPr>
          <w:sz w:val="20"/>
          <w:szCs w:val="20"/>
          <w:color w:val="auto"/>
        </w:rPr>
      </w:pPr>
    </w:p>
    <w:p>
      <w:pPr>
        <w:ind w:right="340" w:firstLine="589"/>
        <w:spacing w:after="0" w:line="261" w:lineRule="auto"/>
        <w:rPr>
          <w:sz w:val="20"/>
          <w:szCs w:val="20"/>
          <w:color w:val="auto"/>
        </w:rPr>
      </w:pPr>
      <w:r>
        <w:rPr>
          <w:rFonts w:ascii="Arial" w:cs="Arial" w:eastAsia="Arial" w:hAnsi="Arial"/>
          <w:sz w:val="18"/>
          <w:szCs w:val="18"/>
          <w:color w:val="auto"/>
        </w:rPr>
        <w:t>Other (expense) income increased by $0.4 million from the prior year. This increase was primarily due to the change in fair value of the derivative liability recorded as of the Incyte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8"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As of December 31, 2021, we had cash, cash equivalents and short-term investments totaling $439.9 million. Since our inception, our operations have been primarily financed by net proceeds from our IPO, our follow-on stock offerings, our term loan, sale of convertible preferred stock and convertible debt securities and proceeds from our license agreements. We believe that our cash, cash equivalents and short-term investments as of December 31, 2021,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0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On December 22, 2021, we entered into Amendment No. 1 to our existing loan and security agreement, or the First Amendment with the several banks and financial institutions or entities from time-to-time party thereto, or the Lender, and Hercules Capital, Inc., in its capacity as administrative agent for itself and the Lender, or the Agent. The First Amendment amended that certain loan and security Agreement dated as of February 7, 2020, (as amended by the First Amendment, the Loan Agreement), among the Borrower, the Lender and the Agent.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48" w:right="399" w:bottom="1440" w:gutter="0" w:footer="0" w:header="0"/>
        </w:sectPr>
      </w:pPr>
    </w:p>
    <w:bookmarkStart w:id="69" w:name="page70"/>
    <w:bookmarkEnd w:id="69"/>
    <w:p>
      <w:pPr>
        <w:ind w:right="60" w:firstLine="589"/>
        <w:spacing w:after="0" w:line="284" w:lineRule="auto"/>
        <w:rPr>
          <w:sz w:val="20"/>
          <w:szCs w:val="20"/>
          <w:color w:val="auto"/>
        </w:rPr>
      </w:pPr>
      <w:r>
        <w:rPr>
          <w:rFonts w:ascii="Arial" w:cs="Arial" w:eastAsia="Arial" w:hAnsi="Arial"/>
          <w:sz w:val="16"/>
          <w:szCs w:val="16"/>
          <w:color w:val="auto"/>
        </w:rPr>
        <w:t>The First Amendment increases the amount that we may borrow by $50.0 million, from up to $30.0 million to up to $80.0 million, in multiple tranches. The First Amendment increases the second tranche, or Tranche 2, from $10.0 million to $30.0 million with $15.0 million being available at our option through April 30, 2022 and another $15.0 million being available at our option through November 30, 2022, which availability period will be extended to April 30, 2023 if the first $15.0 million is drawn prior to April 30, 2022. The First Amendment also provides for a third tranche of $30.0 million, or Tranche 3, which is available, subject to the Agent’s investment committee approval, through an interest-only period. Our only borrowings to date under the Loan Agreement are the first tranche of $20.0 million, which we drew upon the closing of the Loan Agreement on February 7, 2020.</w:t>
      </w:r>
    </w:p>
    <w:p>
      <w:pPr>
        <w:spacing w:after="0" w:line="166" w:lineRule="exact"/>
        <w:rPr>
          <w:sz w:val="20"/>
          <w:szCs w:val="20"/>
          <w:color w:val="auto"/>
        </w:rPr>
      </w:pPr>
    </w:p>
    <w:p>
      <w:pPr>
        <w:ind w:firstLine="589"/>
        <w:spacing w:after="0" w:line="279" w:lineRule="auto"/>
        <w:rPr>
          <w:sz w:val="20"/>
          <w:szCs w:val="20"/>
          <w:color w:val="auto"/>
        </w:rPr>
      </w:pPr>
      <w:r>
        <w:rPr>
          <w:rFonts w:ascii="Arial" w:cs="Arial" w:eastAsia="Arial" w:hAnsi="Arial"/>
          <w:sz w:val="16"/>
          <w:szCs w:val="16"/>
          <w:color w:val="auto"/>
        </w:rPr>
        <w:t>Additionally, the First Amendment, among other things, (i) extended the expiration of the period in which interest-only payments on borrowings under the Loan Agreement are required from October 1, 2021 to January 1, 2023, which is further extendable to December 31, 2023 upon the partial or full draw of Tranche 2, or the Interest-Only Period, (ii) extended the maturity date of Loan Agreement from September 1, 2023 to April 1, 2024, (iii) decreased the annual interest rate from the greater of (w) 9.85% or (x) 5.10% plus the Wall Street Journal prime rate to the greater of (y) 9.25% or (z) 6.00% plus the Wall Street Journal prime rate, (iv) applies a facility charge equal to 0.50% of any future draws, (v) applies a 4.99% end of term charge to any future draws payable on the maturity date, (vi) permits the entry into our collaboration and license agreement as previously disclosed with Incyte Corporation, and (vii) adds a minimum cash covenant applicable on the occurrence of certain events. The First Amendment also resets the prepayment premium requirements as of the date of the First Amendment so that any prepayments are subject to a prepayment premium equal to (i) 2.0% of the principal amount outstanding if the prepayment occurs during the first year following the Loan Amendment, (ii) 1.5% of the principal amount outstanding if the prepayment occurs during the second year following the Loan Amendment, and (iii) 1.0% of the principal amount outstanding at any time thereafter but prior to the maturity date.</w:t>
      </w:r>
    </w:p>
    <w:p>
      <w:pPr>
        <w:spacing w:after="0" w:line="174" w:lineRule="exact"/>
        <w:rPr>
          <w:sz w:val="20"/>
          <w:szCs w:val="20"/>
          <w:color w:val="auto"/>
        </w:rPr>
      </w:pPr>
    </w:p>
    <w:p>
      <w:pPr>
        <w:ind w:right="100" w:firstLine="589"/>
        <w:spacing w:after="0" w:line="280" w:lineRule="auto"/>
        <w:rPr>
          <w:sz w:val="20"/>
          <w:szCs w:val="20"/>
          <w:color w:val="auto"/>
        </w:rPr>
      </w:pPr>
      <w:r>
        <w:rPr>
          <w:rFonts w:ascii="Arial" w:cs="Arial" w:eastAsia="Arial" w:hAnsi="Arial"/>
          <w:sz w:val="16"/>
          <w:szCs w:val="16"/>
          <w:color w:val="auto"/>
        </w:rPr>
        <w:t>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8"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We believe that our available cash, cash equivalents and short-term investments and continued access to our term loan are sufficient to fund existing and planned cash requirements.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62" w:lineRule="exact"/>
        <w:rPr>
          <w:sz w:val="20"/>
          <w:szCs w:val="20"/>
          <w:color w:val="auto"/>
        </w:rPr>
      </w:pPr>
    </w:p>
    <w:p>
      <w:pPr>
        <w:jc w:val="both"/>
        <w:ind w:right="80" w:firstLine="589"/>
        <w:spacing w:after="0" w:line="252"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84" w:lineRule="exact"/>
        <w:rPr>
          <w:sz w:val="20"/>
          <w:szCs w:val="20"/>
          <w:color w:val="auto"/>
        </w:rPr>
      </w:pPr>
    </w:p>
    <w:p>
      <w:pPr>
        <w:ind w:left="5540" w:right="3700" w:hanging="4957"/>
        <w:spacing w:after="0" w:line="535" w:lineRule="auto"/>
        <w:tabs>
          <w:tab w:leader="none" w:pos="11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-106045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0" w:name="page71"/>
    <w:bookmarkEnd w:id="70"/>
    <w:p>
      <w:pPr>
        <w:ind w:left="1160" w:right="420" w:hanging="577"/>
        <w:spacing w:after="0" w:line="324"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28" w:lineRule="exact"/>
        <w:rPr>
          <w:rFonts w:ascii="Arial" w:cs="Arial" w:eastAsia="Arial" w:hAnsi="Arial"/>
          <w:sz w:val="16"/>
          <w:szCs w:val="16"/>
          <w:color w:val="auto"/>
        </w:rPr>
      </w:pPr>
    </w:p>
    <w:p>
      <w:pPr>
        <w:jc w:val="both"/>
        <w:ind w:left="1160" w:right="360" w:hanging="577"/>
        <w:spacing w:after="0" w:line="252"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4" w:lineRule="exact"/>
        <w:rPr>
          <w:rFonts w:ascii="Arial" w:cs="Arial" w:eastAsia="Arial" w:hAnsi="Arial"/>
          <w:sz w:val="18"/>
          <w:szCs w:val="18"/>
          <w:color w:val="auto"/>
        </w:rPr>
      </w:pPr>
    </w:p>
    <w:p>
      <w:pPr>
        <w:ind w:left="1160" w:hanging="57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4" w:lineRule="exact"/>
        <w:rPr>
          <w:rFonts w:ascii="Arial" w:cs="Arial" w:eastAsia="Arial" w:hAnsi="Arial"/>
          <w:sz w:val="18"/>
          <w:szCs w:val="18"/>
          <w:color w:val="auto"/>
        </w:rPr>
      </w:pPr>
    </w:p>
    <w:p>
      <w:pPr>
        <w:ind w:left="1160" w:right="620" w:hanging="577"/>
        <w:spacing w:after="0" w:line="261"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cost and timing for obtaining pricing and reimbursement, which may require additional trials to address pharmacoeconomic benefit;</w:t>
      </w:r>
    </w:p>
    <w:p>
      <w:pPr>
        <w:spacing w:after="0" w:line="157" w:lineRule="exact"/>
        <w:rPr>
          <w:rFonts w:ascii="Arial" w:cs="Arial" w:eastAsia="Arial" w:hAnsi="Arial"/>
          <w:sz w:val="16"/>
          <w:szCs w:val="16"/>
          <w:color w:val="auto"/>
        </w:rPr>
      </w:pPr>
    </w:p>
    <w:p>
      <w:pPr>
        <w:ind w:left="1160" w:right="240" w:hanging="577"/>
        <w:spacing w:after="0" w:line="261"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product candidate receives regulatory approval and we determine to commercialize it ourselves;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4" w:lineRule="exact"/>
        <w:rPr>
          <w:rFonts w:ascii="Arial" w:cs="Arial" w:eastAsia="Arial" w:hAnsi="Arial"/>
          <w:sz w:val="18"/>
          <w:szCs w:val="18"/>
          <w:color w:val="auto"/>
        </w:rPr>
      </w:pPr>
    </w:p>
    <w:p>
      <w:pPr>
        <w:ind w:left="1160" w:right="300" w:hanging="577"/>
        <w:spacing w:after="0" w:line="324"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28" w:lineRule="exact"/>
        <w:rPr>
          <w:rFonts w:ascii="Arial" w:cs="Arial" w:eastAsia="Arial" w:hAnsi="Arial"/>
          <w:sz w:val="16"/>
          <w:szCs w:val="16"/>
          <w:color w:val="auto"/>
        </w:rPr>
      </w:pPr>
    </w:p>
    <w:p>
      <w:pPr>
        <w:ind w:left="1160" w:right="40" w:hanging="577"/>
        <w:spacing w:after="0" w:line="252"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84" w:lineRule="exact"/>
        <w:rPr>
          <w:rFonts w:ascii="Arial" w:cs="Arial" w:eastAsia="Arial" w:hAnsi="Arial"/>
          <w:sz w:val="18"/>
          <w:szCs w:val="18"/>
          <w:color w:val="auto"/>
        </w:rPr>
      </w:pPr>
    </w:p>
    <w:p>
      <w:pPr>
        <w:ind w:left="1160" w:right="80" w:hanging="577"/>
        <w:spacing w:after="0" w:line="261"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disruption to our supply chain and operations, and associated delays in the manufacturing and supply of our products, which would adversely impact our ability to continue our clinical trial operations;</w:t>
      </w:r>
    </w:p>
    <w:p>
      <w:pPr>
        <w:spacing w:after="0" w:line="75" w:lineRule="exact"/>
        <w:rPr>
          <w:rFonts w:ascii="Arial" w:cs="Arial" w:eastAsia="Arial" w:hAnsi="Arial"/>
          <w:sz w:val="18"/>
          <w:szCs w:val="18"/>
          <w:color w:val="auto"/>
        </w:rPr>
      </w:pPr>
    </w:p>
    <w:p>
      <w:pPr>
        <w:ind w:left="1160" w:hanging="57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4" w:lineRule="exact"/>
        <w:rPr>
          <w:rFonts w:ascii="Arial" w:cs="Arial" w:eastAsia="Arial" w:hAnsi="Arial"/>
          <w:sz w:val="18"/>
          <w:szCs w:val="18"/>
          <w:color w:val="auto"/>
        </w:rPr>
      </w:pPr>
    </w:p>
    <w:p>
      <w:pPr>
        <w:ind w:left="1160" w:hanging="577"/>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63"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62" w:lineRule="exact"/>
        <w:rPr>
          <w:sz w:val="20"/>
          <w:szCs w:val="20"/>
          <w:color w:val="auto"/>
        </w:rPr>
      </w:pPr>
    </w:p>
    <w:p>
      <w:pPr>
        <w:ind w:right="600" w:firstLine="589"/>
        <w:spacing w:after="0" w:line="324" w:lineRule="auto"/>
        <w:rPr>
          <w:sz w:val="20"/>
          <w:szCs w:val="20"/>
          <w:color w:val="auto"/>
        </w:rPr>
      </w:pPr>
      <w:r>
        <w:rPr>
          <w:rFonts w:ascii="Arial" w:cs="Arial" w:eastAsia="Arial" w:hAnsi="Arial"/>
          <w:sz w:val="16"/>
          <w:szCs w:val="16"/>
          <w:color w:val="auto"/>
        </w:rPr>
        <w:t>Our material cash requirements include the following contractual obligations as of December 31, 2021 and the effects that such obligations are expected to have on our liquidity and cash flows in future periods. For additional information, see our consolidated financial statements.</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3 to 5</w:t>
            </w:r>
          </w:p>
        </w:tc>
        <w:tc>
          <w:tcPr>
            <w:tcW w:w="22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7"/>
        </w:trPr>
        <w:tc>
          <w:tcPr>
            <w:tcW w:w="41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Years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(1)</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24,235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 xml:space="preserve">Operating leases for office space </w:t>
            </w:r>
            <w:r>
              <w:rPr>
                <w:rFonts w:ascii="Arial" w:cs="Arial" w:eastAsia="Arial" w:hAnsi="Arial"/>
                <w:sz w:val="14"/>
                <w:szCs w:val="14"/>
                <w:color w:val="auto"/>
              </w:rPr>
              <w:t>(2)</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for office equipment </w:t>
            </w:r>
            <w:r>
              <w:rPr>
                <w:rFonts w:ascii="Arial" w:cs="Arial" w:eastAsia="Arial" w:hAnsi="Arial"/>
                <w:sz w:val="14"/>
                <w:szCs w:val="14"/>
                <w:color w:val="auto"/>
              </w:rPr>
              <w:t>(3)</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Capital lease for office equipment </w:t>
            </w:r>
            <w:r>
              <w:rPr>
                <w:rFonts w:ascii="Arial" w:cs="Arial" w:eastAsia="Arial" w:hAnsi="Arial"/>
                <w:sz w:val="14"/>
                <w:szCs w:val="14"/>
                <w:color w:val="auto"/>
              </w:rPr>
              <w:t>(4)</w:t>
            </w:r>
          </w:p>
        </w:tc>
        <w:tc>
          <w:tcPr>
            <w:tcW w:w="1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25,541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5540" w:right="2080" w:hanging="5535"/>
        <w:spacing w:after="0" w:line="505" w:lineRule="auto"/>
        <w:tabs>
          <w:tab w:leader="none" w:pos="587" w:val="left"/>
        </w:tabs>
        <w:numPr>
          <w:ilvl w:val="0"/>
          <w:numId w:val="41"/>
        </w:numPr>
        <w:rPr>
          <w:rFonts w:ascii="Arial" w:cs="Arial" w:eastAsia="Arial" w:hAnsi="Arial"/>
          <w:sz w:val="15"/>
          <w:szCs w:val="15"/>
          <w:color w:val="auto"/>
        </w:rPr>
      </w:pPr>
      <w:r>
        <w:rPr>
          <w:rFonts w:ascii="Arial" w:cs="Arial" w:eastAsia="Arial" w:hAnsi="Arial"/>
          <w:sz w:val="18"/>
          <w:szCs w:val="18"/>
          <w:color w:val="auto"/>
        </w:rPr>
        <w:t>Amounts include the estimated interest under our Term loan based on the interest rates in effect as of December 31, 2021.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-90170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653" w:right="379" w:bottom="1440" w:gutter="0" w:footer="0" w:header="0"/>
        </w:sectPr>
      </w:pPr>
    </w:p>
    <w:bookmarkStart w:id="71" w:name="page72"/>
    <w:bookmarkEnd w:id="71"/>
    <w:p>
      <w:pPr>
        <w:ind w:left="580" w:right="20" w:hanging="575"/>
        <w:spacing w:after="0" w:line="248" w:lineRule="auto"/>
        <w:tabs>
          <w:tab w:leader="none" w:pos="580" w:val="left"/>
        </w:tabs>
        <w:numPr>
          <w:ilvl w:val="0"/>
          <w:numId w:val="42"/>
        </w:numPr>
        <w:rPr>
          <w:rFonts w:ascii="Arial" w:cs="Arial" w:eastAsia="Arial" w:hAnsi="Arial"/>
          <w:sz w:val="15"/>
          <w:szCs w:val="15"/>
          <w:color w:val="auto"/>
        </w:rPr>
      </w:pPr>
      <w:r>
        <w:rPr>
          <w:rFonts w:ascii="Arial" w:cs="Arial" w:eastAsia="Arial" w:hAnsi="Arial"/>
          <w:sz w:val="18"/>
          <w:szCs w:val="18"/>
          <w:color w:val="auto"/>
        </w:rPr>
        <w:t>In September 2016, we entered into a new five-year operating lease for office space in Waltham, Massachusetts, with a lease commencement date of March 1, 2017. In August 2021, the Company signed a 36-month extension of the lease for the office space in Waltham. In December 2015, we entered into a 62-month building lease for office space in New York, New York, which commenced on January 1, 2016. The minimum lease payments above do not include any related common area maintenance charges or real estate taxes. In February 2021, we extended the lease for a period of 18 months at $15,000 per month.</w:t>
      </w:r>
    </w:p>
    <w:p>
      <w:pPr>
        <w:spacing w:after="0" w:line="21" w:lineRule="exact"/>
        <w:rPr>
          <w:rFonts w:ascii="Arial" w:cs="Arial" w:eastAsia="Arial" w:hAnsi="Arial"/>
          <w:sz w:val="15"/>
          <w:szCs w:val="15"/>
          <w:color w:val="auto"/>
        </w:rPr>
      </w:pPr>
    </w:p>
    <w:p>
      <w:pPr>
        <w:ind w:left="580" w:right="180" w:hanging="575"/>
        <w:spacing w:after="0" w:line="261" w:lineRule="auto"/>
        <w:tabs>
          <w:tab w:leader="none" w:pos="580" w:val="left"/>
        </w:tabs>
        <w:numPr>
          <w:ilvl w:val="0"/>
          <w:numId w:val="42"/>
        </w:numPr>
        <w:rPr>
          <w:rFonts w:ascii="Arial" w:cs="Arial" w:eastAsia="Arial" w:hAnsi="Arial"/>
          <w:sz w:val="15"/>
          <w:szCs w:val="15"/>
          <w:color w:val="auto"/>
        </w:rPr>
      </w:pPr>
      <w:r>
        <w:rPr>
          <w:rFonts w:ascii="Arial" w:cs="Arial" w:eastAsia="Arial" w:hAnsi="Arial"/>
          <w:sz w:val="18"/>
          <w:szCs w:val="18"/>
          <w:color w:val="auto"/>
        </w:rPr>
        <w:t>In February 2016, we entered into a five-year non-cancelable operating lease for office equipment. In January 2021, and February 2022, we extended the lease by 12 months.</w:t>
      </w:r>
    </w:p>
    <w:p>
      <w:pPr>
        <w:spacing w:after="0" w:line="9" w:lineRule="exact"/>
        <w:rPr>
          <w:rFonts w:ascii="Arial" w:cs="Arial" w:eastAsia="Arial" w:hAnsi="Arial"/>
          <w:sz w:val="15"/>
          <w:szCs w:val="15"/>
          <w:color w:val="auto"/>
        </w:rPr>
      </w:pPr>
    </w:p>
    <w:p>
      <w:pPr>
        <w:ind w:left="580" w:right="440" w:hanging="575"/>
        <w:spacing w:after="0" w:line="261" w:lineRule="auto"/>
        <w:tabs>
          <w:tab w:leader="none" w:pos="580" w:val="left"/>
        </w:tabs>
        <w:numPr>
          <w:ilvl w:val="0"/>
          <w:numId w:val="42"/>
        </w:numPr>
        <w:rPr>
          <w:rFonts w:ascii="Arial" w:cs="Arial" w:eastAsia="Arial" w:hAnsi="Arial"/>
          <w:sz w:val="15"/>
          <w:szCs w:val="15"/>
          <w:color w:val="auto"/>
        </w:rPr>
      </w:pPr>
      <w:r>
        <w:rPr>
          <w:rFonts w:ascii="Arial" w:cs="Arial" w:eastAsia="Arial" w:hAnsi="Arial"/>
          <w:sz w:val="18"/>
          <w:szCs w:val="18"/>
          <w:color w:val="auto"/>
        </w:rPr>
        <w:t>In April 2018, we entered into a four-year non-cancelable lease for office equipment, which is accounted for as a capital lease. The leased asset is included in property, plant and equipment, at cost.</w:t>
      </w:r>
    </w:p>
    <w:p>
      <w:pPr>
        <w:spacing w:after="0" w:line="181" w:lineRule="exact"/>
        <w:rPr>
          <w:sz w:val="20"/>
          <w:szCs w:val="20"/>
          <w:color w:val="auto"/>
        </w:rPr>
      </w:pPr>
    </w:p>
    <w:p>
      <w:pPr>
        <w:ind w:firstLine="589"/>
        <w:spacing w:after="0" w:line="279" w:lineRule="auto"/>
        <w:rPr>
          <w:sz w:val="20"/>
          <w:szCs w:val="20"/>
          <w:color w:val="auto"/>
        </w:rPr>
      </w:pPr>
      <w:r>
        <w:rPr>
          <w:rFonts w:ascii="Arial" w:cs="Arial" w:eastAsia="Arial" w:hAnsi="Arial"/>
          <w:sz w:val="16"/>
          <w:szCs w:val="16"/>
          <w:color w:val="auto"/>
        </w:rPr>
        <w:t>We have incurred losses and cumulative negative cash flows from operations since our inception, excluding year ending December 31, 2021. As of December 31, 2021, we had an accumulated deficit of $543.7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 Program</w:t>
      </w:r>
    </w:p>
    <w:p>
      <w:pPr>
        <w:spacing w:after="0" w:line="114"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In March 2021, we entered into a sales agreement with Cowen and Company, LLC, or Cowen, under which we may issue and sell shares of our common stock having aggregate sales proceeds of up to $75.0 million from time to time through Cowen, acting as agent, in a series of one or more ATM equity offerings, or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ASR (Registration No. 333-254661), which became automatically effective upon filing on March 24, 2021. Our common stock will be sold at prevailing market prices at the time of the sale; and as a result, prices may vary. As of December 31, 2021, we sold 277,629 shares of common stock under the 2021 ATM Program for net proceeds of approximately $5.1 million.</w:t>
      </w:r>
    </w:p>
    <w:p>
      <w:pPr>
        <w:sectPr>
          <w:pgSz w:w="11900" w:h="16838" w:orient="portrait"/>
          <w:cols w:equalWidth="0" w:num="1">
            <w:col w:w="11220"/>
          </w:cols>
          <w:pgMar w:left="320" w:top="377" w:right="35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cash flows:</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1270</wp:posOffset>
            </wp:positionV>
            <wp:extent cx="6417945" cy="150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7945" cy="15049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Net cash provided by (used in) operating activities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33020</wp:posOffset>
            </wp:positionV>
            <wp:extent cx="6417945" cy="150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7945" cy="150495"/>
                    </a:xfrm>
                    <a:prstGeom prst="rect">
                      <a:avLst/>
                    </a:prstGeom>
                    <a:noFill/>
                  </pic:spPr>
                </pic:pic>
              </a:graphicData>
            </a:graphic>
          </wp:anchor>
        </w:drawing>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cash provided by financing activities</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Net increase (decrease) in cash and cash equivalents</w:t>
      </w:r>
    </w:p>
    <w:p>
      <w:pPr>
        <w:spacing w:after="0" w:line="200" w:lineRule="exact"/>
        <w:rPr>
          <w:sz w:val="20"/>
          <w:szCs w:val="20"/>
          <w:color w:val="auto"/>
        </w:rPr>
      </w:pPr>
    </w:p>
    <w:p>
      <w:pPr>
        <w:spacing w:after="0" w:line="311" w:lineRule="exact"/>
        <w:rPr>
          <w:sz w:val="20"/>
          <w:szCs w:val="20"/>
          <w:color w:val="auto"/>
        </w:rPr>
      </w:pPr>
    </w:p>
    <w:p>
      <w:pPr>
        <w:jc w:val="right"/>
        <w:ind w:right="2319"/>
        <w:spacing w:after="0"/>
        <w:rPr>
          <w:sz w:val="20"/>
          <w:szCs w:val="20"/>
          <w:color w:val="auto"/>
        </w:rPr>
      </w:pPr>
      <w:r>
        <w:rPr>
          <w:rFonts w:ascii="Arial" w:cs="Arial" w:eastAsia="Arial" w:hAnsi="Arial"/>
          <w:sz w:val="16"/>
          <w:szCs w:val="16"/>
          <w:b w:val="1"/>
          <w:bCs w:val="1"/>
          <w:i w:val="1"/>
          <w:iCs w:val="1"/>
          <w:color w:val="auto"/>
        </w:rPr>
        <w:t>Net Cash Provided by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59"/>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20281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spacing w:after="0" w:line="2" w:lineRule="exact"/>
        <w:rPr>
          <w:sz w:val="20"/>
          <w:szCs w:val="20"/>
          <w:color w:val="auto"/>
        </w:rPr>
      </w:pPr>
    </w:p>
    <w:p>
      <w:pPr>
        <w:ind w:left="301"/>
        <w:spacing w:after="0"/>
        <w:tabs>
          <w:tab w:leader="none" w:pos="1421" w:val="left"/>
          <w:tab w:leader="none" w:pos="2581"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10" w:lineRule="exact"/>
        <w:rPr>
          <w:sz w:val="20"/>
          <w:szCs w:val="20"/>
          <w:color w:val="auto"/>
        </w:rPr>
      </w:pPr>
    </w:p>
    <w:p>
      <w:pPr>
        <w:ind w:left="401" w:hanging="401"/>
        <w:spacing w:after="0"/>
        <w:tabs>
          <w:tab w:leader="none" w:pos="4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29,131   $   (71,260)  $   (50,612)</w:t>
      </w:r>
    </w:p>
    <w:p>
      <w:pPr>
        <w:spacing w:after="0" w:line="27" w:lineRule="exact"/>
        <w:rPr>
          <w:rFonts w:ascii="Arial" w:cs="Arial" w:eastAsia="Arial" w:hAnsi="Arial"/>
          <w:sz w:val="18"/>
          <w:szCs w:val="18"/>
          <w:color w:val="auto"/>
        </w:rPr>
      </w:pPr>
    </w:p>
    <w:p>
      <w:pPr>
        <w:ind w:left="341"/>
        <w:spacing w:after="0"/>
        <w:rPr>
          <w:rFonts w:ascii="Arial" w:cs="Arial" w:eastAsia="Arial" w:hAnsi="Arial"/>
          <w:sz w:val="18"/>
          <w:szCs w:val="18"/>
          <w:color w:val="auto"/>
        </w:rPr>
      </w:pPr>
      <w:r>
        <w:rPr>
          <w:rFonts w:ascii="Arial" w:cs="Arial" w:eastAsia="Arial" w:hAnsi="Arial"/>
          <w:sz w:val="18"/>
          <w:szCs w:val="18"/>
          <w:color w:val="auto"/>
        </w:rPr>
        <w:t>(40,873)(142,530)</w:t>
      </w:r>
      <w:r>
        <w:rPr>
          <w:rFonts w:ascii="Arial" w:cs="Arial" w:eastAsia="Arial" w:hAnsi="Arial"/>
          <w:sz w:val="15"/>
          <w:szCs w:val="15"/>
          <w:color w:val="auto"/>
        </w:rPr>
        <w:t>12,781</w:t>
      </w:r>
    </w:p>
    <w:p>
      <w:pPr>
        <w:spacing w:after="0" w:line="29"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8"/>
          <w:szCs w:val="18"/>
          <w:u w:val="single" w:color="auto"/>
          <w:color w:val="auto"/>
        </w:rPr>
        <w:t>118,464304,424</w:t>
      </w:r>
      <w:r>
        <w:rPr>
          <w:rFonts w:ascii="Arial" w:cs="Arial" w:eastAsia="Arial" w:hAnsi="Arial"/>
          <w:sz w:val="15"/>
          <w:szCs w:val="15"/>
          <w:color w:val="auto"/>
        </w:rPr>
        <w:t>28,570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10160</wp:posOffset>
            </wp:positionV>
            <wp:extent cx="575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945" cy="8255"/>
                    </a:xfrm>
                    <a:prstGeom prst="rect">
                      <a:avLst/>
                    </a:prstGeom>
                    <a:noFill/>
                  </pic:spPr>
                </pic:pic>
              </a:graphicData>
            </a:graphic>
          </wp:anchor>
        </w:drawing>
      </w:r>
    </w:p>
    <w:p>
      <w:pPr>
        <w:spacing w:after="0" w:line="23" w:lineRule="exact"/>
        <w:rPr>
          <w:sz w:val="20"/>
          <w:szCs w:val="20"/>
          <w:color w:val="auto"/>
        </w:rPr>
      </w:pPr>
    </w:p>
    <w:p>
      <w:pPr>
        <w:ind w:left="1"/>
        <w:spacing w:after="0"/>
        <w:tabs>
          <w:tab w:leader="none" w:pos="301" w:val="left"/>
          <w:tab w:leader="none" w:pos="1121" w:val="left"/>
          <w:tab w:leader="none" w:pos="1521" w:val="left"/>
          <w:tab w:leader="none" w:pos="2261" w:val="left"/>
          <w:tab w:leader="none" w:pos="2701"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106,722</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90,634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10160</wp:posOffset>
            </wp:positionV>
            <wp:extent cx="5759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2028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spacing w:after="0" w:line="778" w:lineRule="exact"/>
        <w:rPr>
          <w:sz w:val="20"/>
          <w:szCs w:val="20"/>
          <w:color w:val="auto"/>
        </w:rPr>
      </w:pPr>
    </w:p>
    <w:p>
      <w:pPr>
        <w:sectPr>
          <w:pgSz w:w="11900" w:h="16838" w:orient="portrait"/>
          <w:cols w:equalWidth="0" w:num="2">
            <w:col w:w="6659" w:space="720"/>
            <w:col w:w="3841"/>
          </w:cols>
          <w:pgMar w:left="320" w:top="377" w:right="359" w:bottom="1440" w:gutter="0" w:footer="0" w:header="0"/>
          <w:type w:val="continuous"/>
        </w:sectPr>
      </w:pPr>
    </w:p>
    <w:p>
      <w:pPr>
        <w:ind w:right="120" w:firstLine="589"/>
        <w:spacing w:after="0" w:line="299" w:lineRule="auto"/>
        <w:rPr>
          <w:sz w:val="20"/>
          <w:szCs w:val="20"/>
          <w:color w:val="auto"/>
        </w:rPr>
      </w:pPr>
      <w:r>
        <w:rPr>
          <w:rFonts w:ascii="Arial" w:cs="Arial" w:eastAsia="Arial" w:hAnsi="Arial"/>
          <w:sz w:val="16"/>
          <w:szCs w:val="16"/>
          <w:color w:val="auto"/>
        </w:rPr>
        <w:t>Net cash provided by operating activities for the year ended December 31, 2021 was $29.1 million and primarily consisted of our net income of $24.9 million adjusted for non-cash items including stock-based compensation of $13.3 million, non-cash operating lease expense of $0.4 million, an investment amortization of $0.6 million, a decrease in non-cash interest expense associated with the term loan of $0.2 million, a decrease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77" w:right="359" w:bottom="1440" w:gutter="0" w:footer="0" w:header="0"/>
          <w:type w:val="continuous"/>
        </w:sectPr>
      </w:pPr>
    </w:p>
    <w:bookmarkStart w:id="72" w:name="page73"/>
    <w:bookmarkEnd w:id="72"/>
    <w:p>
      <w:pPr>
        <w:jc w:val="both"/>
        <w:ind w:right="100"/>
        <w:spacing w:after="0" w:line="327" w:lineRule="auto"/>
        <w:rPr>
          <w:sz w:val="20"/>
          <w:szCs w:val="20"/>
          <w:color w:val="auto"/>
        </w:rPr>
      </w:pPr>
      <w:r>
        <w:rPr>
          <w:rFonts w:ascii="Arial" w:cs="Arial" w:eastAsia="Arial" w:hAnsi="Arial"/>
          <w:sz w:val="15"/>
          <w:szCs w:val="15"/>
          <w:color w:val="auto"/>
        </w:rPr>
        <w:t>derivative liability associated with the Incyte Agreements of $0.4 million, and a net decrease in operating assets and liabilities of $9.6 million. The significant items in the decrease in operating assets and liabilities include a decrease in prepaid expenses and other assets of $1.4 million, an increase in accounts payable of $2.1 million, and a decrease in deferred revenue of $13.1 million partially offset by an increase in accrued expenses and other liabilities of $2.8 million.</w:t>
      </w:r>
    </w:p>
    <w:p>
      <w:pPr>
        <w:spacing w:after="0" w:line="31" w:lineRule="exact"/>
        <w:rPr>
          <w:sz w:val="20"/>
          <w:szCs w:val="20"/>
          <w:color w:val="auto"/>
        </w:rPr>
      </w:pPr>
    </w:p>
    <w:p>
      <w:pPr>
        <w:jc w:val="both"/>
        <w:ind w:right="100" w:firstLine="589"/>
        <w:spacing w:after="0" w:line="298" w:lineRule="auto"/>
        <w:rPr>
          <w:sz w:val="20"/>
          <w:szCs w:val="20"/>
          <w:color w:val="auto"/>
        </w:rPr>
      </w:pPr>
      <w:r>
        <w:rPr>
          <w:rFonts w:ascii="Arial" w:cs="Arial" w:eastAsia="Arial" w:hAnsi="Arial"/>
          <w:sz w:val="15"/>
          <w:szCs w:val="15"/>
          <w:color w:val="auto"/>
        </w:rPr>
        <w:t>Net cash used in operating activities for the year ended December 31, 2020 was $71.3 million and primarily consisted of our net loss of $73.2 million adjusted for non-cash items including stock-based compensation of $9.1 million, non-cash interest expense associated with the term loan of $0.4 million, non-cash operating lease expense of $0.4 million, an investment amortization of $0.1 million and a net decrease in operating assets and liabilities of $7.9 million.</w:t>
      </w:r>
    </w:p>
    <w:p>
      <w:pPr>
        <w:jc w:val="both"/>
        <w:ind w:right="300"/>
        <w:spacing w:after="0" w:line="245" w:lineRule="auto"/>
        <w:rPr>
          <w:sz w:val="20"/>
          <w:szCs w:val="20"/>
          <w:color w:val="auto"/>
        </w:rPr>
      </w:pPr>
      <w:r>
        <w:rPr>
          <w:rFonts w:ascii="Arial" w:cs="Arial" w:eastAsia="Arial" w:hAnsi="Arial"/>
          <w:sz w:val="18"/>
          <w:szCs w:val="18"/>
          <w:color w:val="auto"/>
        </w:rPr>
        <w:t>The significant items in the decrease in operating assets and liabilities include a decrease in prepaid expenses and other assets of $4.3 million, a decrease in accounts payable of $2.7 million, and a decrease in deferred revenue of $1.5 million partially offset by increases in accrued expenses and other liabilities of $0.6 million.</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08" w:lineRule="exact"/>
        <w:rPr>
          <w:sz w:val="20"/>
          <w:szCs w:val="20"/>
          <w:color w:val="auto"/>
        </w:rPr>
      </w:pPr>
    </w:p>
    <w:p>
      <w:pPr>
        <w:ind w:right="80" w:firstLine="589"/>
        <w:spacing w:after="0" w:line="324" w:lineRule="auto"/>
        <w:rPr>
          <w:sz w:val="20"/>
          <w:szCs w:val="20"/>
          <w:color w:val="auto"/>
        </w:rPr>
      </w:pPr>
      <w:r>
        <w:rPr>
          <w:rFonts w:ascii="Arial" w:cs="Arial" w:eastAsia="Arial" w:hAnsi="Arial"/>
          <w:sz w:val="16"/>
          <w:szCs w:val="16"/>
          <w:color w:val="auto"/>
        </w:rPr>
        <w:t>Net cash used in investing activities for the year ended December 31, 2021 was $40.9 million and was primarily due to the purchase of $294.7 million of available-for-sale marketable securities partially offset by $254.0 million in proceeds from the maturities of available-for-sale marketable securities.</w:t>
      </w:r>
    </w:p>
    <w:p>
      <w:pPr>
        <w:spacing w:after="0" w:line="29" w:lineRule="exact"/>
        <w:rPr>
          <w:sz w:val="20"/>
          <w:szCs w:val="20"/>
          <w:color w:val="auto"/>
        </w:rPr>
      </w:pPr>
    </w:p>
    <w:p>
      <w:pPr>
        <w:ind w:right="80" w:firstLine="589"/>
        <w:spacing w:after="0" w:line="324" w:lineRule="auto"/>
        <w:rPr>
          <w:sz w:val="20"/>
          <w:szCs w:val="20"/>
          <w:color w:val="auto"/>
        </w:rPr>
      </w:pPr>
      <w:r>
        <w:rPr>
          <w:rFonts w:ascii="Arial" w:cs="Arial" w:eastAsia="Arial" w:hAnsi="Arial"/>
          <w:sz w:val="16"/>
          <w:szCs w:val="16"/>
          <w:color w:val="auto"/>
        </w:rPr>
        <w:t>Net cash provided by investing activities for the year ended December 31, 2020 was $142.5 million and was primarily due to the purchase of $278.9 million of available-for-sale marketable securities partially offset by $136.4 million in proceeds from the maturities of available-for-sale marketable securities.</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08"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Net cash provided by financing activities for the year ended December 31, 2021 was $118.5 million and was primarily due to the $24.8 million of proceeds from issuances of common stock for Incyte Agreement, proceeds of $81.2 million from issuance of common stock, $5.1 million of proceeds from an at-the-market offering, $0.6 million of proceeds from the Incyte Agreement allocated to the derivate liability in connection with the side letter, and $6.7 million of proceeds from stock option exercises and ESPP purchases.</w:t>
      </w:r>
    </w:p>
    <w:p>
      <w:pPr>
        <w:spacing w:after="0" w:line="87"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Net cash provided by financing activities for the year ended December 31, 2020 was $304.4 million and was primarily due to the $242.8 million of proceeds from issuances of common stock, $34.9 million of proceeds from a direct placement offering, $19.7 million of proceeds from the term loan, and $7.0 million of proceeds from stock options exercises and ESPP purchases.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14"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color w:val="auto"/>
        </w:rPr>
        <w:t>December 31, 2021, we had federal and state tax net operating loss carryforwards of approximately $73.5 million and $34.6 million, respectively. The Company has generated federal NOLs of $48.5 million which have an indefinite carryforward period. The remaining $25.0 million of federal NOLs and the Company’s state NOLs will begin to expire at various dates starting in 2026. At December 31, 2021, we had available income tax credits of approximately $6.6 million, with $4.1 million attributable to Federal R&amp;D Credits and $2.5 million attributable to state R&amp;D Credits, which are available to reduce future income taxes, if any. These income tax credits begin to expire in 2022.</w:t>
      </w:r>
    </w:p>
    <w:p>
      <w:pPr>
        <w:spacing w:after="0" w:line="192"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4" w:lineRule="exact"/>
        <w:rPr>
          <w:sz w:val="20"/>
          <w:szCs w:val="20"/>
          <w:color w:val="auto"/>
        </w:rPr>
      </w:pPr>
    </w:p>
    <w:p>
      <w:pPr>
        <w:jc w:val="both"/>
        <w:ind w:right="20" w:firstLine="589"/>
        <w:spacing w:after="0" w:line="252"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2021, we had cash and cash equivalents of $222.0 million, consisting of overnight investments, interest-bearing money market funds and highly rated corporate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73" w:name="page74"/>
    <w:bookmarkEnd w:id="73"/>
    <w:p>
      <w:pPr>
        <w:spacing w:after="0" w:line="281" w:lineRule="auto"/>
        <w:rPr>
          <w:sz w:val="20"/>
          <w:szCs w:val="20"/>
          <w:color w:val="auto"/>
        </w:rPr>
      </w:pPr>
      <w:r>
        <w:rPr>
          <w:rFonts w:ascii="Arial" w:cs="Arial" w:eastAsia="Arial" w:hAnsi="Arial"/>
          <w:sz w:val="16"/>
          <w:szCs w:val="16"/>
          <w:color w:val="auto"/>
        </w:rPr>
        <w:t>bonds and short-term investments of $217.9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9"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color w:val="auto"/>
        </w:rPr>
        <w:t>We also have exposure to market risk on our Loan Agreement with Hercules. Our Loan Agreement accrues interest from its date of issue at a variable interest rate equal to the greater of (y) 9.25% or (z) 6.00% plus the Wall Street Journal prime rate. As of December 31, 2021, $20 million was outstanding under the Loan Agreement. The effect of a 100 basis points adverse change in market interest rates on our 2021 Loan Payable, in excess of applicable minimum floors, on our interest expense would be approximately $0.2 million per year.</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do not believe that inflation and changing prices had a significant impact on our results of operations for any periods presented herein.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4" w:lineRule="exact"/>
        <w:rPr>
          <w:sz w:val="20"/>
          <w:szCs w:val="20"/>
          <w:color w:val="auto"/>
        </w:rPr>
      </w:pPr>
    </w:p>
    <w:p>
      <w:pPr>
        <w:ind w:right="180" w:firstLine="589"/>
        <w:spacing w:after="0" w:line="261"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in this Annual Report on Form 10-K beginning on page F-1.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our Disclosure Controls and Procedures</w:t>
      </w:r>
    </w:p>
    <w:p>
      <w:pPr>
        <w:spacing w:after="0" w:line="114" w:lineRule="exact"/>
        <w:rPr>
          <w:sz w:val="20"/>
          <w:szCs w:val="20"/>
          <w:color w:val="auto"/>
        </w:rPr>
      </w:pPr>
    </w:p>
    <w:p>
      <w:pPr>
        <w:ind w:right="20" w:firstLine="589"/>
        <w:spacing w:after="0" w:line="27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the effectiveness of our disclosure controls and procedures as of December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evaluation of our disclosure controls and procedures as of December 31, 2021, our principle executive officer and principal financial officer concluded that, as of such date, our disclosure controls and procedures were effective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4" w:lineRule="exact"/>
        <w:rPr>
          <w:sz w:val="20"/>
          <w:szCs w:val="20"/>
          <w:color w:val="auto"/>
        </w:rPr>
      </w:pPr>
    </w:p>
    <w:p>
      <w:pPr>
        <w:ind w:right="300" w:firstLine="589"/>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promulgated under the Exchange Act as a process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Because of its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74" w:name="page75"/>
    <w:bookmarkEnd w:id="74"/>
    <w:p>
      <w:pPr>
        <w:ind w:right="40"/>
        <w:spacing w:after="0" w:line="249" w:lineRule="auto"/>
        <w:rPr>
          <w:sz w:val="20"/>
          <w:szCs w:val="20"/>
          <w:color w:val="auto"/>
        </w:rPr>
      </w:pPr>
      <w:r>
        <w:rPr>
          <w:rFonts w:ascii="Arial" w:cs="Arial" w:eastAsia="Arial" w:hAnsi="Arial"/>
          <w:sz w:val="18"/>
          <w:szCs w:val="18"/>
          <w:color w:val="auto"/>
        </w:rPr>
        <w:t>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ind w:right="240" w:firstLine="589"/>
        <w:spacing w:after="0" w:line="24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2021. In making this assessment, management used the criteria set forth by the Committee of Sponsoring organizations of the Treadway Commission (COSO) in Internal Control – Integrated Framework (2013). Based on that assessment, our management concluded that, as of December 31, 2021, our internal control over financial reporting was effective.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0" w:lineRule="exact"/>
        <w:rPr>
          <w:sz w:val="20"/>
          <w:szCs w:val="20"/>
          <w:color w:val="auto"/>
        </w:rPr>
      </w:pPr>
    </w:p>
    <w:p>
      <w:pPr>
        <w:ind w:firstLine="589"/>
        <w:spacing w:after="0" w:line="361" w:lineRule="auto"/>
        <w:rPr>
          <w:sz w:val="20"/>
          <w:szCs w:val="20"/>
          <w:color w:val="auto"/>
        </w:rPr>
      </w:pPr>
      <w:r>
        <w:rPr>
          <w:rFonts w:ascii="Arial" w:cs="Arial" w:eastAsia="Arial" w:hAnsi="Arial"/>
          <w:sz w:val="15"/>
          <w:szCs w:val="15"/>
          <w:color w:val="auto"/>
        </w:rPr>
        <w:t>Deloitte &amp; Touche LLP, the independent registered public accounting firm that audited the consolidated financial statements included in this Annual Report on Form 10-K, has issued an attestation report on the effectiveness of internal control over financial reporting as of December 31, 2021, included herein.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 w:lineRule="exact"/>
        <w:rPr>
          <w:sz w:val="20"/>
          <w:szCs w:val="20"/>
          <w:color w:val="auto"/>
        </w:rPr>
      </w:pPr>
    </w:p>
    <w:p>
      <w:pPr>
        <w:jc w:val="both"/>
        <w:ind w:right="240" w:firstLine="589"/>
        <w:spacing w:after="0" w:line="308"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2021 that has materially affected, or is reasonably likely to materially affect, our internal control over financial reporting.</w:t>
      </w:r>
    </w:p>
    <w:p>
      <w:pPr>
        <w:spacing w:after="0" w:line="141" w:lineRule="exact"/>
        <w:rPr>
          <w:sz w:val="20"/>
          <w:szCs w:val="20"/>
          <w:color w:val="auto"/>
        </w:rPr>
      </w:pPr>
    </w:p>
    <w:p>
      <w:pPr>
        <w:ind w:right="5220"/>
        <w:spacing w:after="0" w:line="505"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Syndax Pharmaceuticals,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0"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 xml:space="preserve">We have audited the internal control over financial reporting of Syndax Pharmaceuticals, Inc. and subsidiaries (the “Company”)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March 1, 2022, expressed an unqualified opinion on those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76" w:name="page77"/>
    <w:bookmarkEnd w:id="76"/>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4" w:lineRule="exact"/>
        <w:rPr>
          <w:sz w:val="20"/>
          <w:szCs w:val="20"/>
          <w:color w:val="auto"/>
        </w:rPr>
      </w:pPr>
    </w:p>
    <w:p>
      <w:pPr>
        <w:jc w:val="both"/>
        <w:ind w:firstLine="589"/>
        <w:spacing w:after="0" w:line="252"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“Information About Our Board of Directors,” “Executive Officers” and “The Board of Directors and Its Committees” and “Delinquent Section 16(a) Reports,” if applicable, in our 2022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4" w:lineRule="exact"/>
        <w:rPr>
          <w:sz w:val="20"/>
          <w:szCs w:val="20"/>
          <w:color w:val="auto"/>
        </w:rPr>
      </w:pPr>
    </w:p>
    <w:p>
      <w:pPr>
        <w:ind w:right="200" w:firstLine="58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Officer and Director Compensation” in our 2022 Proxy Statement.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4" w:lineRule="exact"/>
        <w:rPr>
          <w:sz w:val="20"/>
          <w:szCs w:val="20"/>
          <w:color w:val="auto"/>
        </w:rPr>
      </w:pPr>
    </w:p>
    <w:p>
      <w:pPr>
        <w:ind w:right="220" w:firstLine="58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Related Stockholder Matters” in our 2022 Proxy Statement.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4" w:lineRule="exact"/>
        <w:rPr>
          <w:sz w:val="20"/>
          <w:szCs w:val="20"/>
          <w:color w:val="auto"/>
        </w:rPr>
      </w:pPr>
    </w:p>
    <w:p>
      <w:pPr>
        <w:ind w:right="220" w:firstLine="589"/>
        <w:spacing w:after="0" w:line="324" w:lineRule="auto"/>
        <w:rPr>
          <w:sz w:val="20"/>
          <w:szCs w:val="20"/>
          <w:color w:val="auto"/>
        </w:rPr>
      </w:pPr>
      <w:r>
        <w:rPr>
          <w:rFonts w:ascii="Arial" w:cs="Arial" w:eastAsia="Arial" w:hAnsi="Arial"/>
          <w:sz w:val="16"/>
          <w:szCs w:val="16"/>
          <w:color w:val="auto"/>
        </w:rPr>
        <w:t>The information required by this item is incorporated by reference to the information set forth in the section titled “The Board of Directors and Its Committees – Board Independence” and “Certain Relationships and Related Party Transactions” in our 2022 Proxy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4" w:lineRule="exact"/>
        <w:rPr>
          <w:sz w:val="20"/>
          <w:szCs w:val="20"/>
          <w:color w:val="auto"/>
        </w:rPr>
      </w:pPr>
    </w:p>
    <w:p>
      <w:pPr>
        <w:ind w:right="220" w:firstLine="589"/>
        <w:spacing w:after="0" w:line="324" w:lineRule="auto"/>
        <w:rPr>
          <w:sz w:val="20"/>
          <w:szCs w:val="20"/>
          <w:color w:val="auto"/>
        </w:rPr>
      </w:pPr>
      <w:r>
        <w:rPr>
          <w:rFonts w:ascii="Arial" w:cs="Arial" w:eastAsia="Arial" w:hAnsi="Arial"/>
          <w:sz w:val="16"/>
          <w:szCs w:val="16"/>
          <w:color w:val="auto"/>
        </w:rPr>
        <w:t>The information required by this item is incorporated by reference to the information set forth in the section titled “Independent Registered Public Accounting Firm Fees” and “Pre-Approval Policies and Procedures” contained in Proposal 2 in our 2022 Proxy Statement.</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331" w:right="5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00" w:type="dxa"/>
            <w:vAlign w:val="bottom"/>
            <w:gridSpan w:val="5"/>
          </w:tcPr>
          <w:p>
            <w:pPr>
              <w:ind w:left="760"/>
              <w:spacing w:after="0"/>
              <w:rPr>
                <w:sz w:val="20"/>
                <w:szCs w:val="20"/>
                <w:color w:val="auto"/>
              </w:rPr>
            </w:pPr>
            <w:r>
              <w:rPr>
                <w:rFonts w:ascii="Arial" w:cs="Arial" w:eastAsia="Arial" w:hAnsi="Arial"/>
                <w:sz w:val="18"/>
                <w:szCs w:val="18"/>
                <w:b w:val="1"/>
                <w:bCs w:val="1"/>
                <w:color w:val="auto"/>
              </w:rPr>
              <w:t>PART IV</w:t>
            </w:r>
          </w:p>
        </w:tc>
        <w:tc>
          <w:tcPr>
            <w:tcW w:w="620" w:type="dxa"/>
            <w:vAlign w:val="bottom"/>
          </w:tcPr>
          <w:p>
            <w:pPr>
              <w:spacing w:after="0"/>
              <w:rPr>
                <w:sz w:val="19"/>
                <w:szCs w:val="19"/>
                <w:color w:val="auto"/>
              </w:rPr>
            </w:pPr>
          </w:p>
        </w:tc>
      </w:tr>
      <w:tr>
        <w:trPr>
          <w:trHeight w:val="421"/>
        </w:trPr>
        <w:tc>
          <w:tcPr>
            <w:tcW w:w="106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Statements and Schedules</w:t>
            </w:r>
          </w:p>
        </w:tc>
        <w:tc>
          <w:tcPr>
            <w:tcW w:w="620" w:type="dxa"/>
            <w:vAlign w:val="bottom"/>
          </w:tcPr>
          <w:p>
            <w:pPr>
              <w:spacing w:after="0"/>
              <w:rPr>
                <w:sz w:val="24"/>
                <w:szCs w:val="24"/>
                <w:color w:val="auto"/>
              </w:rPr>
            </w:pPr>
          </w:p>
        </w:tc>
      </w:tr>
      <w:tr>
        <w:trPr>
          <w:trHeight w:val="315"/>
        </w:trPr>
        <w:tc>
          <w:tcPr>
            <w:tcW w:w="10620" w:type="dxa"/>
            <w:vAlign w:val="bottom"/>
            <w:gridSpan w:val="8"/>
          </w:tcPr>
          <w:p>
            <w:pPr>
              <w:spacing w:after="0"/>
              <w:rPr>
                <w:sz w:val="20"/>
                <w:szCs w:val="20"/>
                <w:color w:val="auto"/>
              </w:rPr>
            </w:pPr>
            <w:r>
              <w:rPr>
                <w:rFonts w:ascii="Arial" w:cs="Arial" w:eastAsia="Arial" w:hAnsi="Arial"/>
                <w:sz w:val="18"/>
                <w:szCs w:val="18"/>
                <w:color w:val="auto"/>
              </w:rPr>
              <w:t>(a)(1) Financial Statements.</w:t>
            </w:r>
          </w:p>
        </w:tc>
        <w:tc>
          <w:tcPr>
            <w:tcW w:w="620" w:type="dxa"/>
            <w:vAlign w:val="bottom"/>
          </w:tcPr>
          <w:p>
            <w:pPr>
              <w:spacing w:after="0"/>
              <w:rPr>
                <w:sz w:val="24"/>
                <w:szCs w:val="24"/>
                <w:color w:val="auto"/>
              </w:rPr>
            </w:pPr>
          </w:p>
        </w:tc>
      </w:tr>
      <w:tr>
        <w:trPr>
          <w:trHeight w:val="434"/>
        </w:trPr>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Pages</w:t>
            </w:r>
          </w:p>
        </w:tc>
      </w:tr>
      <w:tr>
        <w:trPr>
          <w:trHeight w:val="388"/>
        </w:trPr>
        <w:tc>
          <w:tcPr>
            <w:tcW w:w="41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Report of Independent Registered Public Accounting Firm</w:t>
            </w:r>
          </w:p>
        </w:tc>
        <w:tc>
          <w:tcPr>
            <w:tcW w:w="6500" w:type="dxa"/>
            <w:vAlign w:val="bottom"/>
            <w:gridSpan w:val="6"/>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F-1</w:t>
            </w:r>
          </w:p>
        </w:tc>
      </w:tr>
      <w:tr>
        <w:trPr>
          <w:trHeight w:val="414"/>
        </w:trPr>
        <w:tc>
          <w:tcPr>
            <w:tcW w:w="10620" w:type="dxa"/>
            <w:vAlign w:val="bottom"/>
            <w:gridSpan w:val="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Balance Sheets as of December 31, 2021 and 2020</w:t>
              </w:r>
            </w:hyperlink>
          </w:p>
        </w:tc>
        <w:tc>
          <w:tcPr>
            <w:tcW w:w="620" w:type="dxa"/>
            <w:vAlign w:val="bottom"/>
          </w:tcPr>
          <w:p>
            <w:pPr>
              <w:spacing w:after="0"/>
              <w:rPr>
                <w:sz w:val="20"/>
                <w:szCs w:val="20"/>
                <w:color w:val="auto"/>
              </w:rPr>
            </w:pPr>
            <w:r>
              <w:rPr>
                <w:rFonts w:ascii="Arial" w:cs="Arial" w:eastAsia="Arial" w:hAnsi="Arial"/>
                <w:sz w:val="18"/>
                <w:szCs w:val="18"/>
                <w:color w:val="auto"/>
              </w:rPr>
              <w:t>F-4</w:t>
            </w:r>
          </w:p>
        </w:tc>
      </w:tr>
      <w:tr>
        <w:trPr>
          <w:trHeight w:val="20"/>
        </w:trPr>
        <w:tc>
          <w:tcPr>
            <w:tcW w:w="30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4"/>
        </w:trPr>
        <w:tc>
          <w:tcPr>
            <w:tcW w:w="10620" w:type="dxa"/>
            <w:vAlign w:val="bottom"/>
            <w:gridSpan w:val="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Operations for the Years Ended December 31, 2021, 2020 and 2019</w:t>
              </w:r>
            </w:hyperlink>
          </w:p>
        </w:tc>
        <w:tc>
          <w:tcPr>
            <w:tcW w:w="620" w:type="dxa"/>
            <w:vAlign w:val="bottom"/>
          </w:tcPr>
          <w:p>
            <w:pPr>
              <w:spacing w:after="0"/>
              <w:rPr>
                <w:sz w:val="20"/>
                <w:szCs w:val="20"/>
                <w:color w:val="auto"/>
              </w:rPr>
            </w:pPr>
            <w:r>
              <w:rPr>
                <w:rFonts w:ascii="Arial" w:cs="Arial" w:eastAsia="Arial" w:hAnsi="Arial"/>
                <w:sz w:val="18"/>
                <w:szCs w:val="18"/>
                <w:color w:val="auto"/>
              </w:rPr>
              <w:t>F-5</w:t>
            </w:r>
          </w:p>
        </w:tc>
      </w:tr>
      <w:tr>
        <w:trPr>
          <w:trHeight w:val="20"/>
        </w:trPr>
        <w:tc>
          <w:tcPr>
            <w:tcW w:w="308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4"/>
        </w:trPr>
        <w:tc>
          <w:tcPr>
            <w:tcW w:w="81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Consolidated Statements of Comprehensive Income (Loss) for the Years Ended December 31, 2021, 2020 and 2019</w:t>
              </w:r>
            </w:hyperlink>
          </w:p>
        </w:tc>
        <w:tc>
          <w:tcPr>
            <w:tcW w:w="25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F-7</w:t>
            </w:r>
          </w:p>
        </w:tc>
      </w:tr>
      <w:tr>
        <w:trPr>
          <w:trHeight w:val="414"/>
        </w:trPr>
        <w:tc>
          <w:tcPr>
            <w:tcW w:w="10620" w:type="dxa"/>
            <w:vAlign w:val="bottom"/>
            <w:gridSpan w:val="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Stockholders’ Equity for the Years Ended December 31, 2021, 2020 and 2019</w:t>
              </w:r>
            </w:hyperlink>
          </w:p>
        </w:tc>
        <w:tc>
          <w:tcPr>
            <w:tcW w:w="620" w:type="dxa"/>
            <w:vAlign w:val="bottom"/>
          </w:tcPr>
          <w:p>
            <w:pPr>
              <w:spacing w:after="0"/>
              <w:rPr>
                <w:sz w:val="20"/>
                <w:szCs w:val="20"/>
                <w:color w:val="auto"/>
              </w:rPr>
            </w:pPr>
            <w:r>
              <w:rPr>
                <w:rFonts w:ascii="Arial" w:cs="Arial" w:eastAsia="Arial" w:hAnsi="Arial"/>
                <w:sz w:val="18"/>
                <w:szCs w:val="18"/>
                <w:color w:val="auto"/>
              </w:rPr>
              <w:t>F-8</w:t>
            </w:r>
          </w:p>
        </w:tc>
      </w:tr>
      <w:tr>
        <w:trPr>
          <w:trHeight w:val="414"/>
        </w:trPr>
        <w:tc>
          <w:tcPr>
            <w:tcW w:w="6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Consolidated Statements of Cash Flows for the Years Ended December 31, 2021, 2020 and 2019</w:t>
              </w:r>
            </w:hyperlink>
          </w:p>
        </w:tc>
        <w:tc>
          <w:tcPr>
            <w:tcW w:w="660" w:type="dxa"/>
            <w:vAlign w:val="bottom"/>
            <w:tcBorders>
              <w:top w:val="single" w:sz="8" w:color="0000EE"/>
            </w:tcBorders>
          </w:tcPr>
          <w:p>
            <w:pPr>
              <w:spacing w:after="0"/>
              <w:rPr>
                <w:sz w:val="24"/>
                <w:szCs w:val="24"/>
                <w:color w:val="auto"/>
              </w:rPr>
            </w:pPr>
          </w:p>
        </w:tc>
        <w:tc>
          <w:tcPr>
            <w:tcW w:w="3180" w:type="dxa"/>
            <w:vAlign w:val="bottom"/>
            <w:gridSpan w:val="2"/>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F-9</w:t>
            </w:r>
          </w:p>
        </w:tc>
      </w:tr>
      <w:tr>
        <w:trPr>
          <w:trHeight w:val="414"/>
        </w:trPr>
        <w:tc>
          <w:tcPr>
            <w:tcW w:w="3080" w:type="dxa"/>
            <w:vAlign w:val="bottom"/>
            <w:tcBorders>
              <w:bottom w:val="single" w:sz="8" w:color="0000EE"/>
            </w:tcBorders>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Notes to Consolidated Financial Statements</w:t>
              </w:r>
            </w:hyperlink>
          </w:p>
        </w:tc>
        <w:tc>
          <w:tcPr>
            <w:tcW w:w="7540" w:type="dxa"/>
            <w:vAlign w:val="bottom"/>
            <w:gridSpan w:val="7"/>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F-11</w:t>
            </w:r>
          </w:p>
        </w:tc>
      </w:tr>
      <w:tr>
        <w:trPr>
          <w:trHeight w:val="439"/>
        </w:trPr>
        <w:tc>
          <w:tcPr>
            <w:tcW w:w="10620" w:type="dxa"/>
            <w:vAlign w:val="bottom"/>
            <w:gridSpan w:val="8"/>
          </w:tcPr>
          <w:p>
            <w:pPr>
              <w:spacing w:after="0"/>
              <w:rPr>
                <w:sz w:val="20"/>
                <w:szCs w:val="20"/>
                <w:color w:val="auto"/>
              </w:rPr>
            </w:pPr>
            <w:r>
              <w:rPr>
                <w:rFonts w:ascii="Arial" w:cs="Arial" w:eastAsia="Arial" w:hAnsi="Arial"/>
                <w:sz w:val="18"/>
                <w:szCs w:val="18"/>
                <w:color w:val="auto"/>
              </w:rPr>
              <w:t>(a)(2) Financial Statement Schedules.</w:t>
            </w:r>
          </w:p>
        </w:tc>
        <w:tc>
          <w:tcPr>
            <w:tcW w:w="620" w:type="dxa"/>
            <w:vAlign w:val="bottom"/>
          </w:tcPr>
          <w:p>
            <w:pPr>
              <w:spacing w:after="0"/>
              <w:rPr>
                <w:sz w:val="24"/>
                <w:szCs w:val="24"/>
                <w:color w:val="auto"/>
              </w:rPr>
            </w:pPr>
          </w:p>
        </w:tc>
      </w:tr>
    </w:tbl>
    <w:p>
      <w:pPr>
        <w:spacing w:after="0" w:line="198" w:lineRule="exact"/>
        <w:rPr>
          <w:sz w:val="20"/>
          <w:szCs w:val="20"/>
          <w:color w:val="auto"/>
        </w:rPr>
      </w:pPr>
    </w:p>
    <w:p>
      <w:pPr>
        <w:ind w:right="40" w:firstLine="589"/>
        <w:spacing w:after="0" w:line="261"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14"/>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1360" w:type="dxa"/>
            <w:vAlign w:val="bottom"/>
            <w:gridSpan w:val="2"/>
          </w:tcPr>
          <w:p>
            <w:pPr>
              <w:ind w:left="500"/>
              <w:spacing w:after="0"/>
              <w:rPr>
                <w:sz w:val="20"/>
                <w:szCs w:val="20"/>
                <w:color w:val="auto"/>
              </w:rPr>
            </w:pPr>
            <w:r>
              <w:rPr>
                <w:rFonts w:ascii="Arial" w:cs="Arial" w:eastAsia="Arial" w:hAnsi="Arial"/>
                <w:sz w:val="14"/>
                <w:szCs w:val="14"/>
                <w:b w:val="1"/>
                <w:bCs w:val="1"/>
                <w:color w:val="auto"/>
              </w:rPr>
              <w:t>No.</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4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440" w:type="dxa"/>
            <w:vAlign w:val="bottom"/>
            <w:tcBorders>
              <w:top w:val="single" w:sz="8" w:color="auto"/>
              <w:bottom w:val="single" w:sz="8" w:color="0000EE"/>
            </w:tcBorders>
            <w:gridSpan w:val="11"/>
          </w:tcPr>
          <w:p>
            <w:pPr>
              <w:spacing w:after="0"/>
              <w:rPr>
                <w:rFonts w:ascii="Arial" w:cs="Arial" w:eastAsia="Arial" w:hAnsi="Arial"/>
                <w:sz w:val="18"/>
                <w:szCs w:val="18"/>
                <w:color w:val="0000EE"/>
                <w:w w:val="88"/>
              </w:rPr>
            </w:pPr>
            <w:hyperlink r:id="rId103">
              <w:r>
                <w:rPr>
                  <w:rFonts w:ascii="Arial" w:cs="Arial" w:eastAsia="Arial" w:hAnsi="Arial"/>
                  <w:sz w:val="18"/>
                  <w:szCs w:val="18"/>
                  <w:color w:val="0000EE"/>
                  <w:w w:val="88"/>
                </w:rPr>
                <w:t>Amended and Restated Certificate of Incorporation of the Company (incorporated herein by reference to Exhibit 3.1 to the Company’s</w:t>
              </w:r>
            </w:hyperlink>
          </w:p>
        </w:tc>
        <w:tc>
          <w:tcPr>
            <w:tcW w:w="440" w:type="dxa"/>
            <w:vAlign w:val="bottom"/>
            <w:tcBorders>
              <w:top w:val="single" w:sz="8" w:color="auto"/>
            </w:tcBorders>
            <w:gridSpan w:val="8"/>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2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Current Report on Form 8-K (File No. 001-37708), as filed with the SEC on March 8, 2016).</w:t>
              </w:r>
            </w:hyperlink>
          </w:p>
        </w:tc>
        <w:tc>
          <w:tcPr>
            <w:tcW w:w="336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780" w:type="dxa"/>
            <w:vAlign w:val="bottom"/>
            <w:tcBorders>
              <w:bottom w:val="single" w:sz="8" w:color="0000EE"/>
            </w:tcBorders>
            <w:gridSpan w:val="17"/>
          </w:tcPr>
          <w:p>
            <w:pPr>
              <w:spacing w:after="0"/>
              <w:rPr>
                <w:rFonts w:ascii="Arial" w:cs="Arial" w:eastAsia="Arial" w:hAnsi="Arial"/>
                <w:sz w:val="18"/>
                <w:szCs w:val="18"/>
                <w:color w:val="0000EE"/>
                <w:w w:val="88"/>
              </w:rPr>
            </w:pPr>
            <w:hyperlink r:id="rId104">
              <w:r>
                <w:rPr>
                  <w:rFonts w:ascii="Arial" w:cs="Arial" w:eastAsia="Arial" w:hAnsi="Arial"/>
                  <w:sz w:val="18"/>
                  <w:szCs w:val="18"/>
                  <w:color w:val="0000EE"/>
                  <w:w w:val="88"/>
                </w:rPr>
                <w:t>Amended and Restated Bylaws of the Company (incorporated herein by reference to Exhibit 3.2 to the Company’s Current Report on Form</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8-K (File No. 001-37708), as filed with the SEC on March 8, 2016).</w:t>
              </w:r>
            </w:hyperlink>
          </w:p>
        </w:tc>
        <w:tc>
          <w:tcPr>
            <w:tcW w:w="51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Specimen Common Stock Certificate of the Company (incorporated herein by reference to Exhibit 4.1 to the Company’s Registration</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tcBorders>
              <w:top w:val="single" w:sz="8" w:color="0000EE"/>
              <w:bottom w:val="single" w:sz="8" w:color="0000EE"/>
            </w:tcBorders>
            <w:gridSpan w:val="8"/>
          </w:tcPr>
          <w:p>
            <w:pPr>
              <w:spacing w:after="0" w:line="190"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Statement on Form S-1/A (File No. 333-208861), as filed with the SEC on February 20, 2016).</w:t>
              </w:r>
            </w:hyperlink>
          </w:p>
        </w:tc>
        <w:tc>
          <w:tcPr>
            <w:tcW w:w="2680" w:type="dxa"/>
            <w:vAlign w:val="bottom"/>
            <w:tcBorders>
              <w:top w:val="single" w:sz="8" w:color="0000EE"/>
            </w:tcBorders>
            <w:gridSpan w:val="2"/>
          </w:tcPr>
          <w:p>
            <w:pPr>
              <w:spacing w:after="0"/>
              <w:rPr>
                <w:sz w:val="16"/>
                <w:szCs w:val="16"/>
                <w:color w:val="auto"/>
              </w:rPr>
            </w:pPr>
          </w:p>
        </w:tc>
        <w:tc>
          <w:tcPr>
            <w:tcW w:w="5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Form of Pre-Funded Warrant to purchase Common Stock issued pursuant to the Exchange Agreement between the Company and</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6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Biotechnology Value Fund, L.P., Biotechnology Value Fund II, L.P. and Biotechnology Value Trading Fund OS, L.P., dated June 18, 2018</w:t>
              </w:r>
            </w:hyperlink>
          </w:p>
        </w:tc>
        <w:tc>
          <w:tcPr>
            <w:tcW w:w="2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(incorporated by reference to Exhibit 4.1 to the Company’s Current Report on Form 8-K (File No. 001-37708), as filed with the SEC on</w:t>
              </w:r>
            </w:hyperlink>
          </w:p>
        </w:tc>
        <w:tc>
          <w:tcPr>
            <w:tcW w:w="3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0000EE"/>
            </w:tcBorders>
          </w:tcPr>
          <w:p>
            <w:pPr>
              <w:spacing w:after="0" w:line="190" w:lineRule="exact"/>
              <w:rPr>
                <w:rFonts w:ascii="Arial" w:cs="Arial" w:eastAsia="Arial" w:hAnsi="Arial"/>
                <w:sz w:val="18"/>
                <w:szCs w:val="18"/>
                <w:color w:val="0000EE"/>
                <w:w w:val="84"/>
              </w:rPr>
            </w:pPr>
            <w:hyperlink r:id="rId106">
              <w:r>
                <w:rPr>
                  <w:rFonts w:ascii="Arial" w:cs="Arial" w:eastAsia="Arial" w:hAnsi="Arial"/>
                  <w:sz w:val="18"/>
                  <w:szCs w:val="18"/>
                  <w:color w:val="0000EE"/>
                  <w:w w:val="84"/>
                </w:rPr>
                <w:t>June 20, 2018).</w:t>
              </w:r>
            </w:hyperlink>
          </w:p>
        </w:tc>
        <w:tc>
          <w:tcPr>
            <w:tcW w:w="880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Form of Pre-Funded Warrant issued pursuant to the securities purchase agreement between the Company and Certain Purchasers, dated</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7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March 26, 2019 (incorporated by reference to Exhibit 4.2 to the Company’s Current Report on Form 8-K (File No. 001-37708), as filed with</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2"/>
          </w:tcPr>
          <w:p>
            <w:pPr>
              <w:spacing w:after="0" w:line="190" w:lineRule="exact"/>
              <w:rPr>
                <w:rFonts w:ascii="Arial" w:cs="Arial" w:eastAsia="Arial" w:hAnsi="Arial"/>
                <w:sz w:val="18"/>
                <w:szCs w:val="18"/>
                <w:color w:val="0000EE"/>
                <w:w w:val="87"/>
              </w:rPr>
            </w:pPr>
            <w:hyperlink r:id="rId107">
              <w:r>
                <w:rPr>
                  <w:rFonts w:ascii="Arial" w:cs="Arial" w:eastAsia="Arial" w:hAnsi="Arial"/>
                  <w:sz w:val="18"/>
                  <w:szCs w:val="18"/>
                  <w:color w:val="0000EE"/>
                  <w:w w:val="87"/>
                </w:rPr>
                <w:t>the SEC on March 29, 2019).</w:t>
              </w:r>
            </w:hyperlink>
          </w:p>
        </w:tc>
        <w:tc>
          <w:tcPr>
            <w:tcW w:w="7780" w:type="dxa"/>
            <w:vAlign w:val="bottom"/>
            <w:tcBorders>
              <w:top w:val="single" w:sz="8" w:color="0000EE"/>
            </w:tcBorders>
            <w:gridSpan w:val="1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Form of Pre-Funded Warrant issued pursuant to the securities purchase agreement between the Company and Certain Purchasers, dated</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7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8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January 30, 2020 (incorporated by reference to Exhibit 4.1 to the Company’s Current Report on Form 8-K (File No. 001-37708), as filed</w:t>
              </w:r>
            </w:hyperlink>
          </w:p>
        </w:tc>
        <w:tc>
          <w:tcPr>
            <w:tcW w:w="3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0000EE"/>
            </w:tcBorders>
            <w:gridSpan w:val="3"/>
          </w:tcPr>
          <w:p>
            <w:pPr>
              <w:spacing w:after="0" w:line="190" w:lineRule="exact"/>
              <w:rPr>
                <w:rFonts w:ascii="Arial" w:cs="Arial" w:eastAsia="Arial" w:hAnsi="Arial"/>
                <w:sz w:val="18"/>
                <w:szCs w:val="18"/>
                <w:color w:val="0000EE"/>
                <w:w w:val="87"/>
              </w:rPr>
            </w:pPr>
            <w:hyperlink r:id="rId108">
              <w:r>
                <w:rPr>
                  <w:rFonts w:ascii="Arial" w:cs="Arial" w:eastAsia="Arial" w:hAnsi="Arial"/>
                  <w:sz w:val="18"/>
                  <w:szCs w:val="18"/>
                  <w:color w:val="0000EE"/>
                  <w:w w:val="87"/>
                </w:rPr>
                <w:t>with the SEC on February 4, 2020).</w:t>
              </w:r>
            </w:hyperlink>
          </w:p>
        </w:tc>
        <w:tc>
          <w:tcPr>
            <w:tcW w:w="738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8"/>
                <w:szCs w:val="18"/>
                <w:color w:val="0000EE"/>
                <w:w w:val="94"/>
              </w:rPr>
            </w:pPr>
            <w:hyperlink r:id="rId109">
              <w:r>
                <w:rPr>
                  <w:rFonts w:ascii="Arial" w:cs="Arial" w:eastAsia="Arial" w:hAnsi="Arial"/>
                  <w:sz w:val="18"/>
                  <w:szCs w:val="18"/>
                  <w:color w:val="0000EE"/>
                  <w:w w:val="94"/>
                </w:rPr>
                <w:t>Description of Capital Stock (incorporated by reference to Exhibit 4.5 to the Company’s Annual Report on Form 10-K (File No. 001-</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40" w:type="dxa"/>
            <w:vAlign w:val="bottom"/>
            <w:tcBorders>
              <w:top w:val="single" w:sz="8" w:color="0000EE"/>
            </w:tcBorders>
            <w:gridSpan w:val="10"/>
          </w:tcPr>
          <w:p>
            <w:pPr>
              <w:spacing w:after="0" w:line="190" w:lineRule="exact"/>
              <w:rPr>
                <w:rFonts w:ascii="Arial" w:cs="Arial" w:eastAsia="Arial" w:hAnsi="Arial"/>
                <w:sz w:val="18"/>
                <w:szCs w:val="18"/>
                <w:color w:val="0000EE"/>
              </w:rPr>
            </w:pPr>
            <w:hyperlink r:id="rId109">
              <w:r>
                <w:rPr>
                  <w:rFonts w:ascii="Arial" w:cs="Arial" w:eastAsia="Arial" w:hAnsi="Arial"/>
                  <w:sz w:val="18"/>
                  <w:szCs w:val="18"/>
                  <w:color w:val="0000EE"/>
                </w:rPr>
                <w:t>37708)</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March 5, 2020).</w:t>
              </w:r>
            </w:hyperlink>
          </w:p>
        </w:tc>
        <w:tc>
          <w:tcPr>
            <w:tcW w:w="5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2007 Stock Plan (incorporated herein by reference to Exhibit 10.3 to the Company’s Registration Statement on Form S-1 (File No. 333-</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0000EE"/>
            </w:tcBorders>
            <w:gridSpan w:val="5"/>
          </w:tcPr>
          <w:p>
            <w:pPr>
              <w:spacing w:after="0" w:line="190"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208861)</w:t>
              </w:r>
              <w:r>
                <w:rPr>
                  <w:rFonts w:ascii="Arial" w:cs="Arial" w:eastAsia="Arial" w:hAnsi="Arial"/>
                  <w:sz w:val="18"/>
                  <w:szCs w:val="18"/>
                  <w:u w:val="single" w:color="auto"/>
                  <w:color w:val="0000EE"/>
                  <w:w w:val="87"/>
                </w:rPr>
                <w:t>,</w:t>
              </w:r>
              <w:r>
                <w:rPr>
                  <w:rFonts w:ascii="Arial" w:cs="Arial" w:eastAsia="Arial" w:hAnsi="Arial"/>
                  <w:sz w:val="18"/>
                  <w:szCs w:val="18"/>
                  <w:color w:val="0000EE"/>
                  <w:w w:val="87"/>
                </w:rPr>
                <w:t xml:space="preserve"> as filed with the SEC on January 4, 2016).</w:t>
              </w:r>
            </w:hyperlink>
          </w:p>
        </w:tc>
        <w:tc>
          <w:tcPr>
            <w:tcW w:w="62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558"/>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6"/>
          </w:tcPr>
          <w:p>
            <w:pPr>
              <w:ind w:left="4180"/>
              <w:spacing w:after="0"/>
              <w:rPr>
                <w:sz w:val="20"/>
                <w:szCs w:val="20"/>
                <w:color w:val="auto"/>
              </w:rPr>
            </w:pPr>
            <w:r>
              <w:rPr>
                <w:rFonts w:ascii="Arial" w:cs="Arial" w:eastAsia="Arial" w:hAnsi="Arial"/>
                <w:sz w:val="18"/>
                <w:szCs w:val="18"/>
                <w:color w:val="auto"/>
              </w:rPr>
              <w:t>74</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20" w:type="dxa"/>
            <w:vAlign w:val="bottom"/>
            <w:gridSpan w:val="20"/>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1360" w:type="dxa"/>
            <w:vAlign w:val="bottom"/>
            <w:gridSpan w:val="2"/>
          </w:tcPr>
          <w:p>
            <w:pPr>
              <w:ind w:left="50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2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880" w:type="dxa"/>
            <w:vAlign w:val="bottom"/>
            <w:tcBorders>
              <w:top w:val="single" w:sz="8" w:color="auto"/>
            </w:tcBorders>
            <w:gridSpan w:val="23"/>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2007 Stock Plan Amendment, dated as of March 8, 2013 (incorporated herein by reference to Exhibit 10.4 to the Company’s Registration</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20" w:type="dxa"/>
            <w:vAlign w:val="bottom"/>
            <w:tcBorders>
              <w:top w:val="single" w:sz="8" w:color="0000EE"/>
            </w:tcBorders>
            <w:gridSpan w:val="16"/>
          </w:tcPr>
          <w:p>
            <w:pPr>
              <w:spacing w:after="0" w:line="190" w:lineRule="exact"/>
              <w:rPr>
                <w:rFonts w:ascii="Arial" w:cs="Arial" w:eastAsia="Arial" w:hAnsi="Arial"/>
                <w:sz w:val="18"/>
                <w:szCs w:val="18"/>
                <w:color w:val="0000EE"/>
              </w:rPr>
            </w:pPr>
            <w:hyperlink r:id="rId113">
              <w:r>
                <w:rPr>
                  <w:rFonts w:ascii="Arial" w:cs="Arial" w:eastAsia="Arial" w:hAnsi="Arial"/>
                  <w:sz w:val="18"/>
                  <w:szCs w:val="18"/>
                  <w:color w:val="0000EE"/>
                </w:rPr>
                <w:t>Statement on Form S-1 (File No. 333-208861), as filed with the SEC on January 4, 2016).</w:t>
              </w:r>
            </w:hyperlink>
          </w:p>
        </w:tc>
        <w:tc>
          <w:tcPr>
            <w:tcW w:w="2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Arial" w:cs="Arial" w:eastAsia="Arial" w:hAnsi="Arial"/>
                <w:sz w:val="18"/>
                <w:szCs w:val="18"/>
                <w:color w:val="0000EE"/>
                <w:w w:val="88"/>
              </w:rPr>
            </w:pPr>
            <w:hyperlink r:id="rId114">
              <w:r>
                <w:rPr>
                  <w:rFonts w:ascii="Arial" w:cs="Arial" w:eastAsia="Arial" w:hAnsi="Arial"/>
                  <w:sz w:val="18"/>
                  <w:szCs w:val="18"/>
                  <w:color w:val="0000EE"/>
                  <w:w w:val="88"/>
                </w:rPr>
                <w:t>2007 Stock Plan Amendment, dated as of July 10, 2013 (incorporated herein by reference to Exhibit 10.5 to the Company’s Registration</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3"/>
          </w:tcPr>
          <w:p>
            <w:pPr>
              <w:spacing w:after="0" w:line="190" w:lineRule="exact"/>
              <w:rPr>
                <w:rFonts w:ascii="Arial" w:cs="Arial" w:eastAsia="Arial" w:hAnsi="Arial"/>
                <w:sz w:val="18"/>
                <w:szCs w:val="18"/>
                <w:color w:val="0000EE"/>
              </w:rPr>
            </w:pPr>
            <w:hyperlink r:id="rId114">
              <w:r>
                <w:rPr>
                  <w:rFonts w:ascii="Arial" w:cs="Arial" w:eastAsia="Arial" w:hAnsi="Arial"/>
                  <w:sz w:val="18"/>
                  <w:szCs w:val="18"/>
                  <w:color w:val="0000EE"/>
                </w:rPr>
                <w:t>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2007 Stock Plan Amendment, dated as of January 23, 2014 (incorporated herein by reference to Exhibit 10.6 to the Company’s Registration</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0" w:type="dxa"/>
            <w:vAlign w:val="bottom"/>
            <w:tcBorders>
              <w:top w:val="single" w:sz="8" w:color="0000EE"/>
            </w:tcBorders>
            <w:gridSpan w:val="21"/>
          </w:tcPr>
          <w:p>
            <w:pPr>
              <w:spacing w:after="0" w:line="190" w:lineRule="exact"/>
              <w:rPr>
                <w:rFonts w:ascii="Arial" w:cs="Arial" w:eastAsia="Arial" w:hAnsi="Arial"/>
                <w:sz w:val="18"/>
                <w:szCs w:val="18"/>
                <w:color w:val="0000EE"/>
              </w:rPr>
            </w:pPr>
            <w:hyperlink r:id="rId115">
              <w:r>
                <w:rPr>
                  <w:rFonts w:ascii="Arial" w:cs="Arial" w:eastAsia="Arial" w:hAnsi="Arial"/>
                  <w:sz w:val="18"/>
                  <w:szCs w:val="18"/>
                  <w:color w:val="0000EE"/>
                </w:rPr>
                <w:t>Statement on Form S-1 (File No. 333-208861), as filed with the SEC on January 4, 2016).</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9080" w:type="dxa"/>
            <w:vAlign w:val="bottom"/>
            <w:tcBorders>
              <w:bottom w:val="single" w:sz="8" w:color="0000EE"/>
            </w:tcBorders>
            <w:gridSpan w:val="10"/>
          </w:tcPr>
          <w:p>
            <w:pPr>
              <w:spacing w:after="0"/>
              <w:rPr>
                <w:rFonts w:ascii="Arial" w:cs="Arial" w:eastAsia="Arial" w:hAnsi="Arial"/>
                <w:sz w:val="18"/>
                <w:szCs w:val="18"/>
                <w:color w:val="0000EE"/>
                <w:w w:val="87"/>
              </w:rPr>
            </w:pPr>
            <w:hyperlink r:id="rId116">
              <w:r>
                <w:rPr>
                  <w:rFonts w:ascii="Arial" w:cs="Arial" w:eastAsia="Arial" w:hAnsi="Arial"/>
                  <w:sz w:val="18"/>
                  <w:szCs w:val="18"/>
                  <w:color w:val="0000EE"/>
                  <w:w w:val="87"/>
                </w:rPr>
                <w:t>2007 Stock Plan Amendment, dated as of December 17, 2014 (incorporated herein by reference to Exhibit 10.7 to the Company’s</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3"/>
          </w:tcPr>
          <w:p>
            <w:pPr>
              <w:spacing w:after="0" w:line="190" w:lineRule="exact"/>
              <w:rPr>
                <w:rFonts w:ascii="Arial" w:cs="Arial" w:eastAsia="Arial" w:hAnsi="Arial"/>
                <w:sz w:val="18"/>
                <w:szCs w:val="18"/>
                <w:color w:val="0000EE"/>
              </w:rPr>
            </w:pPr>
            <w:hyperlink r:id="rId116">
              <w:r>
                <w:rPr>
                  <w:rFonts w:ascii="Arial" w:cs="Arial" w:eastAsia="Arial" w:hAnsi="Arial"/>
                  <w:sz w:val="18"/>
                  <w:szCs w:val="18"/>
                  <w:color w:val="0000EE"/>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9580" w:type="dxa"/>
            <w:vAlign w:val="bottom"/>
            <w:tcBorders>
              <w:bottom w:val="single" w:sz="8" w:color="0000EE"/>
            </w:tcBorders>
            <w:gridSpan w:val="15"/>
          </w:tcPr>
          <w:p>
            <w:pPr>
              <w:spacing w:after="0"/>
              <w:rPr>
                <w:rFonts w:ascii="Arial" w:cs="Arial" w:eastAsia="Arial" w:hAnsi="Arial"/>
                <w:sz w:val="18"/>
                <w:szCs w:val="18"/>
                <w:color w:val="0000EE"/>
                <w:w w:val="88"/>
              </w:rPr>
            </w:pPr>
            <w:hyperlink r:id="rId117">
              <w:r>
                <w:rPr>
                  <w:rFonts w:ascii="Arial" w:cs="Arial" w:eastAsia="Arial" w:hAnsi="Arial"/>
                  <w:sz w:val="18"/>
                  <w:szCs w:val="18"/>
                  <w:color w:val="0000EE"/>
                  <w:w w:val="88"/>
                </w:rPr>
                <w:t>2007 Stock Plan Amendment, dated as of May 28, 2015 (incorporated herein by reference to Exhibit 10.8 to the Company’s Registration</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3"/>
          </w:tcPr>
          <w:p>
            <w:pPr>
              <w:spacing w:after="0" w:line="190" w:lineRule="exact"/>
              <w:rPr>
                <w:rFonts w:ascii="Arial" w:cs="Arial" w:eastAsia="Arial" w:hAnsi="Arial"/>
                <w:sz w:val="18"/>
                <w:szCs w:val="18"/>
                <w:color w:val="0000EE"/>
              </w:rPr>
            </w:pPr>
            <w:hyperlink r:id="rId117">
              <w:r>
                <w:rPr>
                  <w:rFonts w:ascii="Arial" w:cs="Arial" w:eastAsia="Arial" w:hAnsi="Arial"/>
                  <w:sz w:val="18"/>
                  <w:szCs w:val="18"/>
                  <w:color w:val="0000EE"/>
                </w:rPr>
                <w:t>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2007 Stock Plan Amendment, dated as of August 20, 2015 (incorporated herein by reference to Exhibit 10.9 to the Company’s Registration</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60" w:type="dxa"/>
            <w:vAlign w:val="bottom"/>
            <w:tcBorders>
              <w:top w:val="single" w:sz="8" w:color="0000EE"/>
            </w:tcBorders>
            <w:gridSpan w:val="19"/>
          </w:tcPr>
          <w:p>
            <w:pPr>
              <w:spacing w:after="0" w:line="190" w:lineRule="exact"/>
              <w:rPr>
                <w:rFonts w:ascii="Arial" w:cs="Arial" w:eastAsia="Arial" w:hAnsi="Arial"/>
                <w:sz w:val="18"/>
                <w:szCs w:val="18"/>
                <w:color w:val="0000EE"/>
              </w:rPr>
            </w:pPr>
            <w:hyperlink r:id="rId118">
              <w:r>
                <w:rPr>
                  <w:rFonts w:ascii="Arial" w:cs="Arial" w:eastAsia="Arial" w:hAnsi="Arial"/>
                  <w:sz w:val="18"/>
                  <w:szCs w:val="18"/>
                  <w:color w:val="0000EE"/>
                </w:rPr>
                <w:t>Statement on Form S-1 (File No. 333-208861), as filed with the SEC on January 4, 2016).</w:t>
              </w:r>
            </w:hyperlink>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Form of Incentive Stock Option Agreement under 2007 Stock Plan (incorporated herein by reference to Exhibit 10.10 to the Company’s</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3"/>
          </w:tcPr>
          <w:p>
            <w:pPr>
              <w:spacing w:after="0" w:line="190" w:lineRule="exact"/>
              <w:rPr>
                <w:rFonts w:ascii="Arial" w:cs="Arial" w:eastAsia="Arial" w:hAnsi="Arial"/>
                <w:sz w:val="18"/>
                <w:szCs w:val="18"/>
                <w:color w:val="0000EE"/>
              </w:rPr>
            </w:pPr>
            <w:hyperlink r:id="rId119">
              <w:r>
                <w:rPr>
                  <w:rFonts w:ascii="Arial" w:cs="Arial" w:eastAsia="Arial" w:hAnsi="Arial"/>
                  <w:sz w:val="18"/>
                  <w:szCs w:val="18"/>
                  <w:color w:val="0000EE"/>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Form of Non-Statutory Stock Option Agreement under 2007 Stock Plan (incorporated herein by reference to Exhibit 10.11 to the Company’s</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3"/>
          </w:tcPr>
          <w:p>
            <w:pPr>
              <w:spacing w:after="0" w:line="190" w:lineRule="exact"/>
              <w:rPr>
                <w:rFonts w:ascii="Arial" w:cs="Arial" w:eastAsia="Arial" w:hAnsi="Arial"/>
                <w:sz w:val="18"/>
                <w:szCs w:val="18"/>
                <w:color w:val="0000EE"/>
              </w:rPr>
            </w:pPr>
            <w:hyperlink r:id="rId120">
              <w:r>
                <w:rPr>
                  <w:rFonts w:ascii="Arial" w:cs="Arial" w:eastAsia="Arial" w:hAnsi="Arial"/>
                  <w:sz w:val="18"/>
                  <w:szCs w:val="18"/>
                  <w:color w:val="0000EE"/>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2015 Omnibus Incentive Plan (incorporated herein by reference to Exhibit 10.12 to the Company’s Registration Statement on Form S-8 (File</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3"/>
          </w:tcPr>
          <w:p>
            <w:pPr>
              <w:spacing w:after="0" w:line="190" w:lineRule="exact"/>
              <w:rPr>
                <w:rFonts w:ascii="Arial" w:cs="Arial" w:eastAsia="Arial" w:hAnsi="Arial"/>
                <w:sz w:val="18"/>
                <w:szCs w:val="18"/>
                <w:color w:val="0000EE"/>
              </w:rPr>
            </w:pPr>
            <w:hyperlink r:id="rId121">
              <w:r>
                <w:rPr>
                  <w:rFonts w:ascii="Arial" w:cs="Arial" w:eastAsia="Arial" w:hAnsi="Arial"/>
                  <w:sz w:val="18"/>
                  <w:szCs w:val="18"/>
                  <w:color w:val="0000EE"/>
                </w:rPr>
                <w:t>No. 333-210412), as filed with the SEC on March 25,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9640" w:type="dxa"/>
            <w:vAlign w:val="bottom"/>
            <w:tcBorders>
              <w:bottom w:val="single" w:sz="8" w:color="0000EE"/>
            </w:tcBorders>
            <w:gridSpan w:val="17"/>
          </w:tcPr>
          <w:p>
            <w:pP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Form of Incentive Stock Option Agreement under 2015 Omnibus Incentive Plan (incorporated herein by reference to Exhibit 10.13 to the</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Company’s Registration Statement on Form S-1 (File No. 333-208861), as filed with the SEC on January 4, 2016).</w:t>
              </w:r>
            </w:hyperlink>
          </w:p>
        </w:tc>
        <w:tc>
          <w:tcPr>
            <w:tcW w:w="18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Form of Non-Qualified Option Agreement under 2015 Omnibus Incentive Plan (incorporated herein by reference to Exhibit 10.14 to the</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Company’s Registration Statement on Form S-1 (File No. 333-208861), as filed with the SEC on January 4, 2016).</w:t>
              </w:r>
            </w:hyperlink>
          </w:p>
        </w:tc>
        <w:tc>
          <w:tcPr>
            <w:tcW w:w="18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9520" w:type="dxa"/>
            <w:vAlign w:val="bottom"/>
            <w:tcBorders>
              <w:bottom w:val="single" w:sz="8" w:color="0000EE"/>
            </w:tcBorders>
            <w:gridSpan w:val="12"/>
          </w:tcPr>
          <w:p>
            <w:pPr>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Form of Stock Unit Agreement under 2015 Omnibus Incentive Plan (incorporated herein by reference to Exhibit 10.1 to the Company’s</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Quarterly Report on Form 10-Q (File No. 001-37708), as filed with the SEC on August 6, 2020).</w:t>
              </w:r>
            </w:hyperlink>
          </w:p>
        </w:tc>
        <w:tc>
          <w:tcPr>
            <w:tcW w:w="308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Form of Deferred Settlement Stock Unit Agreement under 2015 Omnibus Incentive Plan (incorporated herein by reference to Exhibit 10.14</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920" w:type="dxa"/>
            <w:vAlign w:val="bottom"/>
            <w:tcBorders>
              <w:top w:val="single" w:sz="8" w:color="0000EE"/>
              <w:bottom w:val="single" w:sz="8" w:color="0000EE"/>
            </w:tcBorders>
            <w:gridSpan w:val="8"/>
          </w:tcPr>
          <w:p>
            <w:pPr>
              <w:spacing w:after="0" w:line="190"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to the Company’s Annual Report on Form 10-K (file No. 001-37708), as filed with the SEC on March 12, 2021).</w:t>
              </w:r>
            </w:hyperlink>
          </w:p>
        </w:tc>
        <w:tc>
          <w:tcPr>
            <w:tcW w:w="1860" w:type="dxa"/>
            <w:vAlign w:val="bottom"/>
            <w:tcBorders>
              <w:top w:val="single" w:sz="8" w:color="0000EE"/>
            </w:tcBorders>
            <w:gridSpan w:val="12"/>
          </w:tcPr>
          <w:p>
            <w:pPr>
              <w:spacing w:after="0"/>
              <w:rPr>
                <w:sz w:val="16"/>
                <w:szCs w:val="16"/>
                <w:color w:val="auto"/>
              </w:rPr>
            </w:pP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9820" w:type="dxa"/>
            <w:vAlign w:val="bottom"/>
            <w:tcBorders>
              <w:bottom w:val="single" w:sz="8" w:color="0000EE"/>
            </w:tcBorders>
            <w:gridSpan w:val="22"/>
          </w:tcPr>
          <w:p>
            <w:pPr>
              <w:spacing w:after="0"/>
              <w:rPr>
                <w:rFonts w:ascii="Arial" w:cs="Arial" w:eastAsia="Arial" w:hAnsi="Arial"/>
                <w:sz w:val="18"/>
                <w:szCs w:val="18"/>
                <w:color w:val="0000EE"/>
                <w:w w:val="87"/>
              </w:rPr>
            </w:pPr>
            <w:hyperlink r:id="rId126">
              <w:r>
                <w:rPr>
                  <w:rFonts w:ascii="Arial" w:cs="Arial" w:eastAsia="Arial" w:hAnsi="Arial"/>
                  <w:sz w:val="18"/>
                  <w:szCs w:val="18"/>
                  <w:color w:val="0000EE"/>
                  <w:w w:val="87"/>
                </w:rPr>
                <w:t>2015 Employee Stock Purchase Plan (incorporated herein by reference to Exhibit 4.16 to the Company’s Registration Statement on Form S-</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3"/>
          </w:tcPr>
          <w:p>
            <w:pPr>
              <w:spacing w:after="0" w:line="190" w:lineRule="exact"/>
              <w:rPr>
                <w:rFonts w:ascii="Arial" w:cs="Arial" w:eastAsia="Arial" w:hAnsi="Arial"/>
                <w:sz w:val="18"/>
                <w:szCs w:val="18"/>
                <w:color w:val="0000EE"/>
              </w:rPr>
            </w:pPr>
            <w:hyperlink r:id="rId126">
              <w:r>
                <w:rPr>
                  <w:rFonts w:ascii="Arial" w:cs="Arial" w:eastAsia="Arial" w:hAnsi="Arial"/>
                  <w:sz w:val="18"/>
                  <w:szCs w:val="18"/>
                  <w:color w:val="0000EE"/>
                </w:rPr>
                <w:t>8 (File No. 333-210412), as filed with the SEC on March 25,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Amended and Restated Executive Employment Agreement by and between the Company and Briggs W. Morrison, M.D., dated as of</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00" w:type="dxa"/>
            <w:vAlign w:val="bottom"/>
            <w:tcBorders>
              <w:top w:val="single" w:sz="8" w:color="0000EE"/>
            </w:tcBorders>
            <w:gridSpan w:val="11"/>
          </w:tcPr>
          <w:p>
            <w:pPr>
              <w:spacing w:after="0" w:line="190" w:lineRule="exact"/>
              <w:rPr>
                <w:rFonts w:ascii="Arial" w:cs="Arial" w:eastAsia="Arial" w:hAnsi="Arial"/>
                <w:sz w:val="18"/>
                <w:szCs w:val="18"/>
                <w:color w:val="0000EE"/>
              </w:rPr>
            </w:pPr>
            <w:hyperlink w:anchor="page118">
              <w:r>
                <w:rPr>
                  <w:rFonts w:ascii="Arial" w:cs="Arial" w:eastAsia="Arial" w:hAnsi="Arial"/>
                  <w:sz w:val="18"/>
                  <w:szCs w:val="18"/>
                  <w:color w:val="0000EE"/>
                </w:rPr>
                <w:t>February 2, 2022.</w:t>
              </w:r>
            </w:hyperlink>
          </w:p>
        </w:tc>
        <w:tc>
          <w:tcPr>
            <w:tcW w:w="5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480" w:type="dxa"/>
            <w:vAlign w:val="bottom"/>
            <w:gridSpan w:val="1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Amended and Restated Executive Employment Agreement by and between the Company and Michael A. Metzger, dated as of February 2,</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84"/>
              </w:rPr>
            </w:pPr>
            <w:hyperlink w:anchor="page140">
              <w:r>
                <w:rPr>
                  <w:rFonts w:ascii="Arial" w:cs="Arial" w:eastAsia="Arial" w:hAnsi="Arial"/>
                  <w:sz w:val="18"/>
                  <w:szCs w:val="18"/>
                  <w:color w:val="0000EE"/>
                  <w:w w:val="84"/>
                </w:rPr>
                <w:t>2022.</w:t>
              </w:r>
            </w:hyperlink>
          </w:p>
        </w:tc>
        <w:tc>
          <w:tcPr>
            <w:tcW w:w="840" w:type="dxa"/>
            <w:vAlign w:val="bottom"/>
            <w:tcBorders>
              <w:top w:val="single" w:sz="8" w:color="0000EE"/>
            </w:tcBorders>
          </w:tcPr>
          <w:p>
            <w:pPr>
              <w:spacing w:after="0"/>
              <w:rPr>
                <w:sz w:val="16"/>
                <w:szCs w:val="16"/>
                <w:color w:val="auto"/>
              </w:rPr>
            </w:pPr>
          </w:p>
        </w:tc>
        <w:tc>
          <w:tcPr>
            <w:tcW w:w="30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4"/>
          </w:tcPr>
          <w:p>
            <w:pPr>
              <w:ind w:left="4180"/>
              <w:spacing w:after="0"/>
              <w:rPr>
                <w:sz w:val="20"/>
                <w:szCs w:val="20"/>
                <w:color w:val="auto"/>
              </w:rPr>
            </w:pPr>
            <w:r>
              <w:rPr>
                <w:rFonts w:ascii="Arial" w:cs="Arial" w:eastAsia="Arial" w:hAnsi="Arial"/>
                <w:sz w:val="18"/>
                <w:szCs w:val="18"/>
                <w:color w:val="auto"/>
              </w:rPr>
              <w:t>75</w:t>
            </w: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20" w:type="dxa"/>
            <w:vAlign w:val="bottom"/>
            <w:gridSpan w:val="21"/>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1360" w:type="dxa"/>
            <w:vAlign w:val="bottom"/>
            <w:gridSpan w:val="2"/>
          </w:tcPr>
          <w:p>
            <w:pPr>
              <w:ind w:left="500"/>
              <w:spacing w:after="0"/>
              <w:rPr>
                <w:sz w:val="20"/>
                <w:szCs w:val="20"/>
                <w:color w:val="auto"/>
              </w:rPr>
            </w:pPr>
            <w:r>
              <w:rPr>
                <w:rFonts w:ascii="Arial" w:cs="Arial" w:eastAsia="Arial" w:hAnsi="Arial"/>
                <w:sz w:val="14"/>
                <w:szCs w:val="14"/>
                <w:b w:val="1"/>
                <w:bCs w:val="1"/>
                <w:color w:val="auto"/>
              </w:rPr>
              <w:t>No.</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2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1"/>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9740" w:type="dxa"/>
            <w:vAlign w:val="bottom"/>
            <w:tcBorders>
              <w:top w:val="single" w:sz="8" w:color="auto"/>
              <w:bottom w:val="single" w:sz="8" w:color="0000EE"/>
            </w:tcBorders>
            <w:gridSpan w:val="19"/>
          </w:tcPr>
          <w:p>
            <w:pPr>
              <w:spacing w:after="0"/>
              <w:rPr>
                <w:rFonts w:ascii="Arial" w:cs="Arial" w:eastAsia="Arial" w:hAnsi="Arial"/>
                <w:sz w:val="18"/>
                <w:szCs w:val="18"/>
                <w:color w:val="0000EE"/>
                <w:w w:val="88"/>
              </w:rPr>
            </w:pPr>
            <w:hyperlink r:id="rId129">
              <w:r>
                <w:rPr>
                  <w:rFonts w:ascii="Arial" w:cs="Arial" w:eastAsia="Arial" w:hAnsi="Arial"/>
                  <w:sz w:val="18"/>
                  <w:szCs w:val="18"/>
                  <w:color w:val="0000EE"/>
                  <w:w w:val="88"/>
                </w:rPr>
                <w:t>Amended and Restated Executive Employment Agreement by and between the Company and Michael L. Meyers, M.D., Ph.D., dated as of</w:t>
              </w:r>
            </w:hyperlink>
          </w:p>
        </w:tc>
        <w:tc>
          <w:tcPr>
            <w:tcW w:w="140" w:type="dxa"/>
            <w:vAlign w:val="bottom"/>
            <w:tcBorders>
              <w:top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40" w:type="dxa"/>
            <w:vAlign w:val="bottom"/>
            <w:tcBorders>
              <w:bottom w:val="single" w:sz="8" w:color="0000EE"/>
            </w:tcBorders>
            <w:gridSpan w:val="24"/>
          </w:tcPr>
          <w:p>
            <w:pPr>
              <w:spacing w:after="0" w:line="190"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April 27, 2020 (incorporated herein by reference to Exhibit 10.6 to the Company’s Quarterly Report on Form 10-Q (File No. 001-37708), as</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filed with the SEC on May 7, 2020).</w:t>
              </w:r>
            </w:hyperlink>
          </w:p>
        </w:tc>
        <w:tc>
          <w:tcPr>
            <w:tcW w:w="732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Non-employee Director Compensation Policy, as amended, dated as of February 2, 2022.</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9800" w:type="dxa"/>
            <w:vAlign w:val="bottom"/>
            <w:tcBorders>
              <w:bottom w:val="single" w:sz="8" w:color="0000EE"/>
            </w:tcBorders>
            <w:gridSpan w:val="22"/>
          </w:tcPr>
          <w:p>
            <w:pPr>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Form of Indemnification Agreement by and between the company and each of its directors and officers (incorporated herein by reference to</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Exhibit 10.21 to the Company’s Registration Statement on Form S-1 (File No. 333-208861), as filed with the SEC on January 4, 2016).</w:t>
              </w:r>
            </w:hyperlink>
          </w:p>
        </w:tc>
        <w:tc>
          <w:tcPr>
            <w:tcW w:w="3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9820" w:type="dxa"/>
            <w:vAlign w:val="bottom"/>
            <w:tcBorders>
              <w:bottom w:val="single" w:sz="8" w:color="0000EE"/>
            </w:tcBorders>
            <w:gridSpan w:val="23"/>
          </w:tcPr>
          <w:p>
            <w:pPr>
              <w:spacing w:after="0"/>
              <w:rPr>
                <w:rFonts w:ascii="Arial" w:cs="Arial" w:eastAsia="Arial" w:hAnsi="Arial"/>
                <w:sz w:val="18"/>
                <w:szCs w:val="18"/>
                <w:color w:val="0000EE"/>
                <w:w w:val="87"/>
              </w:rPr>
            </w:pPr>
            <w:hyperlink r:id="rId131">
              <w:r>
                <w:rPr>
                  <w:rFonts w:ascii="Arial" w:cs="Arial" w:eastAsia="Arial" w:hAnsi="Arial"/>
                  <w:sz w:val="18"/>
                  <w:szCs w:val="18"/>
                  <w:color w:val="0000EE"/>
                  <w:w w:val="87"/>
                </w:rPr>
                <w:t>License, Development and Commercialization Agreement by and between the company and Bayer Schering Pharma AG, dated as of March</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tcBorders>
              <w:bottom w:val="single" w:sz="8" w:color="0000EE"/>
            </w:tcBorders>
            <w:gridSpan w:val="17"/>
          </w:tcPr>
          <w:p>
            <w:pPr>
              <w:spacing w:after="0" w:line="190"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26, 2007 (incorporated herein by reference to Exhibit 10.22 to the Company’s Registration Statement on Form S-1 (File No. 333-208861),</w:t>
              </w:r>
            </w:hyperlink>
          </w:p>
        </w:tc>
        <w:tc>
          <w:tcPr>
            <w:tcW w:w="1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rPr>
            </w:pPr>
            <w:hyperlink r:id="rId131">
              <w:r>
                <w:rPr>
                  <w:rFonts w:ascii="Arial" w:cs="Arial" w:eastAsia="Arial" w:hAnsi="Arial"/>
                  <w:sz w:val="18"/>
                  <w:szCs w:val="18"/>
                  <w:color w:val="0000EE"/>
                </w:rPr>
                <w:t>as filed with the SEC on January 4, 2016).</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10.22†</w:t>
            </w:r>
          </w:p>
        </w:tc>
        <w:tc>
          <w:tcPr>
            <w:tcW w:w="9560" w:type="dxa"/>
            <w:vAlign w:val="bottom"/>
            <w:tcBorders>
              <w:bottom w:val="single" w:sz="8" w:color="0000EE"/>
            </w:tcBorders>
            <w:gridSpan w:val="13"/>
          </w:tcPr>
          <w:p>
            <w:pPr>
              <w:spacing w:after="0"/>
              <w:rPr>
                <w:rFonts w:ascii="Arial" w:cs="Arial" w:eastAsia="Arial" w:hAnsi="Arial"/>
                <w:sz w:val="18"/>
                <w:szCs w:val="18"/>
                <w:color w:val="0000EE"/>
                <w:w w:val="88"/>
              </w:rPr>
            </w:pPr>
            <w:hyperlink r:id="rId132">
              <w:r>
                <w:rPr>
                  <w:rFonts w:ascii="Arial" w:cs="Arial" w:eastAsia="Arial" w:hAnsi="Arial"/>
                  <w:sz w:val="18"/>
                  <w:szCs w:val="18"/>
                  <w:color w:val="0000EE"/>
                  <w:w w:val="88"/>
                </w:rPr>
                <w:t>First Amendment to the License, Development and Commercialization Agreement by and between the company and Bayer Pharma AG,</w:t>
              </w:r>
            </w:hyperlink>
          </w:p>
        </w:tc>
        <w:tc>
          <w:tcPr>
            <w:tcW w:w="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20" w:type="dxa"/>
            <w:vAlign w:val="bottom"/>
            <w:tcBorders>
              <w:bottom w:val="single" w:sz="8" w:color="0000EE"/>
            </w:tcBorders>
            <w:gridSpan w:val="23"/>
          </w:tcPr>
          <w:p>
            <w:pPr>
              <w:spacing w:after="0" w:line="190"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dated as of October 13, 2012 (incorporated herein by reference to Exhibit 10.23 to the Company’s Registration Statement on Form S-1 (File</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rPr>
            </w:pPr>
            <w:hyperlink r:id="rId132">
              <w:r>
                <w:rPr>
                  <w:rFonts w:ascii="Arial" w:cs="Arial" w:eastAsia="Arial" w:hAnsi="Arial"/>
                  <w:sz w:val="18"/>
                  <w:szCs w:val="18"/>
                  <w:color w:val="0000EE"/>
                </w:rPr>
                <w:t>No. 333-208861), as filed with the SEC on January 4,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Arial" w:cs="Arial" w:eastAsia="Arial" w:hAnsi="Arial"/>
                <w:sz w:val="18"/>
                <w:szCs w:val="18"/>
                <w:color w:val="0000EE"/>
                <w:w w:val="87"/>
              </w:rPr>
            </w:pPr>
            <w:hyperlink r:id="rId133">
              <w:r>
                <w:rPr>
                  <w:rFonts w:ascii="Arial" w:cs="Arial" w:eastAsia="Arial" w:hAnsi="Arial"/>
                  <w:sz w:val="18"/>
                  <w:szCs w:val="18"/>
                  <w:color w:val="0000EE"/>
                  <w:w w:val="87"/>
                </w:rPr>
                <w:t>Second Amendment to the License, Development and Commercialization Agreement by and between the company and Bayer Pharma AG,</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dated as of February 1, 2013 (incorporated herein by reference to Exhibit 10.24 to the Company’s Registration Statement on Form S-1 (File</w:t>
              </w:r>
            </w:hyperlink>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rPr>
            </w:pPr>
            <w:hyperlink r:id="rId133">
              <w:r>
                <w:rPr>
                  <w:rFonts w:ascii="Arial" w:cs="Arial" w:eastAsia="Arial" w:hAnsi="Arial"/>
                  <w:sz w:val="18"/>
                  <w:szCs w:val="18"/>
                  <w:color w:val="0000EE"/>
                </w:rPr>
                <w:t>No. 333-208861), as filed with the SEC on January 4, 2016).</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10.24†</w:t>
            </w:r>
          </w:p>
        </w:tc>
        <w:tc>
          <w:tcPr>
            <w:tcW w:w="9640" w:type="dxa"/>
            <w:vAlign w:val="bottom"/>
            <w:tcBorders>
              <w:bottom w:val="single" w:sz="8" w:color="0000EE"/>
            </w:tcBorders>
            <w:gridSpan w:val="15"/>
          </w:tcPr>
          <w:p>
            <w:pPr>
              <w:spacing w:after="0"/>
              <w:rPr>
                <w:rFonts w:ascii="Arial" w:cs="Arial" w:eastAsia="Arial" w:hAnsi="Arial"/>
                <w:sz w:val="18"/>
                <w:szCs w:val="18"/>
                <w:color w:val="0000EE"/>
                <w:w w:val="88"/>
              </w:rPr>
            </w:pPr>
            <w:hyperlink r:id="rId134">
              <w:r>
                <w:rPr>
                  <w:rFonts w:ascii="Arial" w:cs="Arial" w:eastAsia="Arial" w:hAnsi="Arial"/>
                  <w:sz w:val="18"/>
                  <w:szCs w:val="18"/>
                  <w:color w:val="0000EE"/>
                  <w:w w:val="88"/>
                </w:rPr>
                <w:t>Third Amendment to the License, Development and Commercialization Agreement by and between the company and Bayer Pharma AG,</w:t>
              </w:r>
            </w:hyperlink>
          </w:p>
        </w:tc>
        <w:tc>
          <w:tcPr>
            <w:tcW w:w="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dated as of October 9, 2013 (incorporated herein by reference to Exhibit 10.25 to the Company’s Registration Statement on Form S-1 (File</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Borders>
              <w:top w:val="single" w:sz="8" w:color="0000EE"/>
            </w:tcBorders>
            <w:gridSpan w:val="18"/>
          </w:tcPr>
          <w:p>
            <w:pPr>
              <w:spacing w:after="0" w:line="190" w:lineRule="exact"/>
              <w:rPr>
                <w:rFonts w:ascii="Arial" w:cs="Arial" w:eastAsia="Arial" w:hAnsi="Arial"/>
                <w:sz w:val="18"/>
                <w:szCs w:val="18"/>
                <w:color w:val="0000EE"/>
              </w:rPr>
            </w:pPr>
            <w:hyperlink r:id="rId134">
              <w:r>
                <w:rPr>
                  <w:rFonts w:ascii="Arial" w:cs="Arial" w:eastAsia="Arial" w:hAnsi="Arial"/>
                  <w:sz w:val="18"/>
                  <w:szCs w:val="18"/>
                  <w:color w:val="0000EE"/>
                </w:rPr>
                <w:t>No. 333-208861), as filed with the SEC on January 4, 2016).</w:t>
              </w:r>
            </w:hyperlink>
          </w:p>
        </w:tc>
        <w:tc>
          <w:tcPr>
            <w:tcW w:w="1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9820" w:type="dxa"/>
            <w:vAlign w:val="bottom"/>
            <w:tcBorders>
              <w:bottom w:val="single" w:sz="8" w:color="0000EE"/>
            </w:tcBorders>
            <w:gridSpan w:val="23"/>
          </w:tcPr>
          <w:p>
            <w:pPr>
              <w:spacing w:after="0"/>
              <w:rPr>
                <w:rFonts w:ascii="Arial" w:cs="Arial" w:eastAsia="Arial" w:hAnsi="Arial"/>
                <w:sz w:val="18"/>
                <w:szCs w:val="18"/>
                <w:color w:val="0000EE"/>
                <w:w w:val="87"/>
              </w:rPr>
            </w:pPr>
            <w:hyperlink r:id="rId135">
              <w:r>
                <w:rPr>
                  <w:rFonts w:ascii="Arial" w:cs="Arial" w:eastAsia="Arial" w:hAnsi="Arial"/>
                  <w:sz w:val="18"/>
                  <w:szCs w:val="18"/>
                  <w:color w:val="0000EE"/>
                  <w:w w:val="87"/>
                </w:rPr>
                <w:t>Letter Agreement by and between the company and Bayer Pharma AG, dated as of September 18, 2014 (incorporated herein by reference to</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Exhibit 10.26 to the Company’s 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180" w:type="dxa"/>
            <w:vAlign w:val="bottom"/>
            <w:gridSpan w:val="5"/>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9880" w:type="dxa"/>
            <w:vAlign w:val="bottom"/>
            <w:gridSpan w:val="26"/>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License Agreement by and between the Company and UCB Biopharma Sprl, dated as of July 1, 2016 (incorporated herein by reference to</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60" w:type="dxa"/>
            <w:vAlign w:val="bottom"/>
            <w:tcBorders>
              <w:top w:val="single" w:sz="8" w:color="0000EE"/>
              <w:bottom w:val="single" w:sz="8" w:color="0000EE"/>
            </w:tcBorders>
            <w:gridSpan w:val="8"/>
          </w:tcPr>
          <w:p>
            <w:pPr>
              <w:spacing w:after="0" w:line="190"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Exhibit 10.1 to the Company’s Current Report on Form 8-K (File No. 001- 37708), as filed with the SEC on October 7, 2016).</w:t>
              </w:r>
            </w:hyperlink>
          </w:p>
        </w:tc>
        <w:tc>
          <w:tcPr>
            <w:tcW w:w="800" w:type="dxa"/>
            <w:vAlign w:val="bottom"/>
            <w:tcBorders>
              <w:top w:val="single" w:sz="8" w:color="0000EE"/>
            </w:tcBorders>
            <w:gridSpan w:val="8"/>
          </w:tcPr>
          <w:p>
            <w:pPr>
              <w:spacing w:after="0"/>
              <w:rPr>
                <w:sz w:val="16"/>
                <w:szCs w:val="16"/>
                <w:color w:val="auto"/>
              </w:rPr>
            </w:pPr>
          </w:p>
        </w:tc>
        <w:tc>
          <w:tcPr>
            <w:tcW w:w="22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9780" w:type="dxa"/>
            <w:vAlign w:val="bottom"/>
            <w:tcBorders>
              <w:bottom w:val="single" w:sz="8" w:color="0000EE"/>
            </w:tcBorders>
            <w:gridSpan w:val="21"/>
          </w:tcPr>
          <w:p>
            <w:pPr>
              <w:spacing w:after="0"/>
              <w:rPr>
                <w:rFonts w:ascii="Arial" w:cs="Arial" w:eastAsia="Arial" w:hAnsi="Arial"/>
                <w:sz w:val="18"/>
                <w:szCs w:val="18"/>
                <w:color w:val="0000EE"/>
                <w:w w:val="88"/>
              </w:rPr>
            </w:pPr>
            <w:hyperlink r:id="rId137">
              <w:r>
                <w:rPr>
                  <w:rFonts w:ascii="Arial" w:cs="Arial" w:eastAsia="Arial" w:hAnsi="Arial"/>
                  <w:sz w:val="18"/>
                  <w:szCs w:val="18"/>
                  <w:color w:val="0000EE"/>
                  <w:w w:val="88"/>
                </w:rPr>
                <w:t>Side Agreement by and between the Company and UCB Biopharma Sprl, dated March 8, 2017 (incorporated herein by reference to Exhibit</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4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4</w:t>
              </w:r>
              <w:r>
                <w:rPr>
                  <w:rFonts w:ascii="Arial" w:cs="Arial" w:eastAsia="Arial" w:hAnsi="Arial"/>
                  <w:sz w:val="18"/>
                  <w:szCs w:val="18"/>
                  <w:color w:val="0000EE"/>
                  <w:w w:val="89"/>
                </w:rPr>
                <w:t xml:space="preserve"> to the Company’s Quarterly Report on Form 10-Q (File No. 001-37708), as filed with the SEC on May 9, 2017).</w:t>
              </w:r>
            </w:hyperlink>
          </w:p>
        </w:tc>
        <w:tc>
          <w:tcPr>
            <w:tcW w:w="164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10.28†</w:t>
            </w:r>
          </w:p>
        </w:tc>
        <w:tc>
          <w:tcPr>
            <w:tcW w:w="9620" w:type="dxa"/>
            <w:vAlign w:val="bottom"/>
            <w:tcBorders>
              <w:bottom w:val="single" w:sz="8" w:color="0000EE"/>
            </w:tcBorders>
            <w:gridSpan w:val="14"/>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Amendment No. 1 to License Agreement by and between the Company and UCB Biopharma Sprl, dated as of July 9, 2019 (incorporated</w:t>
              </w:r>
            </w:hyperlink>
          </w:p>
        </w:tc>
        <w:tc>
          <w:tcPr>
            <w:tcW w:w="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4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herein by reference to Exhibit 10.2 to the Company’s Quarterly Report on Form 10-Q (File No. 001-37708), as filed with the SEC on</w:t>
              </w:r>
            </w:hyperlink>
          </w:p>
        </w:tc>
        <w:tc>
          <w:tcPr>
            <w:tcW w:w="54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rPr>
            </w:pPr>
            <w:hyperlink r:id="rId138">
              <w:r>
                <w:rPr>
                  <w:rFonts w:ascii="Arial" w:cs="Arial" w:eastAsia="Arial" w:hAnsi="Arial"/>
                  <w:sz w:val="18"/>
                  <w:szCs w:val="18"/>
                  <w:color w:val="0000EE"/>
                </w:rPr>
                <w:t>November 7, 2019).</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Third Amended and Restated Investors’ Rights Agreement by and among the company and the parties thereto, dated as of August 21, 2015</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(incorporated herein by reference to Exhibit 10.1 to the Company’s Registration Statement on Form S-1 (File No. 333-208861), as filed with</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2"/>
          </w:tcPr>
          <w:p>
            <w:pPr>
              <w:spacing w:after="0" w:line="190" w:lineRule="exact"/>
              <w:rPr>
                <w:rFonts w:ascii="Arial" w:cs="Arial" w:eastAsia="Arial" w:hAnsi="Arial"/>
                <w:sz w:val="18"/>
                <w:szCs w:val="18"/>
                <w:color w:val="0000EE"/>
                <w:w w:val="86"/>
              </w:rPr>
            </w:pPr>
            <w:hyperlink r:id="rId139">
              <w:r>
                <w:rPr>
                  <w:rFonts w:ascii="Arial" w:cs="Arial" w:eastAsia="Arial" w:hAnsi="Arial"/>
                  <w:sz w:val="18"/>
                  <w:szCs w:val="18"/>
                  <w:color w:val="0000EE"/>
                  <w:w w:val="86"/>
                </w:rPr>
                <w:t>the SEC on January 4, 2016).</w:t>
              </w:r>
            </w:hyperlink>
          </w:p>
        </w:tc>
        <w:tc>
          <w:tcPr>
            <w:tcW w:w="7800" w:type="dxa"/>
            <w:vAlign w:val="bottom"/>
            <w:tcBorders>
              <w:top w:val="single" w:sz="8" w:color="0000EE"/>
            </w:tcBorders>
            <w:gridSpan w:val="2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10.30†</w:t>
            </w:r>
          </w:p>
        </w:tc>
        <w:tc>
          <w:tcPr>
            <w:tcW w:w="9880" w:type="dxa"/>
            <w:vAlign w:val="bottom"/>
            <w:gridSpan w:val="26"/>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License Agreement by and between the Company and Vitae Pharmaceuticals, Inc., dated as of October 13, 2017 (incorporated herein by</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40" w:type="dxa"/>
            <w:vAlign w:val="bottom"/>
            <w:gridSpan w:val="12"/>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6"/>
          </w:tcPr>
          <w:p>
            <w:pPr>
              <w:spacing w:after="0" w:line="190"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reference to Exhibit 10.47 to the Company’s Annual Report on Form 10-K (File No. 001-37708), as filed with the SEC on March 8, 2018).</w:t>
              </w:r>
            </w:hyperlink>
          </w:p>
        </w:tc>
        <w:tc>
          <w:tcPr>
            <w:tcW w:w="0" w:type="dxa"/>
            <w:vAlign w:val="bottom"/>
          </w:tcPr>
          <w:p>
            <w:pPr>
              <w:spacing w:after="0"/>
              <w:rPr>
                <w:sz w:val="1"/>
                <w:szCs w:val="1"/>
                <w:color w:val="auto"/>
              </w:rPr>
            </w:pPr>
          </w:p>
        </w:tc>
      </w:tr>
      <w:tr>
        <w:trPr>
          <w:trHeight w:val="558"/>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tcBorders>
              <w:top w:val="single" w:sz="8" w:color="0000EE"/>
            </w:tcBorders>
            <w:gridSpan w:val="6"/>
          </w:tcPr>
          <w:p>
            <w:pPr>
              <w:ind w:left="4180"/>
              <w:spacing w:after="0"/>
              <w:rPr>
                <w:sz w:val="20"/>
                <w:szCs w:val="20"/>
                <w:color w:val="auto"/>
              </w:rPr>
            </w:pPr>
            <w:r>
              <w:rPr>
                <w:rFonts w:ascii="Arial" w:cs="Arial" w:eastAsia="Arial" w:hAnsi="Arial"/>
                <w:sz w:val="18"/>
                <w:szCs w:val="18"/>
                <w:color w:val="auto"/>
              </w:rPr>
              <w:t>76</w:t>
            </w:r>
          </w:p>
        </w:tc>
        <w:tc>
          <w:tcPr>
            <w:tcW w:w="20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00" w:type="dxa"/>
            <w:vAlign w:val="bottom"/>
            <w:gridSpan w:val="13"/>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30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9880" w:type="dxa"/>
            <w:vAlign w:val="bottom"/>
            <w:gridSpan w:val="20"/>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Amendment No. 1 to License Agreement by and between the Company and Vitae Pharmaceuticals, Inc., dated as of January 25, 2019</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40" w:type="dxa"/>
            <w:vAlign w:val="bottom"/>
            <w:tcBorders>
              <w:bottom w:val="single" w:sz="8" w:color="0000EE"/>
            </w:tcBorders>
            <w:gridSpan w:val="17"/>
          </w:tcPr>
          <w:p>
            <w:pPr>
              <w:spacing w:after="0" w:line="190"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(incorporated herein by reference to Exhibit 10.1 to the Company’s Quarterly Report on Form 10-Q (File No. 001-37708), as filed with the</w:t>
              </w:r>
            </w:hyperlink>
          </w:p>
        </w:tc>
        <w:tc>
          <w:tcPr>
            <w:tcW w:w="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SEC on May 8, 2019).</w:t>
              </w:r>
            </w:hyperlink>
          </w:p>
        </w:tc>
        <w:tc>
          <w:tcPr>
            <w:tcW w:w="830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9880" w:type="dxa"/>
            <w:vAlign w:val="bottom"/>
            <w:gridSpan w:val="20"/>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Collaboration and License Agreement by and between the Company and Incyte Corporation, dated as of September 24, 2021 (incorporated</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60" w:type="dxa"/>
            <w:vAlign w:val="bottom"/>
            <w:tcBorders>
              <w:top w:val="single" w:sz="8" w:color="0000EE"/>
              <w:bottom w:val="single" w:sz="8" w:color="0000EE"/>
            </w:tcBorders>
            <w:gridSpan w:val="11"/>
          </w:tcPr>
          <w:p>
            <w:pPr>
              <w:spacing w:after="0" w:line="190"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herein by reference to Exhibit 10.1 to the Company’s Quarterly Report on Form 10-Q (File No. 001-37708), as filed with the SEC on</w:t>
              </w:r>
            </w:hyperlink>
          </w:p>
        </w:tc>
        <w:tc>
          <w:tcPr>
            <w:tcW w:w="380" w:type="dxa"/>
            <w:vAlign w:val="bottom"/>
            <w:tcBorders>
              <w:top w:val="single" w:sz="8" w:color="0000EE"/>
            </w:tcBorders>
            <w:gridSpan w:val="6"/>
          </w:tcPr>
          <w:p>
            <w:pPr>
              <w:spacing w:after="0"/>
              <w:rPr>
                <w:sz w:val="16"/>
                <w:szCs w:val="16"/>
                <w:color w:val="auto"/>
              </w:rPr>
            </w:pPr>
          </w:p>
        </w:tc>
        <w:tc>
          <w:tcPr>
            <w:tcW w:w="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0000EE"/>
            </w:tcBorders>
            <w:gridSpan w:val="2"/>
          </w:tcPr>
          <w:p>
            <w:pPr>
              <w:spacing w:after="0" w:line="190" w:lineRule="exact"/>
              <w:rPr>
                <w:rFonts w:ascii="Arial" w:cs="Arial" w:eastAsia="Arial" w:hAnsi="Arial"/>
                <w:sz w:val="18"/>
                <w:szCs w:val="18"/>
                <w:color w:val="0000EE"/>
                <w:w w:val="87"/>
              </w:rPr>
            </w:pPr>
            <w:hyperlink r:id="rId144">
              <w:r>
                <w:rPr>
                  <w:rFonts w:ascii="Arial" w:cs="Arial" w:eastAsia="Arial" w:hAnsi="Arial"/>
                  <w:sz w:val="18"/>
                  <w:szCs w:val="18"/>
                  <w:color w:val="0000EE"/>
                  <w:w w:val="87"/>
                </w:rPr>
                <w:t>November 15, 2021).</w:t>
              </w:r>
            </w:hyperlink>
          </w:p>
        </w:tc>
        <w:tc>
          <w:tcPr>
            <w:tcW w:w="838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9240" w:type="dxa"/>
            <w:vAlign w:val="bottom"/>
            <w:tcBorders>
              <w:bottom w:val="single" w:sz="8" w:color="0000EE"/>
            </w:tcBorders>
            <w:gridSpan w:val="10"/>
          </w:tcPr>
          <w:p>
            <w:pPr>
              <w:spacing w:after="0"/>
              <w:rPr>
                <w:rFonts w:ascii="Arial" w:cs="Arial" w:eastAsia="Arial" w:hAnsi="Arial"/>
                <w:sz w:val="18"/>
                <w:szCs w:val="18"/>
                <w:color w:val="0000EE"/>
                <w:w w:val="87"/>
              </w:rPr>
            </w:pPr>
            <w:hyperlink r:id="rId145">
              <w:r>
                <w:rPr>
                  <w:rFonts w:ascii="Arial" w:cs="Arial" w:eastAsia="Arial" w:hAnsi="Arial"/>
                  <w:sz w:val="18"/>
                  <w:szCs w:val="18"/>
                  <w:color w:val="0000EE"/>
                  <w:w w:val="87"/>
                </w:rPr>
                <w:t>Purchase Agreement by and between the Company and Incyte Corporation, dated as of September 24, 2021 (incorporated herein by</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reference to Exhibit 10.2 to the Company’s Quarterly Report on Form 10-Q (File No. 001-37708), as filed with the SEC on November 15,</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2021).</w:t>
              </w:r>
            </w:hyperlink>
          </w:p>
        </w:tc>
        <w:tc>
          <w:tcPr>
            <w:tcW w:w="10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9860" w:type="dxa"/>
            <w:vAlign w:val="bottom"/>
            <w:tcBorders>
              <w:bottom w:val="single" w:sz="8" w:color="0000EE"/>
            </w:tcBorders>
            <w:gridSpan w:val="19"/>
          </w:tcPr>
          <w:p>
            <w:pPr>
              <w:spacing w:after="0"/>
              <w:rPr>
                <w:rFonts w:ascii="Arial" w:cs="Arial" w:eastAsia="Arial" w:hAnsi="Arial"/>
                <w:sz w:val="18"/>
                <w:szCs w:val="18"/>
                <w:color w:val="0000EE"/>
                <w:w w:val="87"/>
              </w:rPr>
            </w:pPr>
            <w:hyperlink r:id="rId146">
              <w:r>
                <w:rPr>
                  <w:rFonts w:ascii="Arial" w:cs="Arial" w:eastAsia="Arial" w:hAnsi="Arial"/>
                  <w:sz w:val="18"/>
                  <w:szCs w:val="18"/>
                  <w:color w:val="0000EE"/>
                  <w:w w:val="87"/>
                </w:rPr>
                <w:t>Loan and Security Agreement dated February 7, 2020 between Syndax Pharmaceuticals, Inc. and Hercules Capital, Inc. (incorporated herein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by reference to Exhibit 10.2 to the Company’s Quarterly Report on Form 10-Q (File No. 001-37708), as filed with the SEC on May 7,</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86"/>
              </w:rPr>
            </w:pPr>
            <w:hyperlink r:id="rId146">
              <w:r>
                <w:rPr>
                  <w:rFonts w:ascii="Arial" w:cs="Arial" w:eastAsia="Arial" w:hAnsi="Arial"/>
                  <w:sz w:val="18"/>
                  <w:szCs w:val="18"/>
                  <w:color w:val="0000EE"/>
                  <w:w w:val="86"/>
                </w:rPr>
                <w:t>2020).</w:t>
              </w:r>
            </w:hyperlink>
          </w:p>
        </w:tc>
        <w:tc>
          <w:tcPr>
            <w:tcW w:w="10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97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First Amendment to the Company’s Loan and Security Agreement with the several banks and financial institutions or entities from time-to-</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tcBorders>
              <w:bottom w:val="single" w:sz="8" w:color="0000EE"/>
            </w:tcBorders>
            <w:gridSpan w:val="13"/>
          </w:tcPr>
          <w:p>
            <w:pPr>
              <w:spacing w:after="0" w:line="190"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time party thereto and Hercules Capital, Inc., in its capacity as administrative agent for itself and the Lender, dated December 22, 2021.</w:t>
              </w:r>
            </w:hyperlink>
          </w:p>
        </w:tc>
        <w:tc>
          <w:tcPr>
            <w:tcW w:w="3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Subsidiaries of the Registrant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Power of Attorney (included on the signature page to this report).</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0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16">
              <w:r>
                <w:rPr>
                  <w:rFonts w:ascii="Arial" w:cs="Arial" w:eastAsia="Arial" w:hAnsi="Arial"/>
                  <w:sz w:val="18"/>
                  <w:szCs w:val="18"/>
                  <w:color w:val="0000EE"/>
                  <w:w w:val="89"/>
                </w:rPr>
                <w:t>Certification of the Principal Executive Officer pursuant to Rule 13a-14(a) or 15d-14(a) of the Securities Exchange Act of 1934.</w:t>
              </w:r>
            </w:hyperlink>
          </w:p>
        </w:tc>
        <w:tc>
          <w:tcPr>
            <w:tcW w:w="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6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17">
              <w:r>
                <w:rPr>
                  <w:rFonts w:ascii="Arial" w:cs="Arial" w:eastAsia="Arial" w:hAnsi="Arial"/>
                  <w:sz w:val="18"/>
                  <w:szCs w:val="18"/>
                  <w:color w:val="0000EE"/>
                  <w:w w:val="89"/>
                </w:rPr>
                <w:t>Certification of the Principal Financial Officer and Principal Accounting Officer pursuant to Rule 13a-14(a) or 15d-14(a) of the Securities</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217">
              <w:r>
                <w:rPr>
                  <w:rFonts w:ascii="Arial" w:cs="Arial" w:eastAsia="Arial" w:hAnsi="Arial"/>
                  <w:sz w:val="18"/>
                  <w:szCs w:val="18"/>
                  <w:color w:val="0000EE"/>
                  <w:w w:val="88"/>
                </w:rPr>
                <w:t>Exchange Act of 1934.</w:t>
              </w:r>
            </w:hyperlink>
          </w:p>
        </w:tc>
        <w:tc>
          <w:tcPr>
            <w:tcW w:w="826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60" w:type="dxa"/>
            <w:vAlign w:val="bottom"/>
          </w:tcPr>
          <w:p>
            <w:pPr>
              <w:ind w:left="1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w w:val="92"/>
              </w:rPr>
            </w:pPr>
            <w:hyperlink w:anchor="page218">
              <w:r>
                <w:rPr>
                  <w:rFonts w:ascii="Arial" w:cs="Arial" w:eastAsia="Arial" w:hAnsi="Arial"/>
                  <w:sz w:val="18"/>
                  <w:szCs w:val="18"/>
                  <w:color w:val="0000EE"/>
                  <w:w w:val="92"/>
                </w:rPr>
                <w:t>Certification of Principal Executive Officer and Principal Financial Officer pursuant to Rule 13a-14(b) or 15d-14(b) of the Exchange Act</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20" w:type="dxa"/>
            <w:vAlign w:val="bottom"/>
            <w:tcBorders>
              <w:top w:val="single" w:sz="8" w:color="0000EE"/>
              <w:bottom w:val="single" w:sz="8" w:color="0000EE"/>
            </w:tcBorders>
            <w:gridSpan w:val="8"/>
          </w:tcPr>
          <w:p>
            <w:pPr>
              <w:spacing w:after="0" w:line="190" w:lineRule="exact"/>
              <w:rPr>
                <w:rFonts w:ascii="Arial" w:cs="Arial" w:eastAsia="Arial" w:hAnsi="Arial"/>
                <w:sz w:val="18"/>
                <w:szCs w:val="18"/>
                <w:color w:val="0000EE"/>
                <w:w w:val="87"/>
              </w:rPr>
            </w:pPr>
            <w:hyperlink w:anchor="page218">
              <w:r>
                <w:rPr>
                  <w:rFonts w:ascii="Arial" w:cs="Arial" w:eastAsia="Arial" w:hAnsi="Arial"/>
                  <w:sz w:val="18"/>
                  <w:szCs w:val="18"/>
                  <w:color w:val="0000EE"/>
                  <w:w w:val="87"/>
                </w:rPr>
                <w:t>and 18 U.S.C. Section 1350, as adopted pursuant to Section 906 of the Sarbanes-Oxley Act of 2002.</w:t>
              </w:r>
            </w:hyperlink>
          </w:p>
        </w:tc>
        <w:tc>
          <w:tcPr>
            <w:tcW w:w="2580" w:type="dxa"/>
            <w:vAlign w:val="bottom"/>
            <w:tcBorders>
              <w:top w:val="single" w:sz="8" w:color="0000EE"/>
            </w:tcBorders>
            <w:gridSpan w:val="6"/>
          </w:tcPr>
          <w:p>
            <w:pPr>
              <w:spacing w:after="0"/>
              <w:rPr>
                <w:sz w:val="16"/>
                <w:szCs w:val="16"/>
                <w:color w:val="auto"/>
              </w:rPr>
            </w:pPr>
          </w:p>
        </w:tc>
        <w:tc>
          <w:tcPr>
            <w:tcW w:w="2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9880" w:type="dxa"/>
            <w:vAlign w:val="bottom"/>
            <w:gridSpan w:val="2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988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988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988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988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9"/>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988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360" w:hanging="1229"/>
        <w:spacing w:after="0"/>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10350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ind w:left="580" w:hanging="575"/>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and shall not be deemed to be incorporated by reference into any filing under the Securities Act of 1933, as amended, or the Exchange Act.</w:t>
      </w:r>
    </w:p>
    <w:p>
      <w:pPr>
        <w:spacing w:after="0" w:line="26" w:lineRule="exact"/>
        <w:rPr>
          <w:sz w:val="20"/>
          <w:szCs w:val="20"/>
          <w:color w:val="auto"/>
        </w:rPr>
      </w:pPr>
    </w:p>
    <w:p>
      <w:pPr>
        <w:ind w:left="580" w:hanging="575"/>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portions of this exhibit. These portions have been omitted and filed separately with the SEC.</w:t>
      </w:r>
    </w:p>
    <w:p>
      <w:pPr>
        <w:spacing w:after="0" w:line="324"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Item 16. Form 10-K Summary</w:t>
      </w:r>
    </w:p>
    <w:p>
      <w:pPr>
        <w:spacing w:after="0" w:line="137"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Not applicable.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20" w:firstLine="589"/>
        <w:spacing w:after="0" w:line="261"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7280" w:type="dxa"/>
            <w:vAlign w:val="bottom"/>
            <w:gridSpan w:val="2"/>
          </w:tcPr>
          <w:p>
            <w:pPr>
              <w:ind w:left="2520"/>
              <w:spacing w:after="0"/>
              <w:rPr>
                <w:sz w:val="20"/>
                <w:szCs w:val="20"/>
                <w:color w:val="auto"/>
              </w:rPr>
            </w:pPr>
            <w:r>
              <w:rPr>
                <w:rFonts w:ascii="Arial" w:cs="Arial" w:eastAsia="Arial" w:hAnsi="Arial"/>
                <w:sz w:val="18"/>
                <w:szCs w:val="18"/>
                <w:b w:val="1"/>
                <w:bCs w:val="1"/>
                <w:color w:val="auto"/>
              </w:rPr>
              <w:t>SYNDAX PHARMACEUTICALS, INC.</w:t>
            </w:r>
          </w:p>
        </w:tc>
      </w:tr>
      <w:tr>
        <w:trPr>
          <w:trHeight w:val="421"/>
        </w:trPr>
        <w:tc>
          <w:tcPr>
            <w:tcW w:w="3960" w:type="dxa"/>
            <w:vAlign w:val="bottom"/>
          </w:tcPr>
          <w:p>
            <w:pPr>
              <w:spacing w:after="0"/>
              <w:rPr>
                <w:sz w:val="20"/>
                <w:szCs w:val="20"/>
                <w:color w:val="auto"/>
              </w:rPr>
            </w:pPr>
            <w:r>
              <w:rPr>
                <w:rFonts w:ascii="Arial" w:cs="Arial" w:eastAsia="Arial" w:hAnsi="Arial"/>
                <w:sz w:val="18"/>
                <w:szCs w:val="18"/>
                <w:color w:val="auto"/>
              </w:rPr>
              <w:t>Date: March 1, 2022</w:t>
            </w:r>
          </w:p>
        </w:tc>
        <w:tc>
          <w:tcPr>
            <w:tcW w:w="7280" w:type="dxa"/>
            <w:vAlign w:val="bottom"/>
            <w:gridSpan w:val="2"/>
          </w:tcPr>
          <w:p>
            <w:pPr>
              <w:ind w:left="2520"/>
              <w:spacing w:after="0"/>
              <w:rPr>
                <w:sz w:val="20"/>
                <w:szCs w:val="20"/>
                <w:color w:val="auto"/>
              </w:rPr>
            </w:pPr>
            <w:r>
              <w:rPr>
                <w:rFonts w:ascii="Arial" w:cs="Arial" w:eastAsia="Arial" w:hAnsi="Arial"/>
                <w:sz w:val="18"/>
                <w:szCs w:val="18"/>
                <w:color w:val="auto"/>
              </w:rPr>
              <w:t>By:/s/  Michael A. Metzger</w:t>
            </w:r>
          </w:p>
        </w:tc>
      </w:tr>
      <w:tr>
        <w:trPr>
          <w:trHeight w:val="191"/>
        </w:trPr>
        <w:tc>
          <w:tcPr>
            <w:tcW w:w="3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Michael A. Metzger</w:t>
            </w:r>
          </w:p>
        </w:tc>
      </w:tr>
      <w:tr>
        <w:trPr>
          <w:trHeight w:val="222"/>
        </w:trPr>
        <w:tc>
          <w:tcPr>
            <w:tcW w:w="39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0" w:lineRule="exact"/>
        <w:rPr>
          <w:sz w:val="20"/>
          <w:szCs w:val="20"/>
          <w:color w:val="auto"/>
        </w:rPr>
      </w:pPr>
    </w:p>
    <w:p>
      <w:pPr>
        <w:ind w:right="20" w:firstLine="589"/>
        <w:spacing w:after="0" w:line="282" w:lineRule="auto"/>
        <w:rPr>
          <w:sz w:val="20"/>
          <w:szCs w:val="20"/>
          <w:color w:val="auto"/>
        </w:rPr>
      </w:pPr>
      <w:r>
        <w:rPr>
          <w:rFonts w:ascii="Arial" w:cs="Arial" w:eastAsia="Arial" w:hAnsi="Arial"/>
          <w:sz w:val="16"/>
          <w:szCs w:val="16"/>
          <w:color w:val="auto"/>
        </w:rPr>
        <w:t>Each person whose individual signature appears below hereby authorizes and appoints Michael A. Metzger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69" w:lineRule="exact"/>
        <w:rPr>
          <w:sz w:val="20"/>
          <w:szCs w:val="20"/>
          <w:color w:val="auto"/>
        </w:rPr>
      </w:pPr>
    </w:p>
    <w:p>
      <w:pPr>
        <w:ind w:right="480" w:firstLine="58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p>
      <w:pPr>
        <w:ind w:left="2100"/>
        <w:spacing w:after="0"/>
        <w:tabs>
          <w:tab w:leader="none" w:pos="6840" w:val="left"/>
          <w:tab w:leader="none" w:pos="10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361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p>
      <w:pPr>
        <w:spacing w:after="0" w:line="9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Michael A. Metzger</w:t>
      </w:r>
    </w:p>
    <w:p>
      <w:pPr>
        <w:spacing w:after="0" w:line="21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Alexander Nolte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Alexander Nolte</w:t>
      </w:r>
    </w:p>
    <w:p>
      <w:pPr>
        <w:spacing w:after="0" w:line="22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Dennis G. Podlesak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Dennis G. Podlesak</w:t>
      </w:r>
    </w:p>
    <w:p>
      <w:pPr>
        <w:spacing w:after="0" w:line="14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Martin H. Huber,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Martin H. Huber, M.D.</w:t>
      </w:r>
    </w:p>
    <w:p>
      <w:pPr>
        <w:spacing w:after="0" w:line="14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Jennifer Jarrett</w:t>
      </w:r>
    </w:p>
    <w:p>
      <w:pPr>
        <w:spacing w:after="0" w:line="14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Keith A. Katkin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Keith A. Katkin</w:t>
      </w:r>
    </w:p>
    <w:p>
      <w:pPr>
        <w:spacing w:after="0" w:line="14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Pierre Legault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Pierre Legault</w:t>
      </w:r>
    </w:p>
    <w:p>
      <w:pPr>
        <w:spacing w:after="0" w:line="14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William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295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William Meury</w:t>
      </w:r>
    </w:p>
    <w:p>
      <w:pPr>
        <w:spacing w:after="0" w:line="148"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30295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spacing w:after="0" w:line="1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Briggs W. Morrison, MD.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jc w:val="center"/>
              <w:ind w:right="312"/>
              <w:spacing w:after="0"/>
              <w:rPr>
                <w:sz w:val="20"/>
                <w:szCs w:val="20"/>
                <w:color w:val="auto"/>
              </w:rPr>
            </w:pPr>
            <w:r>
              <w:rPr>
                <w:rFonts w:ascii="Arial" w:cs="Arial" w:eastAsia="Arial" w:hAnsi="Arial"/>
                <w:sz w:val="18"/>
                <w:szCs w:val="18"/>
                <w:color w:val="auto"/>
                <w:w w:val="90"/>
              </w:rPr>
              <w:t>Chief Executive Officer and Director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222"/>
        </w:trPr>
        <w:tc>
          <w:tcPr>
            <w:tcW w:w="4200" w:type="dxa"/>
            <w:vAlign w:val="bottom"/>
          </w:tcPr>
          <w:p>
            <w:pPr>
              <w:jc w:val="center"/>
              <w:ind w:right="312"/>
              <w:spacing w:after="0"/>
              <w:rPr>
                <w:sz w:val="20"/>
                <w:szCs w:val="20"/>
                <w:color w:val="auto"/>
              </w:rPr>
            </w:pPr>
            <w:r>
              <w:rPr>
                <w:rFonts w:ascii="Arial" w:cs="Arial" w:eastAsia="Arial" w:hAnsi="Arial"/>
                <w:sz w:val="18"/>
                <w:szCs w:val="18"/>
                <w:color w:val="auto"/>
                <w:w w:val="91"/>
              </w:rPr>
              <w:t>(Principal Executive Officer)</w:t>
            </w:r>
          </w:p>
        </w:tc>
        <w:tc>
          <w:tcPr>
            <w:tcW w:w="1400" w:type="dxa"/>
            <w:vAlign w:val="bottom"/>
          </w:tcPr>
          <w:p>
            <w:pPr>
              <w:spacing w:after="0"/>
              <w:rPr>
                <w:sz w:val="19"/>
                <w:szCs w:val="19"/>
                <w:color w:val="auto"/>
              </w:rPr>
            </w:pPr>
          </w:p>
        </w:tc>
      </w:tr>
      <w:tr>
        <w:trPr>
          <w:trHeight w:val="330"/>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1"/>
              </w:rPr>
              <w:t>Chief Accounting Officer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210"/>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2"/>
              </w:rPr>
              <w:t>(Principal Accounting Officer,</w:t>
            </w:r>
          </w:p>
        </w:tc>
        <w:tc>
          <w:tcPr>
            <w:tcW w:w="1400" w:type="dxa"/>
            <w:vAlign w:val="bottom"/>
          </w:tcPr>
          <w:p>
            <w:pPr>
              <w:spacing w:after="0"/>
              <w:rPr>
                <w:sz w:val="18"/>
                <w:szCs w:val="18"/>
                <w:color w:val="auto"/>
              </w:rPr>
            </w:pPr>
          </w:p>
        </w:tc>
      </w:tr>
      <w:tr>
        <w:trPr>
          <w:trHeight w:val="222"/>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2"/>
              </w:rPr>
              <w:t>Interim Principal Financial Officer)</w:t>
            </w:r>
          </w:p>
        </w:tc>
        <w:tc>
          <w:tcPr>
            <w:tcW w:w="1400" w:type="dxa"/>
            <w:vAlign w:val="bottom"/>
          </w:tcPr>
          <w:p>
            <w:pPr>
              <w:spacing w:after="0"/>
              <w:rPr>
                <w:sz w:val="19"/>
                <w:szCs w:val="19"/>
                <w:color w:val="auto"/>
              </w:rPr>
            </w:pPr>
          </w:p>
        </w:tc>
      </w:tr>
      <w:tr>
        <w:trPr>
          <w:trHeight w:val="329"/>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89"/>
              </w:rPr>
              <w:t>Chairman of the Board of Directors</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578"/>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1"/>
              </w:rPr>
              <w:t>Director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578"/>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1"/>
              </w:rPr>
              <w:t>Director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578"/>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1"/>
              </w:rPr>
              <w:t>Director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578"/>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1"/>
              </w:rPr>
              <w:t>Director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578"/>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91"/>
              </w:rPr>
              <w:t>Director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r>
        <w:trPr>
          <w:trHeight w:val="578"/>
        </w:trPr>
        <w:tc>
          <w:tcPr>
            <w:tcW w:w="4200" w:type="dxa"/>
            <w:vAlign w:val="bottom"/>
          </w:tcPr>
          <w:p>
            <w:pPr>
              <w:jc w:val="center"/>
              <w:ind w:right="292"/>
              <w:spacing w:after="0"/>
              <w:rPr>
                <w:sz w:val="20"/>
                <w:szCs w:val="20"/>
                <w:color w:val="auto"/>
              </w:rPr>
            </w:pPr>
            <w:r>
              <w:rPr>
                <w:rFonts w:ascii="Arial" w:cs="Arial" w:eastAsia="Arial" w:hAnsi="Arial"/>
                <w:sz w:val="18"/>
                <w:szCs w:val="18"/>
                <w:color w:val="auto"/>
                <w:w w:val="88"/>
              </w:rPr>
              <w:t>President, Head of Research &amp; Development, Director</w:t>
            </w:r>
          </w:p>
        </w:tc>
        <w:tc>
          <w:tcPr>
            <w:tcW w:w="1400" w:type="dxa"/>
            <w:vAlign w:val="bottom"/>
          </w:tcPr>
          <w:p>
            <w:pPr>
              <w:ind w:left="380"/>
              <w:spacing w:after="0"/>
              <w:rPr>
                <w:sz w:val="20"/>
                <w:szCs w:val="20"/>
                <w:color w:val="auto"/>
              </w:rPr>
            </w:pPr>
            <w:r>
              <w:rPr>
                <w:rFonts w:ascii="Arial" w:cs="Arial" w:eastAsia="Arial" w:hAnsi="Arial"/>
                <w:sz w:val="18"/>
                <w:szCs w:val="18"/>
                <w:color w:val="auto"/>
                <w:w w:val="86"/>
              </w:rPr>
              <w:t>March 1, 2022</w:t>
            </w:r>
          </w:p>
        </w:tc>
      </w:tr>
    </w:tbl>
    <w:p>
      <w:pPr>
        <w:spacing w:after="0" w:line="408" w:lineRule="exact"/>
        <w:rPr>
          <w:sz w:val="20"/>
          <w:szCs w:val="20"/>
          <w:color w:val="auto"/>
        </w:rPr>
      </w:pPr>
    </w:p>
    <w:p>
      <w:pPr>
        <w:sectPr>
          <w:pgSz w:w="11900" w:h="16838" w:orient="portrait"/>
          <w:cols w:equalWidth="0" w:num="2">
            <w:col w:w="4320" w:space="720"/>
            <w:col w:w="6200"/>
          </w:cols>
          <w:pgMar w:left="320" w:top="555" w:right="339" w:bottom="1440" w:gutter="0" w:footer="0" w:header="0"/>
          <w:type w:val="continuous"/>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Pages</w:t>
            </w:r>
          </w:p>
        </w:tc>
      </w:tr>
      <w:tr>
        <w:trPr>
          <w:trHeight w:val="178"/>
        </w:trPr>
        <w:tc>
          <w:tcPr>
            <w:tcW w:w="10620" w:type="dxa"/>
            <w:vAlign w:val="bottom"/>
            <w:gridSpan w:val="8"/>
          </w:tcPr>
          <w:p>
            <w:pPr>
              <w:spacing w:after="0" w:line="178" w:lineRule="exact"/>
              <w:rPr>
                <w:rFonts w:ascii="Arial" w:cs="Arial" w:eastAsia="Arial" w:hAnsi="Arial"/>
                <w:sz w:val="18"/>
                <w:szCs w:val="18"/>
                <w:color w:val="0000EE"/>
              </w:rPr>
            </w:pPr>
            <w:hyperlink w:anchor="page84">
              <w:r>
                <w:rPr>
                  <w:rFonts w:ascii="Arial" w:cs="Arial" w:eastAsia="Arial" w:hAnsi="Arial"/>
                  <w:sz w:val="18"/>
                  <w:szCs w:val="18"/>
                  <w:color w:val="0000EE"/>
                </w:rPr>
                <w:t>Report of Independent Registered Public Accounting Firm (PCAOB ID 34)</w:t>
              </w:r>
            </w:hyperlink>
          </w:p>
        </w:tc>
        <w:tc>
          <w:tcPr>
            <w:tcW w:w="620" w:type="dxa"/>
            <w:vAlign w:val="bottom"/>
          </w:tcPr>
          <w:p>
            <w:pPr>
              <w:spacing w:after="0" w:line="178" w:lineRule="exact"/>
              <w:rPr>
                <w:sz w:val="20"/>
                <w:szCs w:val="20"/>
                <w:color w:val="auto"/>
              </w:rPr>
            </w:pPr>
            <w:r>
              <w:rPr>
                <w:rFonts w:ascii="Arial" w:cs="Arial" w:eastAsia="Arial" w:hAnsi="Arial"/>
                <w:sz w:val="18"/>
                <w:szCs w:val="18"/>
                <w:color w:val="auto"/>
              </w:rPr>
              <w:t>F-2</w:t>
            </w:r>
          </w:p>
        </w:tc>
      </w:tr>
      <w:tr>
        <w:trPr>
          <w:trHeight w:val="203"/>
        </w:trPr>
        <w:tc>
          <w:tcPr>
            <w:tcW w:w="5300" w:type="dxa"/>
            <w:vAlign w:val="bottom"/>
            <w:tcBorders>
              <w:top w:val="single" w:sz="8" w:color="0000EE"/>
            </w:tcBorders>
            <w:gridSpan w:val="3"/>
          </w:tcPr>
          <w:p>
            <w:pPr>
              <w:spacing w:after="0" w:line="203"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Balance Sheets as of December 31, 2021 and 2020</w:t>
              </w:r>
            </w:hyperlink>
          </w:p>
        </w:tc>
        <w:tc>
          <w:tcPr>
            <w:tcW w:w="5320" w:type="dxa"/>
            <w:vAlign w:val="bottom"/>
            <w:gridSpan w:val="5"/>
          </w:tcPr>
          <w:p>
            <w:pPr>
              <w:spacing w:after="0"/>
              <w:rPr>
                <w:sz w:val="17"/>
                <w:szCs w:val="17"/>
                <w:color w:val="auto"/>
              </w:rPr>
            </w:pPr>
          </w:p>
        </w:tc>
        <w:tc>
          <w:tcPr>
            <w:tcW w:w="620" w:type="dxa"/>
            <w:vAlign w:val="bottom"/>
          </w:tcPr>
          <w:p>
            <w:pPr>
              <w:spacing w:after="0" w:line="203" w:lineRule="exact"/>
              <w:rPr>
                <w:sz w:val="20"/>
                <w:szCs w:val="20"/>
                <w:color w:val="auto"/>
              </w:rPr>
            </w:pPr>
            <w:r>
              <w:rPr>
                <w:rFonts w:ascii="Arial" w:cs="Arial" w:eastAsia="Arial" w:hAnsi="Arial"/>
                <w:sz w:val="18"/>
                <w:szCs w:val="18"/>
                <w:color w:val="auto"/>
              </w:rPr>
              <w:t>F-5</w:t>
            </w:r>
          </w:p>
        </w:tc>
      </w:tr>
      <w:tr>
        <w:trPr>
          <w:trHeight w:val="20"/>
        </w:trPr>
        <w:tc>
          <w:tcPr>
            <w:tcW w:w="30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3"/>
        </w:trPr>
        <w:tc>
          <w:tcPr>
            <w:tcW w:w="10620" w:type="dxa"/>
            <w:vAlign w:val="bottom"/>
            <w:gridSpan w:val="8"/>
          </w:tcPr>
          <w:p>
            <w:pPr>
              <w:spacing w:after="0" w:line="203"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Operations for the Years Ended December 31, 2021, 2020 and 2019</w:t>
              </w:r>
            </w:hyperlink>
          </w:p>
        </w:tc>
        <w:tc>
          <w:tcPr>
            <w:tcW w:w="620" w:type="dxa"/>
            <w:vAlign w:val="bottom"/>
          </w:tcPr>
          <w:p>
            <w:pPr>
              <w:spacing w:after="0" w:line="203" w:lineRule="exact"/>
              <w:rPr>
                <w:sz w:val="20"/>
                <w:szCs w:val="20"/>
                <w:color w:val="auto"/>
              </w:rPr>
            </w:pPr>
            <w:r>
              <w:rPr>
                <w:rFonts w:ascii="Arial" w:cs="Arial" w:eastAsia="Arial" w:hAnsi="Arial"/>
                <w:sz w:val="18"/>
                <w:szCs w:val="18"/>
                <w:color w:val="auto"/>
              </w:rPr>
              <w:t>F-6</w:t>
            </w:r>
          </w:p>
        </w:tc>
      </w:tr>
      <w:tr>
        <w:trPr>
          <w:trHeight w:val="20"/>
        </w:trPr>
        <w:tc>
          <w:tcPr>
            <w:tcW w:w="308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3"/>
        </w:trPr>
        <w:tc>
          <w:tcPr>
            <w:tcW w:w="8120" w:type="dxa"/>
            <w:vAlign w:val="bottom"/>
            <w:tcBorders>
              <w:bottom w:val="single" w:sz="8" w:color="0000EE"/>
            </w:tcBorders>
            <w:gridSpan w:val="7"/>
          </w:tcPr>
          <w:p>
            <w:pPr>
              <w:spacing w:after="0" w:line="203"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Consolidated Statements of Comprehensive Income (Loss) for the Years Ended December 31, 2021, 2020 and 2019</w:t>
              </w:r>
            </w:hyperlink>
          </w:p>
        </w:tc>
        <w:tc>
          <w:tcPr>
            <w:tcW w:w="2500" w:type="dxa"/>
            <w:vAlign w:val="bottom"/>
          </w:tcPr>
          <w:p>
            <w:pPr>
              <w:spacing w:after="0"/>
              <w:rPr>
                <w:sz w:val="17"/>
                <w:szCs w:val="17"/>
                <w:color w:val="auto"/>
              </w:rPr>
            </w:pPr>
          </w:p>
        </w:tc>
        <w:tc>
          <w:tcPr>
            <w:tcW w:w="620" w:type="dxa"/>
            <w:vAlign w:val="bottom"/>
          </w:tcPr>
          <w:p>
            <w:pPr>
              <w:spacing w:after="0" w:line="203" w:lineRule="exact"/>
              <w:rPr>
                <w:sz w:val="20"/>
                <w:szCs w:val="20"/>
                <w:color w:val="auto"/>
              </w:rPr>
            </w:pPr>
            <w:r>
              <w:rPr>
                <w:rFonts w:ascii="Arial" w:cs="Arial" w:eastAsia="Arial" w:hAnsi="Arial"/>
                <w:sz w:val="18"/>
                <w:szCs w:val="18"/>
                <w:color w:val="auto"/>
              </w:rPr>
              <w:t>F-7</w:t>
            </w:r>
          </w:p>
        </w:tc>
      </w:tr>
      <w:tr>
        <w:trPr>
          <w:trHeight w:val="203"/>
        </w:trPr>
        <w:tc>
          <w:tcPr>
            <w:tcW w:w="10620" w:type="dxa"/>
            <w:vAlign w:val="bottom"/>
            <w:gridSpan w:val="8"/>
          </w:tcPr>
          <w:p>
            <w:pPr>
              <w:spacing w:after="0" w:line="203"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Stockholders’ Equity for the Years Ended December 31, 2021, 2020 and 2019</w:t>
              </w:r>
            </w:hyperlink>
          </w:p>
        </w:tc>
        <w:tc>
          <w:tcPr>
            <w:tcW w:w="620" w:type="dxa"/>
            <w:vAlign w:val="bottom"/>
          </w:tcPr>
          <w:p>
            <w:pPr>
              <w:spacing w:after="0" w:line="203" w:lineRule="exact"/>
              <w:rPr>
                <w:sz w:val="20"/>
                <w:szCs w:val="20"/>
                <w:color w:val="auto"/>
              </w:rPr>
            </w:pPr>
            <w:r>
              <w:rPr>
                <w:rFonts w:ascii="Arial" w:cs="Arial" w:eastAsia="Arial" w:hAnsi="Arial"/>
                <w:sz w:val="18"/>
                <w:szCs w:val="18"/>
                <w:color w:val="auto"/>
              </w:rPr>
              <w:t>F-8</w:t>
            </w:r>
          </w:p>
        </w:tc>
      </w:tr>
      <w:tr>
        <w:trPr>
          <w:trHeight w:val="203"/>
        </w:trPr>
        <w:tc>
          <w:tcPr>
            <w:tcW w:w="6780" w:type="dxa"/>
            <w:vAlign w:val="bottom"/>
            <w:tcBorders>
              <w:top w:val="single" w:sz="8" w:color="0000EE"/>
              <w:bottom w:val="single" w:sz="8" w:color="0000EE"/>
            </w:tcBorders>
            <w:gridSpan w:val="5"/>
          </w:tcPr>
          <w:p>
            <w:pPr>
              <w:spacing w:after="0" w:line="203" w:lineRule="exact"/>
              <w:rPr>
                <w:rFonts w:ascii="Arial" w:cs="Arial" w:eastAsia="Arial" w:hAnsi="Arial"/>
                <w:sz w:val="18"/>
                <w:szCs w:val="18"/>
                <w:color w:val="0000EE"/>
                <w:w w:val="86"/>
              </w:rPr>
            </w:pPr>
            <w:hyperlink w:anchor="page91">
              <w:r>
                <w:rPr>
                  <w:rFonts w:ascii="Arial" w:cs="Arial" w:eastAsia="Arial" w:hAnsi="Arial"/>
                  <w:sz w:val="18"/>
                  <w:szCs w:val="18"/>
                  <w:color w:val="0000EE"/>
                  <w:w w:val="86"/>
                </w:rPr>
                <w:t>Consolidated Statements of Cash Flows for the Years Ended December 31, 2021, 2020 and 2019</w:t>
              </w:r>
            </w:hyperlink>
          </w:p>
        </w:tc>
        <w:tc>
          <w:tcPr>
            <w:tcW w:w="660" w:type="dxa"/>
            <w:vAlign w:val="bottom"/>
            <w:tcBorders>
              <w:top w:val="single" w:sz="8" w:color="0000EE"/>
            </w:tcBorders>
          </w:tcPr>
          <w:p>
            <w:pPr>
              <w:spacing w:after="0"/>
              <w:rPr>
                <w:sz w:val="17"/>
                <w:szCs w:val="17"/>
                <w:color w:val="auto"/>
              </w:rPr>
            </w:pPr>
          </w:p>
        </w:tc>
        <w:tc>
          <w:tcPr>
            <w:tcW w:w="3180" w:type="dxa"/>
            <w:vAlign w:val="bottom"/>
            <w:gridSpan w:val="2"/>
          </w:tcPr>
          <w:p>
            <w:pPr>
              <w:spacing w:after="0"/>
              <w:rPr>
                <w:sz w:val="17"/>
                <w:szCs w:val="17"/>
                <w:color w:val="auto"/>
              </w:rPr>
            </w:pPr>
          </w:p>
        </w:tc>
        <w:tc>
          <w:tcPr>
            <w:tcW w:w="620" w:type="dxa"/>
            <w:vAlign w:val="bottom"/>
          </w:tcPr>
          <w:p>
            <w:pPr>
              <w:spacing w:after="0" w:line="203" w:lineRule="exact"/>
              <w:rPr>
                <w:sz w:val="20"/>
                <w:szCs w:val="20"/>
                <w:color w:val="auto"/>
              </w:rPr>
            </w:pPr>
            <w:r>
              <w:rPr>
                <w:rFonts w:ascii="Arial" w:cs="Arial" w:eastAsia="Arial" w:hAnsi="Arial"/>
                <w:sz w:val="18"/>
                <w:szCs w:val="18"/>
                <w:color w:val="auto"/>
              </w:rPr>
              <w:t>F-9</w:t>
            </w:r>
          </w:p>
        </w:tc>
      </w:tr>
      <w:tr>
        <w:trPr>
          <w:trHeight w:val="203"/>
        </w:trPr>
        <w:tc>
          <w:tcPr>
            <w:tcW w:w="10620" w:type="dxa"/>
            <w:vAlign w:val="bottom"/>
            <w:gridSpan w:val="8"/>
          </w:tcPr>
          <w:p>
            <w:pPr>
              <w:spacing w:after="0" w:line="203" w:lineRule="exact"/>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620" w:type="dxa"/>
            <w:vAlign w:val="bottom"/>
          </w:tcPr>
          <w:p>
            <w:pPr>
              <w:spacing w:after="0" w:line="203" w:lineRule="exact"/>
              <w:rPr>
                <w:sz w:val="20"/>
                <w:szCs w:val="20"/>
                <w:color w:val="auto"/>
              </w:rPr>
            </w:pPr>
            <w:r>
              <w:rPr>
                <w:rFonts w:ascii="Arial" w:cs="Arial" w:eastAsia="Arial" w:hAnsi="Arial"/>
                <w:sz w:val="18"/>
                <w:szCs w:val="18"/>
                <w:color w:val="auto"/>
              </w:rPr>
              <w:t>F-11</w:t>
            </w:r>
          </w:p>
        </w:tc>
      </w:tr>
      <w:tr>
        <w:trPr>
          <w:trHeight w:val="860"/>
        </w:trPr>
        <w:tc>
          <w:tcPr>
            <w:tcW w:w="30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F-1</w:t>
            </w:r>
          </w:p>
        </w:tc>
        <w:tc>
          <w:tcPr>
            <w:tcW w:w="620" w:type="dxa"/>
            <w:vAlign w:val="bottom"/>
          </w:tcPr>
          <w:p>
            <w:pPr>
              <w:spacing w:after="0"/>
              <w:rPr>
                <w:sz w:val="24"/>
                <w:szCs w:val="24"/>
                <w:color w:val="auto"/>
              </w:rPr>
            </w:pPr>
          </w:p>
        </w:tc>
      </w:tr>
      <w:tr>
        <w:trPr>
          <w:trHeight w:val="112"/>
        </w:trPr>
        <w:tc>
          <w:tcPr>
            <w:tcW w:w="30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83" w:name="page84"/>
    <w:bookmarkEnd w:id="83"/>
    <w:p>
      <w:pPr>
        <w:ind w:right="5240"/>
        <w:spacing w:after="0" w:line="44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Syndax Pharmaceuticals,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have audited the accompanying consolidated balance sheets of Syndax Pharmaceuticals, Inc. and subsidiaries (the "Company") as of December 31, 2021 and 2020, the related consolidated statements of operations, comprehensive income (loss),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1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2022, expressed an unqualified opinion on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Collaboration and License Agreement— Refer to Notes 3 and 4 to the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recognizes revenue upon transfer of control of promised goods or services to customers in an amount that reflects the consideration the Company expects to receive in exchange for those goods or services. The Company’s collaborative research and license agreements contain multiple elements. In September 2021, the Company executed a collaboration and license agreement and a share purchase agreement (collectively, the “Incyte Agreement”) which became effective December 9, 2021. Upon the effectiveness of the Incyte Agreement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84" w:name="page85"/>
    <w:bookmarkEnd w:id="84"/>
    <w:p>
      <w:pPr>
        <w:ind w:right="160"/>
        <w:spacing w:after="0" w:line="261" w:lineRule="auto"/>
        <w:rPr>
          <w:sz w:val="20"/>
          <w:szCs w:val="20"/>
          <w:color w:val="auto"/>
        </w:rPr>
      </w:pPr>
      <w:r>
        <w:rPr>
          <w:rFonts w:ascii="Arial" w:cs="Arial" w:eastAsia="Arial" w:hAnsi="Arial"/>
          <w:sz w:val="18"/>
          <w:szCs w:val="18"/>
          <w:color w:val="auto"/>
        </w:rPr>
        <w:t>Company received an upfront fee of $117 million and the Company issued 1,421,523 shares of common stock for an aggregate purchase price of $35 million, or $24.62 per share, for a total cash consideration $152 million.</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the revenue portion of the Incyte Agreement the Company identified contract promises for the license. The Company determined that the license was capable of being distinct from the ongoing collaboration activities. Management estimated the standalone selling price of the license based on an application of the income approach by measuring the fair value of the discounted cash flows from commercialization. The valuation required management to make significant judgments and estimates relating to the probability of achieving both regulatory and commercial milestones, forecasted future cash flows and the selection of the discount rates. Changes in these assumptions could have a significant impact on the standalone selling price and the revenue recorded.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Significant judgments and estimates were made by the management in determining revenue recognition for the Incyte Agreement, including the following:</w:t>
      </w:r>
    </w:p>
    <w:p>
      <w:pPr>
        <w:spacing w:after="0" w:line="237" w:lineRule="exact"/>
        <w:rPr>
          <w:sz w:val="20"/>
          <w:szCs w:val="20"/>
          <w:color w:val="auto"/>
        </w:rPr>
      </w:pPr>
    </w:p>
    <w:p>
      <w:pPr>
        <w:ind w:left="840" w:right="360" w:hanging="414"/>
        <w:spacing w:after="0" w:line="282" w:lineRule="auto"/>
        <w:tabs>
          <w:tab w:leader="none" w:pos="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determination of whether the license is considered a distinct performance obligation that should be accounted for separately or treated as a combined performance obligation with other elements, such as a license and related research and development activities.</w:t>
      </w:r>
    </w:p>
    <w:p>
      <w:pPr>
        <w:ind w:left="840" w:right="260" w:hanging="414"/>
        <w:spacing w:after="0" w:line="247"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determination of the valuation or standalone selling price for the license, specifically as it relates to probability of achieving both regulatory and commercial milestones, forecasted future cash flows and the selection of the discount rates</w:t>
      </w:r>
    </w:p>
    <w:p>
      <w:pPr>
        <w:spacing w:after="0" w:line="29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Given the above factors, the related audit effort in evaluating management’s judgments and estimates made in the identification of the license as a distinct performance obligation and valuation of the license was extensive and required a high degree of auditor judgment.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revenue recognition for the Incyte Agreement included the following, among others:</w:t>
      </w:r>
    </w:p>
    <w:p>
      <w:pPr>
        <w:spacing w:after="0" w:line="214" w:lineRule="exact"/>
        <w:rPr>
          <w:sz w:val="20"/>
          <w:szCs w:val="20"/>
          <w:color w:val="auto"/>
        </w:rPr>
      </w:pPr>
    </w:p>
    <w:p>
      <w:pPr>
        <w:ind w:left="840" w:hanging="414"/>
        <w:spacing w:after="0" w:line="252"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tested the effectiveness of internal controls related to the identification of distinct performance obligations, and over the valuation of the license, including management’s controls over the probability of achieving both regulatory and commercial milestones, forecasted future cash flows, and the selection of discount rates.</w:t>
      </w:r>
    </w:p>
    <w:p>
      <w:pPr>
        <w:spacing w:after="0" w:line="189" w:lineRule="exact"/>
        <w:rPr>
          <w:rFonts w:ascii="Arial" w:cs="Arial" w:eastAsia="Arial" w:hAnsi="Arial"/>
          <w:sz w:val="18"/>
          <w:szCs w:val="18"/>
          <w:color w:val="auto"/>
        </w:rPr>
      </w:pPr>
    </w:p>
    <w:p>
      <w:pPr>
        <w:ind w:left="840" w:hanging="41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obtained and read contract source documents and other documents that were part of the Incyte Agreement.</w:t>
      </w:r>
    </w:p>
    <w:p>
      <w:pPr>
        <w:spacing w:after="0" w:line="239" w:lineRule="exact"/>
        <w:rPr>
          <w:rFonts w:ascii="Arial" w:cs="Arial" w:eastAsia="Arial" w:hAnsi="Arial"/>
          <w:sz w:val="18"/>
          <w:szCs w:val="18"/>
          <w:color w:val="auto"/>
        </w:rPr>
      </w:pPr>
    </w:p>
    <w:p>
      <w:pPr>
        <w:ind w:left="840" w:right="40" w:hanging="414"/>
        <w:spacing w:after="0" w:line="252"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assessed the terms in the Incyte Agreement and evaluated the appropriateness of management’s application of their accounting policies, along with their use of estimates, in the determination of revenue recognition conclusions. We tested management’s identification of significant terms for completeness, including the identification of distinct performance obligations.</w:t>
      </w:r>
    </w:p>
    <w:p>
      <w:pPr>
        <w:spacing w:after="0" w:line="84" w:lineRule="exact"/>
        <w:rPr>
          <w:rFonts w:ascii="Arial" w:cs="Arial" w:eastAsia="Arial" w:hAnsi="Arial"/>
          <w:sz w:val="18"/>
          <w:szCs w:val="18"/>
          <w:color w:val="auto"/>
        </w:rPr>
      </w:pPr>
    </w:p>
    <w:p>
      <w:pPr>
        <w:ind w:left="840" w:hanging="414"/>
        <w:spacing w:after="0"/>
        <w:tabs>
          <w:tab w:leader="none" w:pos="8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 evaluated the appropriateness of the methods and assumptions used by management to forecast future cash flows and select the discount rates.</w:t>
      </w:r>
    </w:p>
    <w:p>
      <w:pPr>
        <w:spacing w:after="0" w:line="274" w:lineRule="exact"/>
        <w:rPr>
          <w:rFonts w:ascii="Arial" w:cs="Arial" w:eastAsia="Arial" w:hAnsi="Arial"/>
          <w:sz w:val="15"/>
          <w:szCs w:val="15"/>
          <w:color w:val="auto"/>
        </w:rPr>
      </w:pPr>
    </w:p>
    <w:p>
      <w:pPr>
        <w:ind w:left="840" w:right="60" w:hanging="414"/>
        <w:spacing w:after="0" w:line="261"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forecasted future cash flows by comparing the projections to certain peer companies and external market data and studies.</w:t>
      </w:r>
    </w:p>
    <w:p>
      <w:pPr>
        <w:spacing w:after="0" w:line="75" w:lineRule="exact"/>
        <w:rPr>
          <w:rFonts w:ascii="Arial" w:cs="Arial" w:eastAsia="Arial" w:hAnsi="Arial"/>
          <w:sz w:val="18"/>
          <w:szCs w:val="18"/>
          <w:color w:val="auto"/>
        </w:rPr>
      </w:pPr>
    </w:p>
    <w:p>
      <w:pPr>
        <w:ind w:left="840" w:right="120" w:hanging="414"/>
        <w:spacing w:after="0" w:line="252"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evaluated the reasonableness of management’s valuation of the license. With the assistance of our fair value specialists, we evaluated the reasonableness of the (1) valuation methodology, (2) selected discount rates and (3) probabilities applied for the occurrence of both regulatory and commercial milestones by:</w:t>
      </w:r>
    </w:p>
    <w:p>
      <w:pPr>
        <w:spacing w:after="0" w:line="189" w:lineRule="exact"/>
        <w:rPr>
          <w:sz w:val="20"/>
          <w:szCs w:val="20"/>
          <w:color w:val="auto"/>
        </w:rPr>
      </w:pPr>
    </w:p>
    <w:p>
      <w:pPr>
        <w:ind w:left="1720" w:hanging="427"/>
        <w:spacing w:after="0"/>
        <w:tabs>
          <w:tab w:leader="none" w:pos="1720" w:val="left"/>
        </w:tabs>
        <w:numPr>
          <w:ilvl w:val="0"/>
          <w:numId w:val="49"/>
        </w:numPr>
        <w:rPr>
          <w:rFonts w:ascii="Courier New" w:cs="Courier New" w:eastAsia="Courier New" w:hAnsi="Courier New"/>
          <w:sz w:val="16"/>
          <w:szCs w:val="16"/>
          <w:color w:val="auto"/>
        </w:rPr>
      </w:pPr>
      <w:r>
        <w:rPr>
          <w:rFonts w:ascii="Arial" w:cs="Arial" w:eastAsia="Arial" w:hAnsi="Arial"/>
          <w:sz w:val="16"/>
          <w:szCs w:val="16"/>
          <w:color w:val="auto"/>
        </w:rPr>
        <w:t>Testing the source information underlying the determination of the discount rates and the mathematical accuracy of the calculations.</w:t>
      </w:r>
    </w:p>
    <w:p>
      <w:pPr>
        <w:spacing w:after="0" w:line="247" w:lineRule="exact"/>
        <w:rPr>
          <w:rFonts w:ascii="Courier New" w:cs="Courier New" w:eastAsia="Courier New" w:hAnsi="Courier New"/>
          <w:sz w:val="16"/>
          <w:szCs w:val="16"/>
          <w:color w:val="auto"/>
        </w:rPr>
      </w:pPr>
    </w:p>
    <w:p>
      <w:pPr>
        <w:ind w:left="1720" w:hanging="427"/>
        <w:spacing w:after="0"/>
        <w:tabs>
          <w:tab w:leader="none" w:pos="1720" w:val="left"/>
        </w:tabs>
        <w:numPr>
          <w:ilvl w:val="0"/>
          <w:numId w:val="49"/>
        </w:numPr>
        <w:rPr>
          <w:rFonts w:ascii="Courier New" w:cs="Courier New" w:eastAsia="Courier New" w:hAnsi="Courier New"/>
          <w:sz w:val="18"/>
          <w:szCs w:val="18"/>
          <w:color w:val="auto"/>
        </w:rPr>
      </w:pPr>
      <w:r>
        <w:rPr>
          <w:rFonts w:ascii="Arial" w:cs="Arial" w:eastAsia="Arial" w:hAnsi="Arial"/>
          <w:sz w:val="18"/>
          <w:szCs w:val="18"/>
          <w:color w:val="auto"/>
        </w:rPr>
        <w:t>Developing a range of independent estimates and comparing those to the discount rates selected by management.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85" w:name="page86"/>
    <w:bookmarkEnd w:id="85"/>
    <w:p>
      <w:pPr>
        <w:ind w:left="1720" w:hanging="427"/>
        <w:spacing w:after="0"/>
        <w:tabs>
          <w:tab w:leader="none" w:pos="1720" w:val="left"/>
        </w:tabs>
        <w:numPr>
          <w:ilvl w:val="1"/>
          <w:numId w:val="50"/>
        </w:numPr>
        <w:rPr>
          <w:rFonts w:ascii="Courier New" w:cs="Courier New" w:eastAsia="Courier New" w:hAnsi="Courier New"/>
          <w:sz w:val="15"/>
          <w:szCs w:val="15"/>
          <w:color w:val="auto"/>
        </w:rPr>
      </w:pPr>
      <w:r>
        <w:rPr>
          <w:rFonts w:ascii="Arial" w:cs="Arial" w:eastAsia="Arial" w:hAnsi="Arial"/>
          <w:sz w:val="15"/>
          <w:szCs w:val="15"/>
          <w:color w:val="auto"/>
        </w:rPr>
        <w:t>Developing a range of independent estimates utilizing third party studies and comparing those to probabilities selected by management.</w:t>
      </w:r>
    </w:p>
    <w:p>
      <w:pPr>
        <w:spacing w:after="0" w:line="261" w:lineRule="exact"/>
        <w:rPr>
          <w:rFonts w:ascii="Courier New" w:cs="Courier New" w:eastAsia="Courier New" w:hAnsi="Courier New"/>
          <w:sz w:val="15"/>
          <w:szCs w:val="15"/>
          <w:color w:val="auto"/>
        </w:rPr>
      </w:pPr>
    </w:p>
    <w:p>
      <w:pPr>
        <w:ind w:left="840" w:right="300" w:hanging="414"/>
        <w:spacing w:after="0" w:line="261"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 of the transaction consideration allocable to the license and its recognition as revenue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76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line="151"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115,243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217,971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448,396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298,864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449,657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5,669</w:t>
            </w:r>
          </w:p>
        </w:tc>
        <w:tc>
          <w:tcPr>
            <w:tcW w:w="26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right-of-use liability</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Current portion of term loan</w:t>
            </w:r>
          </w:p>
        </w:tc>
        <w:tc>
          <w:tcPr>
            <w:tcW w:w="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 liability</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20,683</w:t>
            </w:r>
          </w:p>
        </w:tc>
        <w:tc>
          <w:tcPr>
            <w:tcW w:w="26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Deferred revenue, less current portion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Right-of-use liability, less current portion</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Term loan, less current portion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19,895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20,606</w:t>
            </w:r>
          </w:p>
        </w:tc>
        <w:tc>
          <w:tcPr>
            <w:tcW w:w="26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29,553</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41,289</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Commitments, contingencies and guarantees (Note 16)</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Preferred stock, $0.001 par value, 10,000,000 shares authorized;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660" w:type="dxa"/>
            <w:vAlign w:val="bottom"/>
          </w:tcPr>
          <w:p>
            <w:pPr>
              <w:ind w:left="360"/>
              <w:spacing w:after="0"/>
              <w:rPr>
                <w:sz w:val="20"/>
                <w:szCs w:val="20"/>
                <w:color w:val="auto"/>
              </w:rPr>
            </w:pPr>
            <w:r>
              <w:rPr>
                <w:rFonts w:ascii="Arial" w:cs="Arial" w:eastAsia="Arial" w:hAnsi="Arial"/>
                <w:sz w:val="18"/>
                <w:szCs w:val="18"/>
                <w:color w:val="auto"/>
              </w:rPr>
              <w:t>0 shares outstanding at December 31, 2021 and December 31, 2020,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6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100,000,000 shares authorized;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6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54,983,105 and 47,881,223 shares outstanding at December 31, 2021</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2020, respectively</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952,019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820,815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(543,702)</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(568,628)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252,188</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449,657</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8960" w:type="dxa"/>
            <w:vAlign w:val="bottom"/>
            <w:gridSpan w:val="4"/>
          </w:tcPr>
          <w:p>
            <w:pPr>
              <w:ind w:left="1980"/>
              <w:spacing w:after="0"/>
              <w:rPr>
                <w:sz w:val="20"/>
                <w:szCs w:val="20"/>
                <w:color w:val="auto"/>
              </w:rPr>
            </w:pPr>
            <w:r>
              <w:rPr>
                <w:rFonts w:ascii="Arial" w:cs="Arial" w:eastAsia="Arial" w:hAnsi="Arial"/>
                <w:sz w:val="18"/>
                <w:szCs w:val="18"/>
                <w:color w:val="auto"/>
                <w:w w:val="99"/>
              </w:rPr>
              <w:t>The accompanying notes are an integral part of these consolidated financial statements.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580" w:type="dxa"/>
            <w:vAlign w:val="bottom"/>
          </w:tcPr>
          <w:p>
            <w:pPr>
              <w:spacing w:after="0"/>
              <w:rPr>
                <w:sz w:val="24"/>
                <w:szCs w:val="24"/>
                <w:color w:val="auto"/>
              </w:rPr>
            </w:pPr>
          </w:p>
        </w:tc>
        <w:tc>
          <w:tcPr>
            <w:tcW w:w="7660" w:type="dxa"/>
            <w:vAlign w:val="bottom"/>
          </w:tcPr>
          <w:p>
            <w:pPr>
              <w:ind w:left="4920"/>
              <w:spacing w:after="0"/>
              <w:rPr>
                <w:sz w:val="20"/>
                <w:szCs w:val="20"/>
                <w:color w:val="auto"/>
              </w:rPr>
            </w:pPr>
            <w:r>
              <w:rPr>
                <w:rFonts w:ascii="Arial" w:cs="Arial" w:eastAsia="Arial" w:hAnsi="Arial"/>
                <w:sz w:val="18"/>
                <w:szCs w:val="18"/>
                <w:color w:val="auto"/>
              </w:rPr>
              <w:t>F-5</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7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7" w:name="page88"/>
    <w:bookmarkEnd w:id="87"/>
    <w:p>
      <w:pPr>
        <w:ind w:left="3520"/>
        <w:spacing w:after="0"/>
        <w:rPr>
          <w:sz w:val="20"/>
          <w:szCs w:val="20"/>
          <w:color w:val="auto"/>
        </w:rPr>
      </w:pPr>
      <w:r>
        <w:rPr>
          <w:rFonts w:ascii="Arial" w:cs="Arial" w:eastAsia="Arial" w:hAnsi="Arial"/>
          <w:sz w:val="18"/>
          <w:szCs w:val="18"/>
          <w:b w:val="1"/>
          <w:bCs w:val="1"/>
          <w:color w:val="auto"/>
        </w:rPr>
        <w:t>SYNDAX PHARMACEUTICALS, INC.</w:t>
      </w:r>
    </w:p>
    <w:p>
      <w:pPr>
        <w:spacing w:after="0" w:line="10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1"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License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139,709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139,709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72,940</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(71,423)</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(57,539)</w:t>
            </w: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(73,158)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(56,047)</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24,926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(77,064)</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(56,047)</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Basic earnings (loss) per share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 attributable to common stockholders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used in calculating:</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Basic earnings (loss) per share attributable to common stockholders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52,064,809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41,308,242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30,490,783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 attributable to common stockholders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53,622,904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41,308,242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30,490,783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64135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00"/>
          </w:cols>
          <w:pgMar w:left="900" w:top="542" w:right="899" w:bottom="1440" w:gutter="0" w:footer="0" w:header="0"/>
        </w:sectPr>
      </w:pPr>
    </w:p>
    <w:bookmarkStart w:id="88" w:name="page89"/>
    <w:bookmarkEnd w:id="88"/>
    <w:p>
      <w:pPr>
        <w:ind w:left="3520"/>
        <w:spacing w:after="0"/>
        <w:rPr>
          <w:sz w:val="20"/>
          <w:szCs w:val="20"/>
          <w:color w:val="auto"/>
        </w:rPr>
      </w:pPr>
      <w:r>
        <w:rPr>
          <w:rFonts w:ascii="Arial" w:cs="Arial" w:eastAsia="Arial" w:hAnsi="Arial"/>
          <w:sz w:val="18"/>
          <w:szCs w:val="18"/>
          <w:b w:val="1"/>
          <w:bCs w:val="1"/>
          <w:color w:val="auto"/>
        </w:rPr>
        <w:t>SYNDAX PHARMACEUTICALS, INC.</w:t>
      </w:r>
    </w:p>
    <w:p>
      <w:pPr>
        <w:spacing w:after="0" w:line="10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399"/>
              <w:spacing w:after="0"/>
              <w:rPr>
                <w:sz w:val="20"/>
                <w:szCs w:val="20"/>
                <w:color w:val="auto"/>
              </w:rPr>
            </w:pPr>
            <w:r>
              <w:rPr>
                <w:rFonts w:ascii="Arial" w:cs="Arial" w:eastAsia="Arial" w:hAnsi="Arial"/>
                <w:sz w:val="14"/>
                <w:szCs w:val="14"/>
                <w:b w:val="1"/>
                <w:bCs w:val="1"/>
                <w:color w:val="auto"/>
                <w:w w:val="90"/>
              </w:rPr>
              <w:t>Years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6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line="151"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(73,158)</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(56,047)</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gains (losses) on marketable securities, net of tax</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vMerge w:val="continue"/>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24,975</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(73,162)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(56,022)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64135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00"/>
          </w:cols>
          <w:pgMar w:left="900" w:top="542" w:right="899" w:bottom="1440" w:gutter="0" w:footer="0" w:header="0"/>
        </w:sectPr>
      </w:pPr>
    </w:p>
    <w:bookmarkStart w:id="89" w:name="page90"/>
    <w:bookmarkEnd w:id="89"/>
    <w:p>
      <w:pPr>
        <w:ind w:left="3520"/>
        <w:spacing w:after="0"/>
        <w:rPr>
          <w:sz w:val="20"/>
          <w:szCs w:val="20"/>
          <w:color w:val="auto"/>
        </w:rPr>
      </w:pPr>
      <w:r>
        <w:rPr>
          <w:rFonts w:ascii="Arial" w:cs="Arial" w:eastAsia="Arial" w:hAnsi="Arial"/>
          <w:sz w:val="18"/>
          <w:szCs w:val="18"/>
          <w:b w:val="1"/>
          <w:bCs w:val="1"/>
          <w:color w:val="auto"/>
        </w:rPr>
        <w:t>SYNDAX PHARMACEUTICALS, INC.</w:t>
      </w:r>
    </w:p>
    <w:p>
      <w:pPr>
        <w:spacing w:after="0" w:line="5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STOCKHOLDERS’ EQUITY</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1520" w:type="dxa"/>
            <w:vAlign w:val="bottom"/>
            <w:gridSpan w:val="3"/>
          </w:tcPr>
          <w:p>
            <w:pPr>
              <w:jc w:val="right"/>
              <w:ind w:right="288"/>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3"/>
              </w:rPr>
              <w:t>Accumulated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r>
      <w:tr>
        <w:trPr>
          <w:trHeight w:val="118"/>
        </w:trPr>
        <w:tc>
          <w:tcPr>
            <w:tcW w:w="4240" w:type="dxa"/>
            <w:vAlign w:val="bottom"/>
          </w:tcPr>
          <w:p>
            <w:pPr>
              <w:spacing w:after="0"/>
              <w:rPr>
                <w:sz w:val="10"/>
                <w:szCs w:val="10"/>
                <w:color w:val="auto"/>
              </w:rPr>
            </w:pPr>
          </w:p>
        </w:tc>
        <w:tc>
          <w:tcPr>
            <w:tcW w:w="1520" w:type="dxa"/>
            <w:vAlign w:val="bottom"/>
            <w:gridSpan w:val="3"/>
          </w:tcPr>
          <w:p>
            <w:pPr>
              <w:jc w:val="right"/>
              <w:ind w:right="468"/>
              <w:spacing w:after="0" w:line="119" w:lineRule="exact"/>
              <w:rPr>
                <w:sz w:val="20"/>
                <w:szCs w:val="20"/>
                <w:color w:val="auto"/>
              </w:rPr>
            </w:pPr>
            <w:r>
              <w:rPr>
                <w:rFonts w:ascii="Arial" w:cs="Arial" w:eastAsia="Arial" w:hAnsi="Arial"/>
                <w:sz w:val="11"/>
                <w:szCs w:val="11"/>
                <w:b w:val="1"/>
                <w:bCs w:val="1"/>
                <w:color w:val="auto"/>
              </w:rPr>
              <w:t>$0.0001</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19" w:lineRule="exact"/>
              <w:rPr>
                <w:sz w:val="20"/>
                <w:szCs w:val="20"/>
                <w:color w:val="auto"/>
              </w:rPr>
            </w:pPr>
            <w:r>
              <w:rPr>
                <w:rFonts w:ascii="Arial" w:cs="Arial" w:eastAsia="Arial" w:hAnsi="Arial"/>
                <w:sz w:val="11"/>
                <w:szCs w:val="11"/>
                <w:b w:val="1"/>
                <w:bCs w:val="1"/>
                <w:color w:val="auto"/>
                <w:w w:val="92"/>
              </w:rPr>
              <w:t>Additional</w:t>
            </w:r>
          </w:p>
        </w:tc>
        <w:tc>
          <w:tcPr>
            <w:tcW w:w="6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8"/>
              </w:rPr>
              <w:t>Other</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82"/>
              </w:rPr>
              <w:t>Stockholders'</w:t>
            </w:r>
          </w:p>
        </w:tc>
      </w:tr>
      <w:tr>
        <w:trPr>
          <w:trHeight w:val="132"/>
        </w:trPr>
        <w:tc>
          <w:tcPr>
            <w:tcW w:w="4240" w:type="dxa"/>
            <w:vAlign w:val="bottom"/>
          </w:tcPr>
          <w:p>
            <w:pPr>
              <w:spacing w:after="0"/>
              <w:rPr>
                <w:sz w:val="11"/>
                <w:szCs w:val="11"/>
                <w:color w:val="auto"/>
              </w:rPr>
            </w:pPr>
          </w:p>
        </w:tc>
        <w:tc>
          <w:tcPr>
            <w:tcW w:w="15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1"/>
                <w:szCs w:val="11"/>
                <w:b w:val="1"/>
                <w:bCs w:val="1"/>
                <w:color w:val="auto"/>
              </w:rPr>
              <w:t>Par Value</w:t>
            </w: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9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4"/>
              </w:rPr>
              <w:t>Comprehensive</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3"/>
              </w:rPr>
              <w:t>Accumulated</w:t>
            </w:r>
          </w:p>
        </w:tc>
        <w:tc>
          <w:tcPr>
            <w:tcW w:w="14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r>
      <w:tr>
        <w:trPr>
          <w:trHeight w:val="125"/>
        </w:trPr>
        <w:tc>
          <w:tcPr>
            <w:tcW w:w="4240" w:type="dxa"/>
            <w:vAlign w:val="bottom"/>
            <w:tcBorders>
              <w:bottom w:val="single" w:sz="8" w:color="CFF0FC"/>
            </w:tcBorders>
          </w:tcPr>
          <w:p>
            <w:pPr>
              <w:spacing w:after="0"/>
              <w:rPr>
                <w:sz w:val="10"/>
                <w:szCs w:val="10"/>
                <w:color w:val="auto"/>
              </w:rPr>
            </w:pPr>
          </w:p>
        </w:tc>
        <w:tc>
          <w:tcPr>
            <w:tcW w:w="740" w:type="dxa"/>
            <w:vAlign w:val="bottom"/>
            <w:tcBorders>
              <w:bottom w:val="single" w:sz="8" w:color="auto"/>
            </w:tcBorders>
          </w:tcPr>
          <w:p>
            <w:pPr>
              <w:jc w:val="right"/>
              <w:ind w:right="163"/>
              <w:spacing w:after="0" w:line="125" w:lineRule="exact"/>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CFF0FC"/>
            </w:tcBorders>
          </w:tcPr>
          <w:p>
            <w:pPr>
              <w:spacing w:after="0"/>
              <w:rPr>
                <w:sz w:val="10"/>
                <w:szCs w:val="10"/>
                <w:color w:val="auto"/>
              </w:rPr>
            </w:pPr>
          </w:p>
        </w:tc>
        <w:tc>
          <w:tcPr>
            <w:tcW w:w="5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83"/>
              <w:spacing w:after="0" w:line="125" w:lineRule="exact"/>
              <w:rPr>
                <w:sz w:val="20"/>
                <w:szCs w:val="20"/>
                <w:color w:val="auto"/>
              </w:rPr>
            </w:pPr>
            <w:r>
              <w:rPr>
                <w:rFonts w:ascii="Arial" w:cs="Arial" w:eastAsia="Arial" w:hAnsi="Arial"/>
                <w:sz w:val="11"/>
                <w:szCs w:val="11"/>
                <w:b w:val="1"/>
                <w:bCs w:val="1"/>
                <w:color w:val="auto"/>
              </w:rPr>
              <w:t>Capital</w:t>
            </w:r>
          </w:p>
        </w:tc>
        <w:tc>
          <w:tcPr>
            <w:tcW w:w="200" w:type="dxa"/>
            <w:vAlign w:val="bottom"/>
            <w:tcBorders>
              <w:bottom w:val="single" w:sz="8" w:color="CFF0FC"/>
            </w:tcBorders>
          </w:tcPr>
          <w:p>
            <w:pPr>
              <w:spacing w:after="0"/>
              <w:rPr>
                <w:sz w:val="10"/>
                <w:szCs w:val="10"/>
                <w:color w:val="auto"/>
              </w:rPr>
            </w:pPr>
          </w:p>
        </w:tc>
        <w:tc>
          <w:tcPr>
            <w:tcW w:w="740" w:type="dxa"/>
            <w:vAlign w:val="bottom"/>
            <w:tcBorders>
              <w:bottom w:val="single" w:sz="8" w:color="auto"/>
            </w:tcBorders>
            <w:gridSpan w:val="2"/>
          </w:tcPr>
          <w:p>
            <w:pPr>
              <w:jc w:val="center"/>
              <w:spacing w:after="0" w:line="125" w:lineRule="exact"/>
              <w:rPr>
                <w:sz w:val="20"/>
                <w:szCs w:val="20"/>
                <w:color w:val="auto"/>
              </w:rPr>
            </w:pPr>
            <w:r>
              <w:rPr>
                <w:rFonts w:ascii="Arial" w:cs="Arial" w:eastAsia="Arial" w:hAnsi="Arial"/>
                <w:sz w:val="11"/>
                <w:szCs w:val="11"/>
                <w:b w:val="1"/>
                <w:bCs w:val="1"/>
                <w:color w:val="auto"/>
                <w:w w:val="83"/>
              </w:rPr>
              <w:t>Income (Loss)</w:t>
            </w:r>
          </w:p>
        </w:tc>
        <w:tc>
          <w:tcPr>
            <w:tcW w:w="20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83"/>
              <w:spacing w:after="0" w:line="125" w:lineRule="exact"/>
              <w:rPr>
                <w:sz w:val="20"/>
                <w:szCs w:val="20"/>
                <w:color w:val="auto"/>
              </w:rPr>
            </w:pPr>
            <w:r>
              <w:rPr>
                <w:rFonts w:ascii="Arial" w:cs="Arial" w:eastAsia="Arial" w:hAnsi="Arial"/>
                <w:sz w:val="11"/>
                <w:szCs w:val="11"/>
                <w:b w:val="1"/>
                <w:bCs w:val="1"/>
                <w:color w:val="auto"/>
              </w:rPr>
              <w:t>Deficit</w:t>
            </w:r>
          </w:p>
        </w:tc>
        <w:tc>
          <w:tcPr>
            <w:tcW w:w="12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680" w:type="dxa"/>
            <w:vAlign w:val="bottom"/>
            <w:tcBorders>
              <w:bottom w:val="single" w:sz="8" w:color="auto"/>
            </w:tcBorders>
          </w:tcPr>
          <w:p>
            <w:pPr>
              <w:jc w:val="center"/>
              <w:ind w:right="23"/>
              <w:spacing w:after="0" w:line="125" w:lineRule="exact"/>
              <w:rPr>
                <w:sz w:val="20"/>
                <w:szCs w:val="20"/>
                <w:color w:val="auto"/>
              </w:rPr>
            </w:pPr>
            <w:r>
              <w:rPr>
                <w:rFonts w:ascii="Arial" w:cs="Arial" w:eastAsia="Arial" w:hAnsi="Arial"/>
                <w:sz w:val="11"/>
                <w:szCs w:val="11"/>
                <w:b w:val="1"/>
                <w:bCs w:val="1"/>
                <w:color w:val="auto"/>
                <w:w w:val="87"/>
              </w:rPr>
              <w:t>(Deficit)</w:t>
            </w:r>
          </w:p>
        </w:tc>
        <w:tc>
          <w:tcPr>
            <w:tcW w:w="100" w:type="dxa"/>
            <w:vAlign w:val="bottom"/>
            <w:tcBorders>
              <w:bottom w:val="single" w:sz="8" w:color="CFF0FC"/>
            </w:tcBorders>
          </w:tcPr>
          <w:p>
            <w:pPr>
              <w:spacing w:after="0"/>
              <w:rPr>
                <w:sz w:val="10"/>
                <w:szCs w:val="10"/>
                <w:color w:val="auto"/>
              </w:rPr>
            </w:pPr>
          </w:p>
        </w:tc>
      </w:tr>
      <w:tr>
        <w:trPr>
          <w:trHeight w:val="138"/>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Balance—January 1, 2019</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24,835,951</w:t>
            </w:r>
          </w:p>
        </w:tc>
        <w:tc>
          <w:tcPr>
            <w:tcW w:w="780" w:type="dxa"/>
            <w:vAlign w:val="bottom"/>
            <w:gridSpan w:val="2"/>
            <w:shd w:val="clear" w:color="auto" w:fill="CFF0FC"/>
          </w:tcPr>
          <w:p>
            <w:pPr>
              <w:jc w:val="right"/>
              <w:ind w:right="468"/>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492,493</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(439,423)</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53,047</w:t>
            </w:r>
          </w:p>
        </w:tc>
        <w:tc>
          <w:tcPr>
            <w:tcW w:w="100" w:type="dxa"/>
            <w:vAlign w:val="bottom"/>
            <w:shd w:val="clear" w:color="auto" w:fill="CFF0FC"/>
          </w:tcPr>
          <w:p>
            <w:pPr>
              <w:spacing w:after="0"/>
              <w:rPr>
                <w:sz w:val="11"/>
                <w:szCs w:val="11"/>
                <w:color w:val="auto"/>
              </w:rPr>
            </w:pPr>
          </w:p>
        </w:tc>
      </w:tr>
      <w:tr>
        <w:trPr>
          <w:trHeight w:val="138"/>
        </w:trPr>
        <w:tc>
          <w:tcPr>
            <w:tcW w:w="4240" w:type="dxa"/>
            <w:vAlign w:val="bottom"/>
          </w:tcPr>
          <w:p>
            <w:pPr>
              <w:spacing w:after="0"/>
              <w:rPr>
                <w:sz w:val="20"/>
                <w:szCs w:val="20"/>
                <w:color w:val="auto"/>
              </w:rPr>
            </w:pPr>
            <w:r>
              <w:rPr>
                <w:rFonts w:ascii="Arial" w:cs="Arial" w:eastAsia="Arial" w:hAnsi="Arial"/>
                <w:sz w:val="11"/>
                <w:szCs w:val="11"/>
                <w:color w:val="auto"/>
              </w:rPr>
              <w:t>Proceeds from At-the-market offering, net of $34 offering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4240" w:type="dxa"/>
            <w:vAlign w:val="bottom"/>
          </w:tcPr>
          <w:p>
            <w:pPr>
              <w:ind w:left="80"/>
              <w:spacing w:after="0"/>
              <w:rPr>
                <w:sz w:val="20"/>
                <w:szCs w:val="20"/>
                <w:color w:val="auto"/>
              </w:rPr>
            </w:pPr>
            <w:r>
              <w:rPr>
                <w:rFonts w:ascii="Arial" w:cs="Arial" w:eastAsia="Arial" w:hAnsi="Arial"/>
                <w:sz w:val="11"/>
                <w:szCs w:val="11"/>
                <w:color w:val="auto"/>
              </w:rPr>
              <w:t>expense</w:t>
            </w:r>
          </w:p>
        </w:tc>
        <w:tc>
          <w:tcPr>
            <w:tcW w:w="740" w:type="dxa"/>
            <w:vAlign w:val="bottom"/>
          </w:tcPr>
          <w:p>
            <w:pPr>
              <w:jc w:val="right"/>
              <w:spacing w:after="0"/>
              <w:rPr>
                <w:sz w:val="20"/>
                <w:szCs w:val="20"/>
                <w:color w:val="auto"/>
              </w:rPr>
            </w:pPr>
            <w:r>
              <w:rPr>
                <w:rFonts w:ascii="Arial" w:cs="Arial" w:eastAsia="Arial" w:hAnsi="Arial"/>
                <w:sz w:val="11"/>
                <w:szCs w:val="11"/>
                <w:color w:val="auto"/>
              </w:rPr>
              <w:t>140,819</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830</w:t>
            </w:r>
          </w:p>
        </w:tc>
        <w:tc>
          <w:tcPr>
            <w:tcW w:w="100" w:type="dxa"/>
            <w:vAlign w:val="bottom"/>
          </w:tcPr>
          <w:p>
            <w:pPr>
              <w:spacing w:after="0"/>
              <w:rPr>
                <w:sz w:val="11"/>
                <w:szCs w:val="11"/>
                <w:color w:val="auto"/>
              </w:rPr>
            </w:pPr>
          </w:p>
        </w:tc>
      </w:tr>
      <w:tr>
        <w:trPr>
          <w:trHeight w:val="138"/>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direct offering, net of $1,571 in common stock</w:t>
            </w: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8"/>
        </w:trPr>
        <w:tc>
          <w:tcPr>
            <w:tcW w:w="4240" w:type="dxa"/>
            <w:vAlign w:val="bottom"/>
            <w:shd w:val="clear" w:color="auto" w:fill="CFF0FC"/>
          </w:tcPr>
          <w:p>
            <w:pPr>
              <w:ind w:left="80"/>
              <w:spacing w:after="0"/>
              <w:rPr>
                <w:sz w:val="20"/>
                <w:szCs w:val="20"/>
                <w:color w:val="auto"/>
              </w:rPr>
            </w:pPr>
            <w:r>
              <w:rPr>
                <w:rFonts w:ascii="Arial" w:cs="Arial" w:eastAsia="Arial" w:hAnsi="Arial"/>
                <w:sz w:val="11"/>
                <w:szCs w:val="11"/>
                <w:color w:val="auto"/>
              </w:rPr>
              <w:t>warrants, $98 offering expenses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2,095,039</w:t>
            </w: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10,901</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10,902</w:t>
            </w:r>
          </w:p>
        </w:tc>
        <w:tc>
          <w:tcPr>
            <w:tcW w:w="100" w:type="dxa"/>
            <w:vAlign w:val="bottom"/>
            <w:shd w:val="clear" w:color="auto" w:fill="CFF0FC"/>
          </w:tcPr>
          <w:p>
            <w:pPr>
              <w:spacing w:after="0"/>
              <w:rPr>
                <w:sz w:val="11"/>
                <w:szCs w:val="11"/>
                <w:color w:val="auto"/>
              </w:rPr>
            </w:pPr>
          </w:p>
        </w:tc>
      </w:tr>
      <w:tr>
        <w:trPr>
          <w:trHeight w:val="138"/>
        </w:trPr>
        <w:tc>
          <w:tcPr>
            <w:tcW w:w="4240" w:type="dxa"/>
            <w:vAlign w:val="bottom"/>
          </w:tcPr>
          <w:p>
            <w:pPr>
              <w:spacing w:after="0"/>
              <w:rPr>
                <w:sz w:val="20"/>
                <w:szCs w:val="20"/>
                <w:color w:val="auto"/>
              </w:rPr>
            </w:pPr>
            <w:r>
              <w:rPr>
                <w:rFonts w:ascii="Arial" w:cs="Arial" w:eastAsia="Arial" w:hAnsi="Arial"/>
                <w:sz w:val="11"/>
                <w:szCs w:val="11"/>
                <w:color w:val="auto"/>
              </w:rPr>
              <w:t>Proceeds from pre-funded common stock warrant from direct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4240" w:type="dxa"/>
            <w:vAlign w:val="bottom"/>
          </w:tcPr>
          <w:p>
            <w:pPr>
              <w:ind w:left="80"/>
              <w:spacing w:after="0"/>
              <w:rPr>
                <w:sz w:val="20"/>
                <w:szCs w:val="20"/>
                <w:color w:val="auto"/>
              </w:rPr>
            </w:pPr>
            <w:r>
              <w:rPr>
                <w:rFonts w:ascii="Arial" w:cs="Arial" w:eastAsia="Arial" w:hAnsi="Arial"/>
                <w:sz w:val="11"/>
                <w:szCs w:val="11"/>
                <w:color w:val="auto"/>
              </w:rPr>
              <w:t>offering, net of $1,875 in common stock warrants, $93 offering</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4240" w:type="dxa"/>
            <w:vAlign w:val="bottom"/>
          </w:tcPr>
          <w:p>
            <w:pPr>
              <w:ind w:left="80"/>
              <w:spacing w:after="0"/>
              <w:rPr>
                <w:sz w:val="20"/>
                <w:szCs w:val="20"/>
                <w:color w:val="auto"/>
              </w:rPr>
            </w:pPr>
            <w:r>
              <w:rPr>
                <w:rFonts w:ascii="Arial" w:cs="Arial" w:eastAsia="Arial" w:hAnsi="Arial"/>
                <w:sz w:val="11"/>
                <w:szCs w:val="11"/>
                <w:color w:val="auto"/>
              </w:rPr>
              <w:t>expenses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13,032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13,032</w:t>
            </w:r>
          </w:p>
        </w:tc>
        <w:tc>
          <w:tcPr>
            <w:tcW w:w="100" w:type="dxa"/>
            <w:vAlign w:val="bottom"/>
          </w:tcPr>
          <w:p>
            <w:pPr>
              <w:spacing w:after="0"/>
              <w:rPr>
                <w:sz w:val="11"/>
                <w:szCs w:val="11"/>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stock warrant with direct offering</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3,446</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3,446</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Stock purchase under ESPP</w:t>
            </w:r>
          </w:p>
        </w:tc>
        <w:tc>
          <w:tcPr>
            <w:tcW w:w="740" w:type="dxa"/>
            <w:vAlign w:val="bottom"/>
          </w:tcPr>
          <w:p>
            <w:pPr>
              <w:jc w:val="right"/>
              <w:spacing w:after="0"/>
              <w:rPr>
                <w:sz w:val="20"/>
                <w:szCs w:val="20"/>
                <w:color w:val="auto"/>
              </w:rPr>
            </w:pPr>
            <w:r>
              <w:rPr>
                <w:rFonts w:ascii="Arial" w:cs="Arial" w:eastAsia="Arial" w:hAnsi="Arial"/>
                <w:sz w:val="11"/>
                <w:szCs w:val="11"/>
                <w:color w:val="auto"/>
              </w:rPr>
              <w:t>42,818</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6,005</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6,005</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Unrealized gains on short-term investments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Employee withholdings ESPP</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Proceeds from exercise of stock options</w:t>
            </w:r>
          </w:p>
        </w:tc>
        <w:tc>
          <w:tcPr>
            <w:tcW w:w="740" w:type="dxa"/>
            <w:vAlign w:val="bottom"/>
          </w:tcPr>
          <w:p>
            <w:pPr>
              <w:jc w:val="right"/>
              <w:spacing w:after="0"/>
              <w:rPr>
                <w:sz w:val="20"/>
                <w:szCs w:val="20"/>
                <w:color w:val="auto"/>
              </w:rPr>
            </w:pPr>
            <w:r>
              <w:rPr>
                <w:rFonts w:ascii="Arial" w:cs="Arial" w:eastAsia="Arial" w:hAnsi="Arial"/>
                <w:sz w:val="11"/>
                <w:szCs w:val="11"/>
                <w:color w:val="auto"/>
              </w:rPr>
              <w:t>25,857</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12"/>
                <w:szCs w:val="12"/>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(56,047)</w:t>
            </w:r>
          </w:p>
        </w:tc>
        <w:tc>
          <w:tcPr>
            <w:tcW w:w="140" w:type="dxa"/>
            <w:vAlign w:val="bottom"/>
            <w:tcBorders>
              <w:right w:val="single" w:sz="8" w:color="CFF0FC"/>
            </w:tcBorders>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(56,047)</w:t>
            </w:r>
          </w:p>
        </w:tc>
      </w:tr>
      <w:tr>
        <w:trPr>
          <w:trHeight w:val="20"/>
        </w:trPr>
        <w:tc>
          <w:tcPr>
            <w:tcW w:w="4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240" w:type="dxa"/>
            <w:vAlign w:val="bottom"/>
          </w:tcPr>
          <w:p>
            <w:pPr>
              <w:spacing w:after="0"/>
              <w:rPr>
                <w:sz w:val="20"/>
                <w:szCs w:val="20"/>
                <w:color w:val="auto"/>
              </w:rPr>
            </w:pPr>
            <w:r>
              <w:rPr>
                <w:rFonts w:ascii="Arial" w:cs="Arial" w:eastAsia="Arial" w:hAnsi="Arial"/>
                <w:sz w:val="11"/>
                <w:szCs w:val="11"/>
                <w:color w:val="auto"/>
              </w:rPr>
              <w:t>Balance—December 31, 2019</w:t>
            </w:r>
          </w:p>
        </w:tc>
        <w:tc>
          <w:tcPr>
            <w:tcW w:w="740" w:type="dxa"/>
            <w:vAlign w:val="bottom"/>
          </w:tcPr>
          <w:p>
            <w:pPr>
              <w:jc w:val="right"/>
              <w:spacing w:after="0"/>
              <w:rPr>
                <w:sz w:val="20"/>
                <w:szCs w:val="20"/>
                <w:color w:val="auto"/>
              </w:rPr>
            </w:pPr>
            <w:r>
              <w:rPr>
                <w:rFonts w:ascii="Arial" w:cs="Arial" w:eastAsia="Arial" w:hAnsi="Arial"/>
                <w:sz w:val="11"/>
                <w:szCs w:val="11"/>
                <w:color w:val="auto"/>
              </w:rPr>
              <w:t>27,140,484</w:t>
            </w:r>
          </w:p>
        </w:tc>
        <w:tc>
          <w:tcPr>
            <w:tcW w:w="200" w:type="dxa"/>
            <w:vAlign w:val="bottom"/>
          </w:tcPr>
          <w:p>
            <w:pPr>
              <w:spacing w:after="0"/>
              <w:rPr>
                <w:sz w:val="11"/>
                <w:szCs w:val="11"/>
                <w:color w:val="auto"/>
              </w:rPr>
            </w:pPr>
          </w:p>
        </w:tc>
        <w:tc>
          <w:tcPr>
            <w:tcW w:w="580" w:type="dxa"/>
            <w:vAlign w:val="bottom"/>
          </w:tcPr>
          <w:p>
            <w:pPr>
              <w:jc w:val="right"/>
              <w:ind w:right="468"/>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527,067</w:t>
            </w:r>
          </w:p>
        </w:tc>
        <w:tc>
          <w:tcPr>
            <w:tcW w:w="2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(495,470)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31,600</w:t>
            </w:r>
          </w:p>
        </w:tc>
        <w:tc>
          <w:tcPr>
            <w:tcW w:w="100" w:type="dxa"/>
            <w:vAlign w:val="bottom"/>
          </w:tcPr>
          <w:p>
            <w:pPr>
              <w:spacing w:after="0"/>
              <w:rPr>
                <w:sz w:val="11"/>
                <w:szCs w:val="11"/>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direct offering, net of $93 offering expenses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3,036,719</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24,201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24,201</w:t>
            </w:r>
          </w:p>
        </w:tc>
        <w:tc>
          <w:tcPr>
            <w:tcW w:w="100" w:type="dxa"/>
            <w:vAlign w:val="bottom"/>
            <w:shd w:val="clear" w:color="auto" w:fill="CFF0FC"/>
          </w:tcPr>
          <w:p>
            <w:pPr>
              <w:spacing w:after="0"/>
              <w:rPr>
                <w:sz w:val="12"/>
                <w:szCs w:val="12"/>
                <w:color w:val="auto"/>
              </w:rPr>
            </w:pPr>
          </w:p>
        </w:tc>
      </w:tr>
      <w:tr>
        <w:trPr>
          <w:trHeight w:val="138"/>
        </w:trPr>
        <w:tc>
          <w:tcPr>
            <w:tcW w:w="4240" w:type="dxa"/>
            <w:vAlign w:val="bottom"/>
          </w:tcPr>
          <w:p>
            <w:pPr>
              <w:spacing w:after="0"/>
              <w:rPr>
                <w:sz w:val="20"/>
                <w:szCs w:val="20"/>
                <w:color w:val="auto"/>
              </w:rPr>
            </w:pPr>
            <w:r>
              <w:rPr>
                <w:rFonts w:ascii="Arial" w:cs="Arial" w:eastAsia="Arial" w:hAnsi="Arial"/>
                <w:sz w:val="11"/>
                <w:szCs w:val="11"/>
                <w:color w:val="auto"/>
              </w:rPr>
              <w:t>Proceeds from pre-funded common stock warrant from direct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4240" w:type="dxa"/>
            <w:vAlign w:val="bottom"/>
          </w:tcPr>
          <w:p>
            <w:pPr>
              <w:ind w:left="80"/>
              <w:spacing w:after="0"/>
              <w:rPr>
                <w:sz w:val="20"/>
                <w:szCs w:val="20"/>
                <w:color w:val="auto"/>
              </w:rPr>
            </w:pPr>
            <w:r>
              <w:rPr>
                <w:rFonts w:ascii="Arial" w:cs="Arial" w:eastAsia="Arial" w:hAnsi="Arial"/>
                <w:sz w:val="11"/>
                <w:szCs w:val="11"/>
                <w:color w:val="auto"/>
              </w:rPr>
              <w:t>offering, net of $41 offering expenses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10,665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10,665</w:t>
            </w:r>
          </w:p>
        </w:tc>
        <w:tc>
          <w:tcPr>
            <w:tcW w:w="100" w:type="dxa"/>
            <w:vAlign w:val="bottom"/>
          </w:tcPr>
          <w:p>
            <w:pPr>
              <w:spacing w:after="0"/>
              <w:rPr>
                <w:sz w:val="11"/>
                <w:szCs w:val="11"/>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direct offering, net of $7,132 offering expenses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6,388,889</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107,867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107,868</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Proceeds from direct offering, net of $8,770 offering expenses</w:t>
            </w:r>
          </w:p>
        </w:tc>
        <w:tc>
          <w:tcPr>
            <w:tcW w:w="740" w:type="dxa"/>
            <w:vAlign w:val="bottom"/>
          </w:tcPr>
          <w:p>
            <w:pPr>
              <w:jc w:val="right"/>
              <w:spacing w:after="0"/>
              <w:rPr>
                <w:sz w:val="20"/>
                <w:szCs w:val="20"/>
                <w:color w:val="auto"/>
              </w:rPr>
            </w:pPr>
            <w:r>
              <w:rPr>
                <w:rFonts w:ascii="Arial" w:cs="Arial" w:eastAsia="Arial" w:hAnsi="Arial"/>
                <w:sz w:val="11"/>
                <w:szCs w:val="11"/>
                <w:color w:val="auto"/>
              </w:rPr>
              <w:t>6,250,000</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134,980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134,981</w:t>
            </w:r>
          </w:p>
        </w:tc>
        <w:tc>
          <w:tcPr>
            <w:tcW w:w="100" w:type="dxa"/>
            <w:vAlign w:val="bottom"/>
          </w:tcPr>
          <w:p>
            <w:pPr>
              <w:spacing w:after="0"/>
              <w:rPr>
                <w:sz w:val="12"/>
                <w:szCs w:val="12"/>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Deemed dividend from repricing Series 1 and 2 warrants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3,906</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3,906</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Repricing Series 1 and 2 warrants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(3,906)</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(3,906)</w:t>
            </w: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Stock purchase under ESPP</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33,706</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Pre-funded warrant exercise</w:t>
            </w:r>
          </w:p>
        </w:tc>
        <w:tc>
          <w:tcPr>
            <w:tcW w:w="740" w:type="dxa"/>
            <w:vAlign w:val="bottom"/>
          </w:tcPr>
          <w:p>
            <w:pPr>
              <w:jc w:val="right"/>
              <w:spacing w:after="0"/>
              <w:rPr>
                <w:sz w:val="20"/>
                <w:szCs w:val="20"/>
                <w:color w:val="auto"/>
              </w:rPr>
            </w:pPr>
            <w:r>
              <w:rPr>
                <w:rFonts w:ascii="Arial" w:cs="Arial" w:eastAsia="Arial" w:hAnsi="Arial"/>
                <w:sz w:val="11"/>
                <w:szCs w:val="11"/>
                <w:color w:val="auto"/>
              </w:rPr>
              <w:t>2,280,318</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9,057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9,057</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Unrealized losses on short-term investments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w:t>
            </w: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Exercise of Series 1 and Series 2 warrants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1,995,941</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Employee withholdings ESPP</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345</w:t>
            </w:r>
          </w:p>
        </w:tc>
        <w:tc>
          <w:tcPr>
            <w:tcW w:w="100" w:type="dxa"/>
            <w:vAlign w:val="bottom"/>
          </w:tcPr>
          <w:p>
            <w:pPr>
              <w:spacing w:after="0"/>
              <w:rPr>
                <w:sz w:val="12"/>
                <w:szCs w:val="12"/>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exercise 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755,166</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6,633</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6,633</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Net loss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(73,158)</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(73,158)</w:t>
            </w:r>
          </w:p>
        </w:tc>
      </w:tr>
      <w:tr>
        <w:trPr>
          <w:trHeight w:val="20"/>
        </w:trPr>
        <w:tc>
          <w:tcPr>
            <w:tcW w:w="4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38"/>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Balance—December 31, 2020</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47,881,223</w:t>
            </w: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820,815</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(568,628)</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252,188</w:t>
            </w:r>
          </w:p>
        </w:tc>
        <w:tc>
          <w:tcPr>
            <w:tcW w:w="100" w:type="dxa"/>
            <w:vAlign w:val="bottom"/>
            <w:shd w:val="clear" w:color="auto" w:fill="CFF0FC"/>
          </w:tcPr>
          <w:p>
            <w:pPr>
              <w:spacing w:after="0"/>
              <w:rPr>
                <w:sz w:val="11"/>
                <w:szCs w:val="11"/>
                <w:color w:val="auto"/>
              </w:rPr>
            </w:pPr>
          </w:p>
        </w:tc>
      </w:tr>
      <w:tr>
        <w:trPr>
          <w:trHeight w:val="138"/>
        </w:trPr>
        <w:tc>
          <w:tcPr>
            <w:tcW w:w="4240" w:type="dxa"/>
            <w:vAlign w:val="bottom"/>
          </w:tcPr>
          <w:p>
            <w:pPr>
              <w:spacing w:after="0"/>
              <w:rPr>
                <w:sz w:val="20"/>
                <w:szCs w:val="20"/>
                <w:color w:val="auto"/>
              </w:rPr>
            </w:pPr>
            <w:r>
              <w:rPr>
                <w:rFonts w:ascii="Arial" w:cs="Arial" w:eastAsia="Arial" w:hAnsi="Arial"/>
                <w:sz w:val="11"/>
                <w:szCs w:val="11"/>
                <w:color w:val="auto"/>
              </w:rPr>
              <w:t>Proceeds from At-the-market offering, net of $159 offering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4240" w:type="dxa"/>
            <w:vAlign w:val="bottom"/>
          </w:tcPr>
          <w:p>
            <w:pPr>
              <w:ind w:left="80"/>
              <w:spacing w:after="0"/>
              <w:rPr>
                <w:sz w:val="20"/>
                <w:szCs w:val="20"/>
                <w:color w:val="auto"/>
              </w:rPr>
            </w:pPr>
            <w:r>
              <w:rPr>
                <w:rFonts w:ascii="Arial" w:cs="Arial" w:eastAsia="Arial" w:hAnsi="Arial"/>
                <w:sz w:val="11"/>
                <w:szCs w:val="11"/>
                <w:color w:val="auto"/>
              </w:rPr>
              <w:t>expenses</w:t>
            </w:r>
          </w:p>
        </w:tc>
        <w:tc>
          <w:tcPr>
            <w:tcW w:w="740" w:type="dxa"/>
            <w:vAlign w:val="bottom"/>
          </w:tcPr>
          <w:p>
            <w:pPr>
              <w:jc w:val="right"/>
              <w:spacing w:after="0"/>
              <w:rPr>
                <w:sz w:val="20"/>
                <w:szCs w:val="20"/>
                <w:color w:val="auto"/>
              </w:rPr>
            </w:pPr>
            <w:r>
              <w:rPr>
                <w:rFonts w:ascii="Arial" w:cs="Arial" w:eastAsia="Arial" w:hAnsi="Arial"/>
                <w:sz w:val="11"/>
                <w:szCs w:val="11"/>
                <w:color w:val="auto"/>
              </w:rPr>
              <w:t>277,629</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5,131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5,131</w:t>
            </w:r>
          </w:p>
        </w:tc>
        <w:tc>
          <w:tcPr>
            <w:tcW w:w="100" w:type="dxa"/>
            <w:vAlign w:val="bottom"/>
          </w:tcPr>
          <w:p>
            <w:pPr>
              <w:spacing w:after="0"/>
              <w:rPr>
                <w:sz w:val="11"/>
                <w:szCs w:val="11"/>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direct offering, net of $5,332 offering expenses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3,802,144</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81,205</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81,206</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Stock purchase under ESPP</w:t>
            </w:r>
          </w:p>
        </w:tc>
        <w:tc>
          <w:tcPr>
            <w:tcW w:w="740" w:type="dxa"/>
            <w:vAlign w:val="bottom"/>
          </w:tcPr>
          <w:p>
            <w:pPr>
              <w:jc w:val="right"/>
              <w:spacing w:after="0"/>
              <w:rPr>
                <w:sz w:val="20"/>
                <w:szCs w:val="20"/>
                <w:color w:val="auto"/>
              </w:rPr>
            </w:pPr>
            <w:r>
              <w:rPr>
                <w:rFonts w:ascii="Arial" w:cs="Arial" w:eastAsia="Arial" w:hAnsi="Arial"/>
                <w:sz w:val="11"/>
                <w:szCs w:val="11"/>
                <w:color w:val="auto"/>
              </w:rPr>
              <w:t>26,878</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Pre-funded warrant exercise</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725,784</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Proceeds from Incyte Share Purchase Agreement</w:t>
            </w:r>
          </w:p>
        </w:tc>
        <w:tc>
          <w:tcPr>
            <w:tcW w:w="740" w:type="dxa"/>
            <w:vAlign w:val="bottom"/>
          </w:tcPr>
          <w:p>
            <w:pPr>
              <w:jc w:val="right"/>
              <w:spacing w:after="0"/>
              <w:rPr>
                <w:sz w:val="20"/>
                <w:szCs w:val="20"/>
                <w:color w:val="auto"/>
              </w:rPr>
            </w:pPr>
            <w:r>
              <w:rPr>
                <w:rFonts w:ascii="Arial" w:cs="Arial" w:eastAsia="Arial" w:hAnsi="Arial"/>
                <w:sz w:val="11"/>
                <w:szCs w:val="11"/>
                <w:color w:val="auto"/>
              </w:rPr>
              <w:t>1,421,523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24,848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24,848</w:t>
            </w:r>
          </w:p>
        </w:tc>
        <w:tc>
          <w:tcPr>
            <w:tcW w:w="100" w:type="dxa"/>
            <w:vAlign w:val="bottom"/>
          </w:tcPr>
          <w:p>
            <w:pPr>
              <w:spacing w:after="0"/>
              <w:rPr>
                <w:sz w:val="12"/>
                <w:szCs w:val="12"/>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13,317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13,317</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Unrealized losses on short-term investments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2"/>
                <w:szCs w:val="12"/>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Vesting of RSU</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5,500</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4240" w:type="dxa"/>
            <w:vAlign w:val="bottom"/>
          </w:tcPr>
          <w:p>
            <w:pPr>
              <w:spacing w:after="0"/>
              <w:rPr>
                <w:sz w:val="20"/>
                <w:szCs w:val="20"/>
                <w:color w:val="auto"/>
              </w:rPr>
            </w:pPr>
            <w:r>
              <w:rPr>
                <w:rFonts w:ascii="Arial" w:cs="Arial" w:eastAsia="Arial" w:hAnsi="Arial"/>
                <w:sz w:val="11"/>
                <w:szCs w:val="11"/>
                <w:color w:val="auto"/>
              </w:rPr>
              <w:t>Employee withholdings ESPP</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367</w:t>
            </w:r>
          </w:p>
        </w:tc>
        <w:tc>
          <w:tcPr>
            <w:tcW w:w="100" w:type="dxa"/>
            <w:vAlign w:val="bottom"/>
          </w:tcPr>
          <w:p>
            <w:pPr>
              <w:spacing w:after="0"/>
              <w:rPr>
                <w:sz w:val="12"/>
                <w:szCs w:val="12"/>
                <w:color w:val="auto"/>
              </w:rPr>
            </w:pPr>
          </w:p>
        </w:tc>
      </w:tr>
      <w:tr>
        <w:trPr>
          <w:trHeight w:val="145"/>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exercise 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842,424</w:t>
            </w: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6,336</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6,336</w:t>
            </w:r>
          </w:p>
        </w:tc>
        <w:tc>
          <w:tcPr>
            <w:tcW w:w="100" w:type="dxa"/>
            <w:vAlign w:val="bottom"/>
            <w:shd w:val="clear" w:color="auto" w:fill="CFF0FC"/>
          </w:tcPr>
          <w:p>
            <w:pPr>
              <w:spacing w:after="0"/>
              <w:rPr>
                <w:sz w:val="12"/>
                <w:szCs w:val="12"/>
                <w:color w:val="auto"/>
              </w:rPr>
            </w:pPr>
          </w:p>
        </w:tc>
      </w:tr>
      <w:tr>
        <w:trPr>
          <w:trHeight w:val="145"/>
        </w:trPr>
        <w:tc>
          <w:tcPr>
            <w:tcW w:w="42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Net 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24,926</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24,926</w:t>
            </w:r>
          </w:p>
        </w:tc>
        <w:tc>
          <w:tcPr>
            <w:tcW w:w="100" w:type="dxa"/>
            <w:vAlign w:val="bottom"/>
            <w:tcBorders>
              <w:bottom w:val="single" w:sz="8" w:color="CFF0FC"/>
            </w:tcBorders>
          </w:tcPr>
          <w:p>
            <w:pPr>
              <w:spacing w:after="0"/>
              <w:rPr>
                <w:sz w:val="12"/>
                <w:szCs w:val="12"/>
                <w:color w:val="auto"/>
              </w:rPr>
            </w:pPr>
          </w:p>
        </w:tc>
      </w:tr>
      <w:tr>
        <w:trPr>
          <w:trHeight w:val="138"/>
        </w:trPr>
        <w:tc>
          <w:tcPr>
            <w:tcW w:w="4240" w:type="dxa"/>
            <w:vAlign w:val="bottom"/>
            <w:shd w:val="clear" w:color="auto" w:fill="CFF0FC"/>
          </w:tcPr>
          <w:p>
            <w:pPr>
              <w:spacing w:after="0"/>
              <w:rPr>
                <w:sz w:val="20"/>
                <w:szCs w:val="20"/>
                <w:color w:val="auto"/>
              </w:rPr>
            </w:pPr>
            <w:r>
              <w:rPr>
                <w:rFonts w:ascii="Arial" w:cs="Arial" w:eastAsia="Arial" w:hAnsi="Arial"/>
                <w:sz w:val="11"/>
                <w:szCs w:val="11"/>
                <w:color w:val="auto"/>
              </w:rPr>
              <w:t>Balance—December 31, 2021</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54,983,105</w:t>
            </w:r>
          </w:p>
        </w:tc>
        <w:tc>
          <w:tcPr>
            <w:tcW w:w="780" w:type="dxa"/>
            <w:vAlign w:val="bottom"/>
            <w:gridSpan w:val="2"/>
            <w:shd w:val="clear" w:color="auto" w:fill="CFF0FC"/>
          </w:tcPr>
          <w:p>
            <w:pPr>
              <w:jc w:val="right"/>
              <w:ind w:right="468"/>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952,019</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(543,702)</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408,368</w:t>
            </w:r>
          </w:p>
        </w:tc>
        <w:tc>
          <w:tcPr>
            <w:tcW w:w="100" w:type="dxa"/>
            <w:vAlign w:val="bottom"/>
            <w:shd w:val="clear" w:color="auto" w:fill="CFF0FC"/>
          </w:tcPr>
          <w:p>
            <w:pPr>
              <w:spacing w:after="0"/>
              <w:rPr>
                <w:sz w:val="11"/>
                <w:szCs w:val="1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64135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880"/>
          </w:cols>
          <w:pgMar w:left="900" w:top="331" w:right="1119" w:bottom="1440" w:gutter="0" w:footer="0" w:header="0"/>
        </w:sectPr>
      </w:pPr>
    </w:p>
    <w:bookmarkStart w:id="90" w:name="page91"/>
    <w:bookmarkEnd w:id="90"/>
    <w:p>
      <w:pPr>
        <w:ind w:left="3520"/>
        <w:spacing w:after="0"/>
        <w:rPr>
          <w:sz w:val="20"/>
          <w:szCs w:val="20"/>
          <w:color w:val="auto"/>
        </w:rPr>
      </w:pPr>
      <w:r>
        <w:rPr>
          <w:rFonts w:ascii="Arial" w:cs="Arial" w:eastAsia="Arial" w:hAnsi="Arial"/>
          <w:sz w:val="18"/>
          <w:szCs w:val="18"/>
          <w:b w:val="1"/>
          <w:bCs w:val="1"/>
          <w:color w:val="auto"/>
        </w:rPr>
        <w:t>SYNDAX PHARMACEUTICALS, INC.</w:t>
      </w:r>
    </w:p>
    <w:p>
      <w:pPr>
        <w:spacing w:after="0" w:line="10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126"/>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6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6"/>
              <w:spacing w:after="0" w:line="151"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line="151"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164"/>
        </w:trPr>
        <w:tc>
          <w:tcPr>
            <w:tcW w:w="6400" w:type="dxa"/>
            <w:vAlign w:val="bottom"/>
            <w:shd w:val="clear" w:color="auto" w:fill="CFF0FC"/>
          </w:tcPr>
          <w:p>
            <w:pPr>
              <w:spacing w:after="0" w:line="164" w:lineRule="exact"/>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240"/>
              <w:spacing w:after="0" w:line="171" w:lineRule="exact"/>
              <w:rPr>
                <w:sz w:val="20"/>
                <w:szCs w:val="20"/>
                <w:color w:val="auto"/>
              </w:rPr>
            </w:pPr>
            <w:r>
              <w:rPr>
                <w:rFonts w:ascii="Arial" w:cs="Arial" w:eastAsia="Arial" w:hAnsi="Arial"/>
                <w:sz w:val="15"/>
                <w:szCs w:val="15"/>
                <w:color w:val="auto"/>
              </w:rPr>
              <w:t>Net income (loss)</w:t>
            </w:r>
          </w:p>
        </w:tc>
        <w:tc>
          <w:tcPr>
            <w:tcW w:w="220" w:type="dxa"/>
            <w:vAlign w:val="bottom"/>
          </w:tcPr>
          <w:p>
            <w:pPr>
              <w:jc w:val="right"/>
              <w:ind w:right="66"/>
              <w:spacing w:after="0" w:line="171"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24,926</w:t>
            </w:r>
          </w:p>
        </w:tc>
        <w:tc>
          <w:tcPr>
            <w:tcW w:w="160" w:type="dxa"/>
            <w:vAlign w:val="bottom"/>
          </w:tcPr>
          <w:p>
            <w:pPr>
              <w:spacing w:after="0"/>
              <w:rPr>
                <w:sz w:val="14"/>
                <w:szCs w:val="14"/>
                <w:color w:val="auto"/>
              </w:rPr>
            </w:pPr>
          </w:p>
        </w:tc>
        <w:tc>
          <w:tcPr>
            <w:tcW w:w="340" w:type="dxa"/>
            <w:vAlign w:val="bottom"/>
            <w:gridSpan w:val="2"/>
          </w:tcPr>
          <w:p>
            <w:pPr>
              <w:jc w:val="right"/>
              <w:ind w:right="112"/>
              <w:spacing w:after="0" w:line="171"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(73,158)</w:t>
            </w:r>
          </w:p>
        </w:tc>
        <w:tc>
          <w:tcPr>
            <w:tcW w:w="320" w:type="dxa"/>
            <w:vAlign w:val="bottom"/>
            <w:gridSpan w:val="2"/>
          </w:tcPr>
          <w:p>
            <w:pPr>
              <w:jc w:val="right"/>
              <w:ind w:right="66"/>
              <w:spacing w:after="0" w:line="171"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(56,047)</w:t>
            </w:r>
          </w:p>
        </w:tc>
      </w:tr>
      <w:tr>
        <w:trPr>
          <w:trHeight w:val="158"/>
        </w:trPr>
        <w:tc>
          <w:tcPr>
            <w:tcW w:w="6400" w:type="dxa"/>
            <w:vAlign w:val="bottom"/>
            <w:shd w:val="clear" w:color="auto" w:fill="CFF0FC"/>
          </w:tcPr>
          <w:p>
            <w:pPr>
              <w:ind w:left="240"/>
              <w:spacing w:after="0" w:line="158" w:lineRule="exact"/>
              <w:rPr>
                <w:sz w:val="20"/>
                <w:szCs w:val="20"/>
                <w:color w:val="auto"/>
              </w:rPr>
            </w:pPr>
            <w:r>
              <w:rPr>
                <w:rFonts w:ascii="Arial" w:cs="Arial" w:eastAsia="Arial" w:hAnsi="Arial"/>
                <w:sz w:val="15"/>
                <w:szCs w:val="15"/>
                <w:color w:val="auto"/>
              </w:rPr>
              <w:t>Adjustments to reconcile net loss to net cash provided by (used in) operating</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6400" w:type="dxa"/>
            <w:vAlign w:val="bottom"/>
            <w:shd w:val="clear" w:color="auto" w:fill="CFF0FC"/>
          </w:tcPr>
          <w:p>
            <w:pPr>
              <w:ind w:left="340"/>
              <w:spacing w:after="0" w:line="171" w:lineRule="exact"/>
              <w:rPr>
                <w:sz w:val="20"/>
                <w:szCs w:val="20"/>
                <w:color w:val="auto"/>
              </w:rPr>
            </w:pPr>
            <w:r>
              <w:rPr>
                <w:rFonts w:ascii="Arial" w:cs="Arial" w:eastAsia="Arial" w:hAnsi="Arial"/>
                <w:sz w:val="15"/>
                <w:szCs w:val="15"/>
                <w:color w:val="auto"/>
              </w:rPr>
              <w:t>activities: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460"/>
              <w:spacing w:after="0" w:line="171" w:lineRule="exact"/>
              <w:rPr>
                <w:sz w:val="20"/>
                <w:szCs w:val="20"/>
                <w:color w:val="auto"/>
              </w:rPr>
            </w:pPr>
            <w:r>
              <w:rPr>
                <w:rFonts w:ascii="Arial" w:cs="Arial" w:eastAsia="Arial" w:hAnsi="Arial"/>
                <w:sz w:val="15"/>
                <w:szCs w:val="15"/>
                <w:color w:val="auto"/>
              </w:rPr>
              <w:t>Depreciation</w:t>
            </w: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92</w:t>
            </w:r>
          </w:p>
        </w:tc>
        <w:tc>
          <w:tcPr>
            <w:tcW w:w="100" w:type="dxa"/>
            <w:vAlign w:val="bottom"/>
          </w:tcPr>
          <w:p>
            <w:pPr>
              <w:spacing w:after="0"/>
              <w:rPr>
                <w:sz w:val="14"/>
                <w:szCs w:val="14"/>
                <w:color w:val="auto"/>
              </w:rPr>
            </w:pPr>
          </w:p>
        </w:tc>
      </w:tr>
      <w:tr>
        <w:trPr>
          <w:trHeight w:val="171"/>
        </w:trPr>
        <w:tc>
          <w:tcPr>
            <w:tcW w:w="6400" w:type="dxa"/>
            <w:vAlign w:val="bottom"/>
            <w:shd w:val="clear" w:color="auto" w:fill="CFF0FC"/>
          </w:tcPr>
          <w:p>
            <w:pPr>
              <w:ind w:left="460"/>
              <w:spacing w:after="0" w:line="171" w:lineRule="exact"/>
              <w:rPr>
                <w:sz w:val="20"/>
                <w:szCs w:val="20"/>
                <w:color w:val="auto"/>
              </w:rPr>
            </w:pPr>
            <w:r>
              <w:rPr>
                <w:rFonts w:ascii="Arial" w:cs="Arial" w:eastAsia="Arial" w:hAnsi="Arial"/>
                <w:sz w:val="15"/>
                <w:szCs w:val="15"/>
                <w:color w:val="auto"/>
              </w:rPr>
              <w:t>Amortization and accretion of investments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644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(130)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(780)</w:t>
            </w:r>
          </w:p>
        </w:tc>
      </w:tr>
      <w:tr>
        <w:trPr>
          <w:trHeight w:val="171"/>
        </w:trPr>
        <w:tc>
          <w:tcPr>
            <w:tcW w:w="6400" w:type="dxa"/>
            <w:vAlign w:val="bottom"/>
          </w:tcPr>
          <w:p>
            <w:pPr>
              <w:ind w:left="460"/>
              <w:spacing w:after="0" w:line="171" w:lineRule="exact"/>
              <w:rPr>
                <w:sz w:val="20"/>
                <w:szCs w:val="20"/>
                <w:color w:val="auto"/>
              </w:rPr>
            </w:pPr>
            <w:r>
              <w:rPr>
                <w:rFonts w:ascii="Arial" w:cs="Arial" w:eastAsia="Arial" w:hAnsi="Arial"/>
                <w:sz w:val="15"/>
                <w:szCs w:val="15"/>
                <w:color w:val="auto"/>
              </w:rPr>
              <w:t>Non-cash operating lease expense</w:t>
            </w: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413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426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359</w:t>
            </w:r>
          </w:p>
        </w:tc>
        <w:tc>
          <w:tcPr>
            <w:tcW w:w="100" w:type="dxa"/>
            <w:vAlign w:val="bottom"/>
          </w:tcPr>
          <w:p>
            <w:pPr>
              <w:spacing w:after="0"/>
              <w:rPr>
                <w:sz w:val="14"/>
                <w:szCs w:val="14"/>
                <w:color w:val="auto"/>
              </w:rPr>
            </w:pPr>
          </w:p>
        </w:tc>
      </w:tr>
      <w:tr>
        <w:trPr>
          <w:trHeight w:val="171"/>
        </w:trPr>
        <w:tc>
          <w:tcPr>
            <w:tcW w:w="6400" w:type="dxa"/>
            <w:vAlign w:val="bottom"/>
            <w:shd w:val="clear" w:color="auto" w:fill="CFF0FC"/>
          </w:tcPr>
          <w:p>
            <w:pPr>
              <w:ind w:left="460"/>
              <w:spacing w:after="0" w:line="171" w:lineRule="exact"/>
              <w:rPr>
                <w:sz w:val="20"/>
                <w:szCs w:val="20"/>
                <w:color w:val="auto"/>
              </w:rPr>
            </w:pPr>
            <w:r>
              <w:rPr>
                <w:rFonts w:ascii="Arial" w:cs="Arial" w:eastAsia="Arial" w:hAnsi="Arial"/>
                <w:sz w:val="15"/>
                <w:szCs w:val="15"/>
                <w:color w:val="auto"/>
              </w:rPr>
              <w:t>Non-cash interest expense</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(225)</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389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6400" w:type="dxa"/>
            <w:vAlign w:val="bottom"/>
          </w:tcPr>
          <w:p>
            <w:pPr>
              <w:ind w:left="460"/>
              <w:spacing w:after="0" w:line="171" w:lineRule="exact"/>
              <w:rPr>
                <w:sz w:val="20"/>
                <w:szCs w:val="20"/>
                <w:color w:val="auto"/>
              </w:rPr>
            </w:pPr>
            <w:r>
              <w:rPr>
                <w:rFonts w:ascii="Arial" w:cs="Arial" w:eastAsia="Arial" w:hAnsi="Arial"/>
                <w:sz w:val="15"/>
                <w:szCs w:val="15"/>
                <w:color w:val="auto"/>
              </w:rPr>
              <w:t>Changes in fair value of derivate liability</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(389)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6400" w:type="dxa"/>
            <w:vAlign w:val="bottom"/>
            <w:shd w:val="clear" w:color="auto" w:fill="CFF0FC"/>
          </w:tcPr>
          <w:p>
            <w:pPr>
              <w:ind w:left="460"/>
              <w:spacing w:after="0" w:line="171" w:lineRule="exact"/>
              <w:rPr>
                <w:sz w:val="20"/>
                <w:szCs w:val="20"/>
                <w:color w:val="auto"/>
              </w:rPr>
            </w:pPr>
            <w:r>
              <w:rPr>
                <w:rFonts w:ascii="Arial" w:cs="Arial" w:eastAsia="Arial" w:hAnsi="Arial"/>
                <w:sz w:val="15"/>
                <w:szCs w:val="15"/>
                <w:color w:val="auto"/>
              </w:rPr>
              <w:t>Stock-based compensation</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13,317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9,057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6,005</w:t>
            </w: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460"/>
              <w:spacing w:after="0" w:line="171" w:lineRule="exact"/>
              <w:rPr>
                <w:sz w:val="20"/>
                <w:szCs w:val="20"/>
                <w:color w:val="auto"/>
              </w:rPr>
            </w:pPr>
            <w:r>
              <w:rPr>
                <w:rFonts w:ascii="Arial" w:cs="Arial" w:eastAsia="Arial" w:hAnsi="Arial"/>
                <w:sz w:val="15"/>
                <w:szCs w:val="15"/>
                <w:color w:val="auto"/>
              </w:rPr>
              <w:t>Other</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6400" w:type="dxa"/>
            <w:vAlign w:val="bottom"/>
            <w:shd w:val="clear" w:color="auto" w:fill="CFF0FC"/>
          </w:tcPr>
          <w:p>
            <w:pPr>
              <w:ind w:left="460"/>
              <w:spacing w:after="0" w:line="171" w:lineRule="exact"/>
              <w:rPr>
                <w:sz w:val="20"/>
                <w:szCs w:val="20"/>
                <w:color w:val="auto"/>
              </w:rPr>
            </w:pPr>
            <w:r>
              <w:rPr>
                <w:rFonts w:ascii="Arial" w:cs="Arial" w:eastAsia="Arial" w:hAnsi="Arial"/>
                <w:sz w:val="15"/>
                <w:szCs w:val="15"/>
                <w:color w:val="auto"/>
              </w:rPr>
              <w:t>Changes in operating assets and liabilities: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700"/>
              <w:spacing w:after="0" w:line="171" w:lineRule="exact"/>
              <w:rPr>
                <w:sz w:val="20"/>
                <w:szCs w:val="20"/>
                <w:color w:val="auto"/>
              </w:rPr>
            </w:pPr>
            <w:r>
              <w:rPr>
                <w:rFonts w:ascii="Arial" w:cs="Arial" w:eastAsia="Arial" w:hAnsi="Arial"/>
                <w:sz w:val="15"/>
                <w:szCs w:val="15"/>
                <w:color w:val="auto"/>
              </w:rPr>
              <w:t>Prepaid expenses and other assets</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(1,394)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(4,314)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(52)</w:t>
            </w:r>
          </w:p>
        </w:tc>
      </w:tr>
      <w:tr>
        <w:trPr>
          <w:trHeight w:val="171"/>
        </w:trPr>
        <w:tc>
          <w:tcPr>
            <w:tcW w:w="6400" w:type="dxa"/>
            <w:vAlign w:val="bottom"/>
            <w:shd w:val="clear" w:color="auto" w:fill="CFF0FC"/>
          </w:tcPr>
          <w:p>
            <w:pPr>
              <w:ind w:left="700"/>
              <w:spacing w:after="0" w:line="171" w:lineRule="exact"/>
              <w:rPr>
                <w:sz w:val="20"/>
                <w:szCs w:val="20"/>
                <w:color w:val="auto"/>
              </w:rPr>
            </w:pPr>
            <w:r>
              <w:rPr>
                <w:rFonts w:ascii="Arial" w:cs="Arial" w:eastAsia="Arial" w:hAnsi="Arial"/>
                <w:sz w:val="15"/>
                <w:szCs w:val="15"/>
                <w:color w:val="auto"/>
              </w:rPr>
              <w:t>Accounts payable</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2,161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(2,670)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4,739</w:t>
            </w: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700"/>
              <w:spacing w:after="0" w:line="171" w:lineRule="exact"/>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(13,133)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(1,517)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(1,517)</w:t>
            </w:r>
          </w:p>
        </w:tc>
      </w:tr>
      <w:tr>
        <w:trPr>
          <w:trHeight w:val="171"/>
        </w:trPr>
        <w:tc>
          <w:tcPr>
            <w:tcW w:w="6400" w:type="dxa"/>
            <w:vAlign w:val="bottom"/>
            <w:shd w:val="clear" w:color="auto" w:fill="CFF0FC"/>
          </w:tcPr>
          <w:p>
            <w:pPr>
              <w:ind w:left="700"/>
              <w:spacing w:after="0" w:line="171" w:lineRule="exact"/>
              <w:rPr>
                <w:sz w:val="20"/>
                <w:szCs w:val="20"/>
                <w:color w:val="auto"/>
              </w:rPr>
            </w:pPr>
            <w:r>
              <w:rPr>
                <w:rFonts w:ascii="Arial" w:cs="Arial" w:eastAsia="Arial" w:hAnsi="Arial"/>
                <w:sz w:val="15"/>
                <w:szCs w:val="15"/>
                <w:color w:val="auto"/>
              </w:rPr>
              <w:t>Accrued expenses and other liabilities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2,769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567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(3,411)</w:t>
            </w:r>
          </w:p>
        </w:tc>
      </w:tr>
      <w:tr>
        <w:trPr>
          <w:trHeight w:val="164"/>
        </w:trPr>
        <w:tc>
          <w:tcPr>
            <w:tcW w:w="6400" w:type="dxa"/>
            <w:vAlign w:val="bottom"/>
            <w:tcBorders>
              <w:bottom w:val="single" w:sz="8" w:color="CFF0FC"/>
            </w:tcBorders>
          </w:tcPr>
          <w:p>
            <w:pPr>
              <w:ind w:left="700"/>
              <w:spacing w:after="0" w:line="164" w:lineRule="exact"/>
              <w:rPr>
                <w:sz w:val="20"/>
                <w:szCs w:val="20"/>
                <w:color w:val="auto"/>
              </w:rPr>
            </w:pPr>
            <w:r>
              <w:rPr>
                <w:rFonts w:ascii="Arial" w:cs="Arial" w:eastAsia="Arial" w:hAnsi="Arial"/>
                <w:sz w:val="15"/>
                <w:szCs w:val="15"/>
                <w:color w:val="auto"/>
              </w:rPr>
              <w:t>Net cash provided by (used in) operating activities</w:t>
            </w: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29,131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(71,260)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(50,612)</w:t>
            </w:r>
          </w:p>
        </w:tc>
        <w:tc>
          <w:tcPr>
            <w:tcW w:w="100" w:type="dxa"/>
            <w:vAlign w:val="bottom"/>
            <w:tcBorders>
              <w:bottom w:val="single" w:sz="8" w:color="CFF0FC"/>
            </w:tcBorders>
          </w:tcPr>
          <w:p>
            <w:pPr>
              <w:spacing w:after="0"/>
              <w:rPr>
                <w:sz w:val="14"/>
                <w:szCs w:val="14"/>
                <w:color w:val="auto"/>
              </w:rPr>
            </w:pPr>
          </w:p>
        </w:tc>
      </w:tr>
      <w:tr>
        <w:trPr>
          <w:trHeight w:val="164"/>
        </w:trPr>
        <w:tc>
          <w:tcPr>
            <w:tcW w:w="6400" w:type="dxa"/>
            <w:vAlign w:val="bottom"/>
            <w:shd w:val="clear" w:color="auto" w:fill="CFF0FC"/>
          </w:tcPr>
          <w:p>
            <w:pPr>
              <w:spacing w:after="0" w:line="164" w:lineRule="exact"/>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240"/>
              <w:spacing w:after="0" w:line="171" w:lineRule="exact"/>
              <w:rPr>
                <w:sz w:val="20"/>
                <w:szCs w:val="20"/>
                <w:color w:val="auto"/>
              </w:rPr>
            </w:pPr>
            <w:r>
              <w:rPr>
                <w:rFonts w:ascii="Arial" w:cs="Arial" w:eastAsia="Arial" w:hAnsi="Arial"/>
                <w:sz w:val="15"/>
                <w:szCs w:val="15"/>
                <w:color w:val="auto"/>
              </w:rPr>
              <w:t>Purchases of property and equipment</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(129)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6400" w:type="dxa"/>
            <w:vAlign w:val="bottom"/>
            <w:shd w:val="clear" w:color="auto" w:fill="CFF0FC"/>
          </w:tcPr>
          <w:p>
            <w:pPr>
              <w:ind w:left="240"/>
              <w:spacing w:after="0" w:line="171" w:lineRule="exact"/>
              <w:rPr>
                <w:sz w:val="20"/>
                <w:szCs w:val="20"/>
                <w:color w:val="auto"/>
              </w:rPr>
            </w:pPr>
            <w:r>
              <w:rPr>
                <w:rFonts w:ascii="Arial" w:cs="Arial" w:eastAsia="Arial" w:hAnsi="Arial"/>
                <w:sz w:val="15"/>
                <w:szCs w:val="15"/>
                <w:color w:val="auto"/>
              </w:rPr>
              <w:t>Purchases of short-term investments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(294,719)</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(278,937)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(104,018)</w:t>
            </w:r>
          </w:p>
        </w:tc>
      </w:tr>
      <w:tr>
        <w:trPr>
          <w:trHeight w:val="171"/>
        </w:trPr>
        <w:tc>
          <w:tcPr>
            <w:tcW w:w="6400" w:type="dxa"/>
            <w:vAlign w:val="bottom"/>
            <w:tcBorders>
              <w:bottom w:val="single" w:sz="8" w:color="CFF0FC"/>
            </w:tcBorders>
          </w:tcPr>
          <w:p>
            <w:pPr>
              <w:ind w:left="240"/>
              <w:spacing w:after="0" w:line="171" w:lineRule="exact"/>
              <w:rPr>
                <w:sz w:val="20"/>
                <w:szCs w:val="20"/>
                <w:color w:val="auto"/>
              </w:rPr>
            </w:pPr>
            <w:r>
              <w:rPr>
                <w:rFonts w:ascii="Arial" w:cs="Arial" w:eastAsia="Arial" w:hAnsi="Arial"/>
                <w:sz w:val="15"/>
                <w:szCs w:val="15"/>
                <w:color w:val="auto"/>
              </w:rPr>
              <w:t>Proceeds from sales and maturities of short-term investments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253,975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136,407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116,799</w:t>
            </w:r>
          </w:p>
        </w:tc>
        <w:tc>
          <w:tcPr>
            <w:tcW w:w="100" w:type="dxa"/>
            <w:vAlign w:val="bottom"/>
            <w:tcBorders>
              <w:bottom w:val="single" w:sz="8" w:color="CFF0FC"/>
            </w:tcBorders>
          </w:tcPr>
          <w:p>
            <w:pPr>
              <w:spacing w:after="0"/>
              <w:rPr>
                <w:sz w:val="14"/>
                <w:szCs w:val="14"/>
                <w:color w:val="auto"/>
              </w:rPr>
            </w:pPr>
          </w:p>
        </w:tc>
      </w:tr>
      <w:tr>
        <w:trPr>
          <w:trHeight w:val="164"/>
        </w:trPr>
        <w:tc>
          <w:tcPr>
            <w:tcW w:w="6400" w:type="dxa"/>
            <w:vAlign w:val="bottom"/>
            <w:shd w:val="clear" w:color="auto" w:fill="CFF0FC"/>
          </w:tcPr>
          <w:p>
            <w:pPr>
              <w:ind w:left="460"/>
              <w:spacing w:after="0" w:line="164" w:lineRule="exact"/>
              <w:rPr>
                <w:sz w:val="20"/>
                <w:szCs w:val="20"/>
                <w:color w:val="auto"/>
              </w:rPr>
            </w:pPr>
            <w:r>
              <w:rPr>
                <w:rFonts w:ascii="Arial" w:cs="Arial" w:eastAsia="Arial" w:hAnsi="Arial"/>
                <w:sz w:val="15"/>
                <w:szCs w:val="15"/>
                <w:color w:val="auto"/>
              </w:rPr>
              <w:t>Net cash (used in) provided by investing activities</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(40,873)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(142,530)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12,781</w:t>
            </w:r>
          </w:p>
        </w:tc>
        <w:tc>
          <w:tcPr>
            <w:tcW w:w="100" w:type="dxa"/>
            <w:vAlign w:val="bottom"/>
            <w:shd w:val="clear" w:color="auto" w:fill="CFF0FC"/>
          </w:tcPr>
          <w:p>
            <w:pPr>
              <w:spacing w:after="0"/>
              <w:rPr>
                <w:sz w:val="14"/>
                <w:szCs w:val="14"/>
                <w:color w:val="auto"/>
              </w:rPr>
            </w:pPr>
          </w:p>
        </w:tc>
      </w:tr>
      <w:tr>
        <w:trPr>
          <w:trHeight w:val="164"/>
        </w:trPr>
        <w:tc>
          <w:tcPr>
            <w:tcW w:w="6400" w:type="dxa"/>
            <w:vAlign w:val="bottom"/>
          </w:tcPr>
          <w:p>
            <w:pPr>
              <w:spacing w:after="0" w:line="164" w:lineRule="exact"/>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6400" w:type="dxa"/>
            <w:vAlign w:val="bottom"/>
            <w:shd w:val="clear" w:color="auto" w:fill="CFF0FC"/>
          </w:tcPr>
          <w:p>
            <w:pPr>
              <w:ind w:left="240"/>
              <w:spacing w:after="0" w:line="158" w:lineRule="exact"/>
              <w:rPr>
                <w:sz w:val="20"/>
                <w:szCs w:val="20"/>
                <w:color w:val="auto"/>
              </w:rPr>
            </w:pPr>
            <w:r>
              <w:rPr>
                <w:rFonts w:ascii="Arial" w:cs="Arial" w:eastAsia="Arial" w:hAnsi="Arial"/>
                <w:sz w:val="15"/>
                <w:szCs w:val="15"/>
                <w:color w:val="auto"/>
              </w:rPr>
              <w:t>Proceeds from issuance of common stock in follow on public</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6400" w:type="dxa"/>
            <w:vAlign w:val="bottom"/>
            <w:shd w:val="clear" w:color="auto" w:fill="CFF0FC"/>
          </w:tcPr>
          <w:p>
            <w:pPr>
              <w:ind w:left="380"/>
              <w:spacing w:after="0" w:line="171" w:lineRule="exact"/>
              <w:rPr>
                <w:sz w:val="20"/>
                <w:szCs w:val="20"/>
                <w:color w:val="auto"/>
              </w:rPr>
            </w:pPr>
            <w:r>
              <w:rPr>
                <w:rFonts w:ascii="Arial" w:cs="Arial" w:eastAsia="Arial" w:hAnsi="Arial"/>
                <w:sz w:val="15"/>
                <w:szCs w:val="15"/>
                <w:color w:val="auto"/>
              </w:rPr>
              <w:t>offerings, net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81,206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242,849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58"/>
        </w:trPr>
        <w:tc>
          <w:tcPr>
            <w:tcW w:w="6400" w:type="dxa"/>
            <w:vAlign w:val="bottom"/>
          </w:tcPr>
          <w:p>
            <w:pPr>
              <w:ind w:left="240"/>
              <w:spacing w:after="0" w:line="158" w:lineRule="exact"/>
              <w:rPr>
                <w:sz w:val="20"/>
                <w:szCs w:val="20"/>
                <w:color w:val="auto"/>
              </w:rPr>
            </w:pPr>
            <w:r>
              <w:rPr>
                <w:rFonts w:ascii="Arial" w:cs="Arial" w:eastAsia="Arial" w:hAnsi="Arial"/>
                <w:sz w:val="15"/>
                <w:szCs w:val="15"/>
                <w:color w:val="auto"/>
              </w:rPr>
              <w:t>Proceeds from issuance of common stock in at-the-market</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400" w:type="dxa"/>
            <w:vAlign w:val="bottom"/>
          </w:tcPr>
          <w:p>
            <w:pPr>
              <w:ind w:left="380"/>
              <w:spacing w:after="0" w:line="171" w:lineRule="exact"/>
              <w:rPr>
                <w:sz w:val="20"/>
                <w:szCs w:val="20"/>
                <w:color w:val="auto"/>
              </w:rPr>
            </w:pPr>
            <w:r>
              <w:rPr>
                <w:rFonts w:ascii="Arial" w:cs="Arial" w:eastAsia="Arial" w:hAnsi="Arial"/>
                <w:sz w:val="15"/>
                <w:szCs w:val="15"/>
                <w:color w:val="auto"/>
              </w:rPr>
              <w:t>offering, net</w:t>
            </w: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5,131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830</w:t>
            </w:r>
          </w:p>
        </w:tc>
        <w:tc>
          <w:tcPr>
            <w:tcW w:w="100" w:type="dxa"/>
            <w:vAlign w:val="bottom"/>
          </w:tcPr>
          <w:p>
            <w:pPr>
              <w:spacing w:after="0"/>
              <w:rPr>
                <w:sz w:val="14"/>
                <w:szCs w:val="14"/>
                <w:color w:val="auto"/>
              </w:rPr>
            </w:pPr>
          </w:p>
        </w:tc>
      </w:tr>
      <w:tr>
        <w:trPr>
          <w:trHeight w:val="171"/>
        </w:trPr>
        <w:tc>
          <w:tcPr>
            <w:tcW w:w="6400" w:type="dxa"/>
            <w:vAlign w:val="bottom"/>
            <w:shd w:val="clear" w:color="auto" w:fill="CFF0FC"/>
          </w:tcPr>
          <w:p>
            <w:pPr>
              <w:ind w:left="240"/>
              <w:spacing w:after="0" w:line="171" w:lineRule="exact"/>
              <w:rPr>
                <w:sz w:val="20"/>
                <w:szCs w:val="20"/>
                <w:color w:val="auto"/>
              </w:rPr>
            </w:pPr>
            <w:r>
              <w:rPr>
                <w:rFonts w:ascii="Arial" w:cs="Arial" w:eastAsia="Arial" w:hAnsi="Arial"/>
                <w:sz w:val="15"/>
                <w:szCs w:val="15"/>
                <w:color w:val="auto"/>
              </w:rPr>
              <w:t>Allocation of proceeds to common stock issued under the Incyte Share Purchase Agreement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24,848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6400" w:type="dxa"/>
            <w:vAlign w:val="bottom"/>
          </w:tcPr>
          <w:p>
            <w:pPr>
              <w:ind w:left="240"/>
              <w:spacing w:after="0" w:line="171" w:lineRule="exact"/>
              <w:rPr>
                <w:sz w:val="20"/>
                <w:szCs w:val="20"/>
                <w:color w:val="auto"/>
              </w:rPr>
            </w:pPr>
            <w:r>
              <w:rPr>
                <w:rFonts w:ascii="Arial" w:cs="Arial" w:eastAsia="Arial" w:hAnsi="Arial"/>
                <w:sz w:val="15"/>
                <w:szCs w:val="15"/>
                <w:color w:val="auto"/>
                <w:w w:val="95"/>
              </w:rPr>
              <w:t>Allocation of proceeds to derivative liability recorded under the Incyte Share Purchase Agreement</w:t>
            </w: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576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58"/>
        </w:trPr>
        <w:tc>
          <w:tcPr>
            <w:tcW w:w="6400" w:type="dxa"/>
            <w:vAlign w:val="bottom"/>
            <w:shd w:val="clear" w:color="auto" w:fill="CFF0FC"/>
          </w:tcPr>
          <w:p>
            <w:pPr>
              <w:ind w:left="240"/>
              <w:spacing w:after="0" w:line="158" w:lineRule="exact"/>
              <w:rPr>
                <w:sz w:val="20"/>
                <w:szCs w:val="20"/>
                <w:color w:val="auto"/>
              </w:rPr>
            </w:pPr>
            <w:r>
              <w:rPr>
                <w:rFonts w:ascii="Arial" w:cs="Arial" w:eastAsia="Arial" w:hAnsi="Arial"/>
                <w:sz w:val="15"/>
                <w:szCs w:val="15"/>
                <w:color w:val="auto"/>
              </w:rPr>
              <w:t>Proceeds from issuance of common stock in direct placement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6400" w:type="dxa"/>
            <w:vAlign w:val="bottom"/>
            <w:shd w:val="clear" w:color="auto" w:fill="CFF0FC"/>
          </w:tcPr>
          <w:p>
            <w:pPr>
              <w:ind w:left="380"/>
              <w:spacing w:after="0" w:line="171" w:lineRule="exact"/>
              <w:rPr>
                <w:sz w:val="20"/>
                <w:szCs w:val="20"/>
                <w:color w:val="auto"/>
              </w:rPr>
            </w:pPr>
            <w:r>
              <w:rPr>
                <w:rFonts w:ascii="Arial" w:cs="Arial" w:eastAsia="Arial" w:hAnsi="Arial"/>
                <w:sz w:val="15"/>
                <w:szCs w:val="15"/>
                <w:color w:val="auto"/>
              </w:rPr>
              <w:t>offering, net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34,866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27,380</w:t>
            </w: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240"/>
              <w:spacing w:after="0" w:line="171" w:lineRule="exact"/>
              <w:rPr>
                <w:sz w:val="20"/>
                <w:szCs w:val="20"/>
                <w:color w:val="auto"/>
              </w:rPr>
            </w:pPr>
            <w:r>
              <w:rPr>
                <w:rFonts w:ascii="Arial" w:cs="Arial" w:eastAsia="Arial" w:hAnsi="Arial"/>
                <w:sz w:val="15"/>
                <w:szCs w:val="15"/>
                <w:color w:val="auto"/>
              </w:rPr>
              <w:t>Proceeds from term loan agreement, net</w:t>
            </w:r>
          </w:p>
        </w:tc>
        <w:tc>
          <w:tcPr>
            <w:tcW w:w="220" w:type="dxa"/>
            <w:vAlign w:val="bottom"/>
          </w:tcPr>
          <w:p>
            <w:pPr>
              <w:spacing w:after="0"/>
              <w:rPr>
                <w:sz w:val="14"/>
                <w:szCs w:val="14"/>
                <w:color w:val="auto"/>
              </w:rPr>
            </w:pPr>
          </w:p>
        </w:tc>
        <w:tc>
          <w:tcPr>
            <w:tcW w:w="9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19,730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6400" w:type="dxa"/>
            <w:vAlign w:val="bottom"/>
            <w:shd w:val="clear" w:color="auto" w:fill="CFF0FC"/>
          </w:tcPr>
          <w:p>
            <w:pPr>
              <w:ind w:left="240"/>
              <w:spacing w:after="0" w:line="171" w:lineRule="exact"/>
              <w:rPr>
                <w:sz w:val="20"/>
                <w:szCs w:val="20"/>
                <w:color w:val="auto"/>
              </w:rPr>
            </w:pPr>
            <w:r>
              <w:rPr>
                <w:rFonts w:ascii="Arial" w:cs="Arial" w:eastAsia="Arial" w:hAnsi="Arial"/>
                <w:sz w:val="15"/>
                <w:szCs w:val="15"/>
                <w:color w:val="auto"/>
              </w:rPr>
              <w:t>Proceeds from Employee Stock Purchase Plan</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367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345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182</w:t>
            </w:r>
          </w:p>
        </w:tc>
        <w:tc>
          <w:tcPr>
            <w:tcW w:w="100" w:type="dxa"/>
            <w:vAlign w:val="bottom"/>
            <w:shd w:val="clear" w:color="auto" w:fill="CFF0FC"/>
          </w:tcPr>
          <w:p>
            <w:pPr>
              <w:spacing w:after="0"/>
              <w:rPr>
                <w:sz w:val="14"/>
                <w:szCs w:val="14"/>
                <w:color w:val="auto"/>
              </w:rPr>
            </w:pPr>
          </w:p>
        </w:tc>
      </w:tr>
      <w:tr>
        <w:trPr>
          <w:trHeight w:val="171"/>
        </w:trPr>
        <w:tc>
          <w:tcPr>
            <w:tcW w:w="6400" w:type="dxa"/>
            <w:vAlign w:val="bottom"/>
          </w:tcPr>
          <w:p>
            <w:pPr>
              <w:ind w:left="240"/>
              <w:spacing w:after="0" w:line="171" w:lineRule="exact"/>
              <w:rPr>
                <w:sz w:val="20"/>
                <w:szCs w:val="20"/>
                <w:color w:val="auto"/>
              </w:rPr>
            </w:pPr>
            <w:r>
              <w:rPr>
                <w:rFonts w:ascii="Arial" w:cs="Arial" w:eastAsia="Arial" w:hAnsi="Arial"/>
                <w:sz w:val="15"/>
                <w:szCs w:val="15"/>
                <w:color w:val="auto"/>
              </w:rPr>
              <w:t>Proceeds from exercise of stock options</w:t>
            </w: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6,336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6,633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178</w:t>
            </w:r>
          </w:p>
        </w:tc>
        <w:tc>
          <w:tcPr>
            <w:tcW w:w="100" w:type="dxa"/>
            <w:vAlign w:val="bottom"/>
          </w:tcPr>
          <w:p>
            <w:pPr>
              <w:spacing w:after="0"/>
              <w:rPr>
                <w:sz w:val="14"/>
                <w:szCs w:val="14"/>
                <w:color w:val="auto"/>
              </w:rPr>
            </w:pPr>
          </w:p>
        </w:tc>
      </w:tr>
      <w:tr>
        <w:trPr>
          <w:trHeight w:val="171"/>
        </w:trPr>
        <w:tc>
          <w:tcPr>
            <w:tcW w:w="6400" w:type="dxa"/>
            <w:vAlign w:val="bottom"/>
            <w:shd w:val="clear" w:color="auto" w:fill="CFF0FC"/>
          </w:tcPr>
          <w:p>
            <w:pPr>
              <w:ind w:left="240"/>
              <w:spacing w:after="0" w:line="171" w:lineRule="exact"/>
              <w:rPr>
                <w:sz w:val="20"/>
                <w:szCs w:val="20"/>
                <w:color w:val="auto"/>
              </w:rPr>
            </w:pPr>
            <w:r>
              <w:rPr>
                <w:rFonts w:ascii="Arial" w:cs="Arial" w:eastAsia="Arial" w:hAnsi="Arial"/>
                <w:sz w:val="15"/>
                <w:szCs w:val="15"/>
                <w:color w:val="auto"/>
              </w:rPr>
              <w:t>Other</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64"/>
        </w:trPr>
        <w:tc>
          <w:tcPr>
            <w:tcW w:w="6400" w:type="dxa"/>
            <w:vAlign w:val="bottom"/>
            <w:tcBorders>
              <w:bottom w:val="single" w:sz="8" w:color="CFF0FC"/>
            </w:tcBorders>
          </w:tcPr>
          <w:p>
            <w:pPr>
              <w:ind w:left="460"/>
              <w:spacing w:after="0" w:line="164" w:lineRule="exact"/>
              <w:rPr>
                <w:sz w:val="20"/>
                <w:szCs w:val="20"/>
                <w:color w:val="auto"/>
              </w:rPr>
            </w:pPr>
            <w:r>
              <w:rPr>
                <w:rFonts w:ascii="Arial" w:cs="Arial" w:eastAsia="Arial" w:hAnsi="Arial"/>
                <w:sz w:val="15"/>
                <w:szCs w:val="15"/>
                <w:color w:val="auto"/>
              </w:rPr>
              <w:t>Net cash provided by financing activities</w:t>
            </w: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118,464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304,424</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28,570</w:t>
            </w:r>
          </w:p>
        </w:tc>
        <w:tc>
          <w:tcPr>
            <w:tcW w:w="100" w:type="dxa"/>
            <w:vAlign w:val="bottom"/>
            <w:tcBorders>
              <w:bottom w:val="single" w:sz="8" w:color="CFF0FC"/>
            </w:tcBorders>
          </w:tcPr>
          <w:p>
            <w:pPr>
              <w:spacing w:after="0"/>
              <w:rPr>
                <w:sz w:val="14"/>
                <w:szCs w:val="14"/>
                <w:color w:val="auto"/>
              </w:rPr>
            </w:pPr>
          </w:p>
        </w:tc>
      </w:tr>
      <w:tr>
        <w:trPr>
          <w:trHeight w:val="151"/>
        </w:trPr>
        <w:tc>
          <w:tcPr>
            <w:tcW w:w="6400" w:type="dxa"/>
            <w:vAlign w:val="bottom"/>
            <w:shd w:val="clear" w:color="auto" w:fill="CFF0FC"/>
          </w:tcPr>
          <w:p>
            <w:pPr>
              <w:spacing w:after="0" w:line="151" w:lineRule="exact"/>
              <w:rPr>
                <w:sz w:val="20"/>
                <w:szCs w:val="20"/>
                <w:color w:val="auto"/>
              </w:rPr>
            </w:pPr>
            <w:r>
              <w:rPr>
                <w:rFonts w:ascii="Arial" w:cs="Arial" w:eastAsia="Arial" w:hAnsi="Arial"/>
                <w:sz w:val="15"/>
                <w:szCs w:val="15"/>
                <w:color w:val="auto"/>
              </w:rPr>
              <w:t>NET INCREASE (DECREASE) IN CASH, CASH EQUIVALENTS AND</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6400" w:type="dxa"/>
            <w:vAlign w:val="bottom"/>
            <w:shd w:val="clear" w:color="auto" w:fill="CFF0FC"/>
          </w:tcPr>
          <w:p>
            <w:pPr>
              <w:ind w:left="100"/>
              <w:spacing w:after="0" w:line="171" w:lineRule="exact"/>
              <w:rPr>
                <w:sz w:val="20"/>
                <w:szCs w:val="20"/>
                <w:color w:val="auto"/>
              </w:rPr>
            </w:pPr>
            <w:r>
              <w:rPr>
                <w:rFonts w:ascii="Arial" w:cs="Arial" w:eastAsia="Arial" w:hAnsi="Arial"/>
                <w:sz w:val="15"/>
                <w:szCs w:val="15"/>
                <w:color w:val="auto"/>
              </w:rPr>
              <w:t>RESTRICTED CASH</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106,722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90,634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(9,261)</w:t>
            </w:r>
          </w:p>
        </w:tc>
      </w:tr>
      <w:tr>
        <w:trPr>
          <w:trHeight w:val="171"/>
        </w:trPr>
        <w:tc>
          <w:tcPr>
            <w:tcW w:w="6400" w:type="dxa"/>
            <w:vAlign w:val="bottom"/>
            <w:tcBorders>
              <w:bottom w:val="single" w:sz="8" w:color="CFF0FC"/>
            </w:tcBorders>
          </w:tcPr>
          <w:p>
            <w:pPr>
              <w:spacing w:after="0" w:line="171" w:lineRule="exact"/>
              <w:rPr>
                <w:sz w:val="20"/>
                <w:szCs w:val="20"/>
                <w:color w:val="auto"/>
              </w:rPr>
            </w:pPr>
            <w:r>
              <w:rPr>
                <w:rFonts w:ascii="Arial" w:cs="Arial" w:eastAsia="Arial" w:hAnsi="Arial"/>
                <w:sz w:val="15"/>
                <w:szCs w:val="15"/>
                <w:color w:val="auto"/>
              </w:rPr>
              <w:t>CASH, CASH EQUIVALENTS AND RESTRICTED CASH—beginning of year</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115,358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24,724</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33,985</w:t>
            </w:r>
          </w:p>
        </w:tc>
        <w:tc>
          <w:tcPr>
            <w:tcW w:w="100" w:type="dxa"/>
            <w:vAlign w:val="bottom"/>
            <w:tcBorders>
              <w:bottom w:val="single" w:sz="8" w:color="CFF0FC"/>
            </w:tcBorders>
          </w:tcPr>
          <w:p>
            <w:pPr>
              <w:spacing w:after="0"/>
              <w:rPr>
                <w:sz w:val="14"/>
                <w:szCs w:val="14"/>
                <w:color w:val="auto"/>
              </w:rPr>
            </w:pPr>
          </w:p>
        </w:tc>
      </w:tr>
      <w:tr>
        <w:trPr>
          <w:trHeight w:val="164"/>
        </w:trPr>
        <w:tc>
          <w:tcPr>
            <w:tcW w:w="6400" w:type="dxa"/>
            <w:vAlign w:val="bottom"/>
            <w:tcBorders>
              <w:bottom w:val="single" w:sz="8" w:color="CFF0FC"/>
            </w:tcBorders>
            <w:shd w:val="clear" w:color="auto" w:fill="CFF0FC"/>
          </w:tcPr>
          <w:p>
            <w:pPr>
              <w:spacing w:after="0" w:line="164" w:lineRule="exact"/>
              <w:rPr>
                <w:sz w:val="20"/>
                <w:szCs w:val="20"/>
                <w:color w:val="auto"/>
              </w:rPr>
            </w:pPr>
            <w:r>
              <w:rPr>
                <w:rFonts w:ascii="Arial" w:cs="Arial" w:eastAsia="Arial" w:hAnsi="Arial"/>
                <w:sz w:val="15"/>
                <w:szCs w:val="15"/>
                <w:color w:val="auto"/>
              </w:rPr>
              <w:t>CASH, CASH EQUIVALENTS AND RESTRICTED CASH—end of year</w:t>
            </w:r>
          </w:p>
        </w:tc>
        <w:tc>
          <w:tcPr>
            <w:tcW w:w="220" w:type="dxa"/>
            <w:vAlign w:val="bottom"/>
            <w:tcBorders>
              <w:bottom w:val="single" w:sz="8" w:color="auto"/>
            </w:tcBorders>
            <w:shd w:val="clear" w:color="auto" w:fill="CFF0FC"/>
          </w:tcPr>
          <w:p>
            <w:pPr>
              <w:jc w:val="right"/>
              <w:ind w:right="66"/>
              <w:spacing w:after="0" w:line="164"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222,080</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115,358</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6"/>
              <w:spacing w:after="0" w:line="164"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24,724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64135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00"/>
          </w:cols>
          <w:pgMar w:left="900" w:top="542" w:right="899" w:bottom="1440" w:gutter="0" w:footer="0" w:header="0"/>
        </w:sectPr>
      </w:pPr>
    </w:p>
    <w:bookmarkStart w:id="91" w:name="page92"/>
    <w:bookmarkEnd w:id="91"/>
    <w:p>
      <w:pPr>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equivalents reported within the consolidated balance sheets that sum to the total of the amounts shown in the consolidated statements of cash flows:</w:t>
      </w:r>
    </w:p>
    <w:p>
      <w:pPr>
        <w:spacing w:after="0" w:line="5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507"/>
              <w:spacing w:after="0"/>
              <w:rPr>
                <w:sz w:val="20"/>
                <w:szCs w:val="20"/>
                <w:color w:val="auto"/>
              </w:rPr>
            </w:pPr>
            <w:r>
              <w:rPr>
                <w:rFonts w:ascii="Arial" w:cs="Arial" w:eastAsia="Arial" w:hAnsi="Arial"/>
                <w:sz w:val="14"/>
                <w:szCs w:val="14"/>
                <w:b w:val="1"/>
                <w:bCs w:val="1"/>
                <w:color w:val="auto"/>
                <w:w w:val="90"/>
              </w:rPr>
              <w:t>Years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6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7"/>
              <w:spacing w:after="0" w:line="151"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7"/>
              <w:spacing w:after="0" w:line="151"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7"/>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1"/>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60"/>
              <w:spacing w:after="0" w:line="151" w:lineRule="exact"/>
              <w:rPr>
                <w:sz w:val="20"/>
                <w:szCs w:val="20"/>
                <w:color w:val="auto"/>
              </w:rPr>
            </w:pPr>
            <w:r>
              <w:rPr>
                <w:rFonts w:ascii="Arial" w:cs="Arial" w:eastAsia="Arial" w:hAnsi="Arial"/>
                <w:sz w:val="14"/>
                <w:szCs w:val="14"/>
                <w:i w:val="1"/>
                <w:iCs w:val="1"/>
                <w:color w:val="auto"/>
                <w:w w:val="91"/>
              </w:rPr>
              <w:t>(In thousands)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3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221,965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115,243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24,609</w:t>
            </w:r>
          </w:p>
        </w:tc>
        <w:tc>
          <w:tcPr>
            <w:tcW w:w="100" w:type="dxa"/>
            <w:vAlign w:val="bottom"/>
            <w:shd w:val="clear" w:color="auto" w:fill="CFF0FC"/>
          </w:tcPr>
          <w:p>
            <w:pPr>
              <w:spacing w:after="0"/>
              <w:rPr>
                <w:sz w:val="14"/>
                <w:szCs w:val="14"/>
                <w:color w:val="auto"/>
              </w:rPr>
            </w:pPr>
          </w:p>
        </w:tc>
      </w:tr>
      <w:tr>
        <w:trPr>
          <w:trHeight w:val="171"/>
        </w:trPr>
        <w:tc>
          <w:tcPr>
            <w:tcW w:w="6360" w:type="dxa"/>
            <w:vAlign w:val="bottom"/>
            <w:tcBorders>
              <w:bottom w:val="single" w:sz="8" w:color="CFF0FC"/>
            </w:tcBorders>
          </w:tcPr>
          <w:p>
            <w:pPr>
              <w:spacing w:after="0" w:line="171" w:lineRule="exact"/>
              <w:rPr>
                <w:sz w:val="20"/>
                <w:szCs w:val="20"/>
                <w:color w:val="auto"/>
              </w:rPr>
            </w:pPr>
            <w:r>
              <w:rPr>
                <w:rFonts w:ascii="Arial" w:cs="Arial" w:eastAsia="Arial" w:hAnsi="Arial"/>
                <w:sz w:val="15"/>
                <w:szCs w:val="15"/>
                <w:color w:val="auto"/>
              </w:rPr>
              <w:t>Restricted cash included in current and noncurrent assets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115</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115</w:t>
            </w:r>
          </w:p>
        </w:tc>
        <w:tc>
          <w:tcPr>
            <w:tcW w:w="100" w:type="dxa"/>
            <w:vAlign w:val="bottom"/>
            <w:tcBorders>
              <w:bottom w:val="single" w:sz="8" w:color="CFF0FC"/>
            </w:tcBorders>
          </w:tcPr>
          <w:p>
            <w:pPr>
              <w:spacing w:after="0"/>
              <w:rPr>
                <w:sz w:val="14"/>
                <w:szCs w:val="14"/>
                <w:color w:val="auto"/>
              </w:rPr>
            </w:pPr>
          </w:p>
        </w:tc>
      </w:tr>
      <w:tr>
        <w:trPr>
          <w:trHeight w:val="164"/>
        </w:trPr>
        <w:tc>
          <w:tcPr>
            <w:tcW w:w="6360" w:type="dxa"/>
            <w:vAlign w:val="bottom"/>
            <w:tcBorders>
              <w:bottom w:val="single" w:sz="8" w:color="CFF0FC"/>
            </w:tcBorders>
            <w:shd w:val="clear" w:color="auto" w:fill="CFF0FC"/>
          </w:tcPr>
          <w:p>
            <w:pPr>
              <w:spacing w:after="0" w:line="164" w:lineRule="exact"/>
              <w:rPr>
                <w:sz w:val="20"/>
                <w:szCs w:val="20"/>
                <w:color w:val="auto"/>
              </w:rPr>
            </w:pPr>
            <w:r>
              <w:rPr>
                <w:rFonts w:ascii="Arial" w:cs="Arial" w:eastAsia="Arial" w:hAnsi="Arial"/>
                <w:sz w:val="15"/>
                <w:szCs w:val="15"/>
                <w:color w:val="auto"/>
              </w:rPr>
              <w:t>Cash, cash equivalents and restricted cash</w:t>
            </w: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222,080</w:t>
            </w: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115,358</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24,724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Supplemental disclosures of cash flow information (Note 17).</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48" w:right="39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1" w:lineRule="exact"/>
        <w:rPr>
          <w:sz w:val="20"/>
          <w:szCs w:val="20"/>
          <w:color w:val="auto"/>
        </w:rPr>
      </w:pPr>
    </w:p>
    <w:p>
      <w:pPr>
        <w:ind w:right="20" w:firstLine="589"/>
        <w:spacing w:after="0" w:line="244" w:lineRule="auto"/>
        <w:rPr>
          <w:sz w:val="20"/>
          <w:szCs w:val="20"/>
          <w:color w:val="auto"/>
        </w:rPr>
      </w:pPr>
      <w:r>
        <w:rPr>
          <w:rFonts w:ascii="Arial" w:cs="Arial" w:eastAsia="Arial" w:hAnsi="Arial"/>
          <w:sz w:val="18"/>
          <w:szCs w:val="18"/>
          <w:color w:val="auto"/>
        </w:rPr>
        <w:t>Syndax Pharmaceuticals, Inc. (“the Company” or “Syndax”) is a clinical stage biopharmaceutical company developing an innovative pipeline of cancer therapies. The Company is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The Company has deprioritized the development of entinostat, a once-weekly, oral, small molecule, Class I HDAC inhibitor, to focus resources on advancing the remainder of our pipeline. The Company plans to continue to leverage the technical and business expertise of its management team and scientific collaborators to license, acquire and develop additional cancer therapies to expand its pipeline.</w:t>
      </w:r>
    </w:p>
    <w:p>
      <w:pPr>
        <w:spacing w:after="0" w:line="198" w:lineRule="exact"/>
        <w:rPr>
          <w:sz w:val="20"/>
          <w:szCs w:val="20"/>
          <w:color w:val="auto"/>
        </w:rPr>
      </w:pPr>
    </w:p>
    <w:p>
      <w:pPr>
        <w:ind w:firstLine="589"/>
        <w:spacing w:after="0" w:line="279"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74" w:lineRule="exact"/>
        <w:rPr>
          <w:sz w:val="20"/>
          <w:szCs w:val="20"/>
          <w:color w:val="auto"/>
        </w:rPr>
      </w:pPr>
    </w:p>
    <w:p>
      <w:pPr>
        <w:ind w:right="100" w:firstLine="589"/>
        <w:spacing w:after="0" w:line="246" w:lineRule="auto"/>
        <w:rPr>
          <w:sz w:val="20"/>
          <w:szCs w:val="20"/>
          <w:color w:val="auto"/>
        </w:rPr>
      </w:pPr>
      <w:r>
        <w:rPr>
          <w:rFonts w:ascii="Arial" w:cs="Arial" w:eastAsia="Arial" w:hAnsi="Arial"/>
          <w:sz w:val="18"/>
          <w:szCs w:val="18"/>
          <w:color w:val="auto"/>
        </w:rPr>
        <w:t>The Company’s management believes that the cash, cash equivalents and short-term investments balances as of December 31, 2021, should enable the Company to maintain its planned operations for at least twelve months from the date these financial statements were issued.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197" w:lineRule="exact"/>
        <w:rPr>
          <w:sz w:val="20"/>
          <w:szCs w:val="20"/>
          <w:color w:val="auto"/>
        </w:rPr>
      </w:pPr>
    </w:p>
    <w:p>
      <w:pPr>
        <w:ind w:right="20" w:firstLine="589"/>
        <w:spacing w:after="0" w:line="280" w:lineRule="auto"/>
        <w:rPr>
          <w:sz w:val="20"/>
          <w:szCs w:val="20"/>
          <w:color w:val="auto"/>
        </w:rPr>
      </w:pPr>
      <w:r>
        <w:rPr>
          <w:rFonts w:ascii="Arial" w:cs="Arial" w:eastAsia="Arial" w:hAnsi="Arial"/>
          <w:sz w:val="16"/>
          <w:szCs w:val="16"/>
          <w:color w:val="auto"/>
        </w:rPr>
        <w:t>With the global spread of the ongoing COVID-19 pandemic in 2021, the Company has implemented business continuity plans designed to address and mitigate the impact of the COVID-19 pandemic on its business. The Company anticipates that the COVID-19 pandemic could have an impact on the clinical development timelines for one or more of its clinical programs. The extent to which the COVID-19 pandemic impacts the Company’s business, clinical development, manufacturing of clinical and commercial drug substance and drug product, and regulatory efforts, the corporate development objectives and the value of and market for the Company’s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The global economic slowdown, the overall disruption of global healthcare systems and the other risks and uncertainties associated with the pandemic could have a material adverse effect on its business, financial condition, results of operations and growth prospects.</w:t>
      </w:r>
    </w:p>
    <w:p>
      <w:pPr>
        <w:spacing w:after="0" w:line="171" w:lineRule="exact"/>
        <w:rPr>
          <w:sz w:val="20"/>
          <w:szCs w:val="20"/>
          <w:color w:val="auto"/>
        </w:rPr>
      </w:pPr>
    </w:p>
    <w:p>
      <w:pPr>
        <w:ind w:right="460" w:firstLine="589"/>
        <w:spacing w:after="0" w:line="261" w:lineRule="auto"/>
        <w:rPr>
          <w:sz w:val="20"/>
          <w:szCs w:val="20"/>
          <w:color w:val="auto"/>
        </w:rPr>
      </w:pPr>
      <w:r>
        <w:rPr>
          <w:rFonts w:ascii="Arial" w:cs="Arial" w:eastAsia="Arial" w:hAnsi="Arial"/>
          <w:sz w:val="18"/>
          <w:szCs w:val="18"/>
          <w:color w:val="auto"/>
        </w:rPr>
        <w:t>In addition, the Company is subject to other challenges and risks specific to its business and ability to execute on the strategy, as well as risks and uncertainties common to companies in the pharmaceutical industry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3" w:name="page94"/>
    <w:bookmarkEnd w:id="93"/>
    <w:p>
      <w:pPr>
        <w:ind w:right="60"/>
        <w:spacing w:after="0" w:line="284" w:lineRule="auto"/>
        <w:rPr>
          <w:sz w:val="20"/>
          <w:szCs w:val="20"/>
          <w:color w:val="auto"/>
        </w:rPr>
      </w:pPr>
      <w:r>
        <w:rPr>
          <w:rFonts w:ascii="Arial" w:cs="Arial" w:eastAsia="Arial" w:hAnsi="Arial"/>
          <w:sz w:val="16"/>
          <w:szCs w:val="16"/>
          <w:color w:val="auto"/>
        </w:rPr>
        <w:t>development and commercial operations, including, without limitation, risks and uncertainties associated with: obtaining regulatory approval of the Company’s late-stage product candidate;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 In addition, to the extent the ongoing COVID-19 pandemic adversely affects the Company’s business and results of operations, it may also have the effect of heightening many of the other risks and uncertainties discussed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14" w:lineRule="exact"/>
        <w:rPr>
          <w:sz w:val="20"/>
          <w:szCs w:val="20"/>
          <w:color w:val="auto"/>
        </w:rPr>
      </w:pPr>
    </w:p>
    <w:p>
      <w:pPr>
        <w:ind w:right="320" w:firstLine="589"/>
        <w:spacing w:after="0" w:line="291" w:lineRule="auto"/>
        <w:rPr>
          <w:sz w:val="20"/>
          <w:szCs w:val="20"/>
          <w:color w:val="auto"/>
        </w:rPr>
      </w:pPr>
      <w:r>
        <w:rPr>
          <w:rFonts w:ascii="Arial" w:cs="Arial" w:eastAsia="Arial" w:hAnsi="Arial"/>
          <w:sz w:val="18"/>
          <w:szCs w:val="18"/>
          <w:color w:val="auto"/>
        </w:rPr>
        <w:t>The Company has prepared the accompanying consolidated financial statements in conformity with accounting principles generally accepted in the United States of America (“U.S. GAAP”).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Estimates</w:t>
      </w:r>
    </w:p>
    <w:p>
      <w:pPr>
        <w:spacing w:after="0" w:line="108"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60"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08" w:lineRule="exact"/>
        <w:rPr>
          <w:sz w:val="20"/>
          <w:szCs w:val="20"/>
          <w:color w:val="auto"/>
        </w:rPr>
      </w:pPr>
    </w:p>
    <w:p>
      <w:pPr>
        <w:ind w:right="400" w:firstLine="589"/>
        <w:spacing w:after="0" w:line="261" w:lineRule="auto"/>
        <w:rPr>
          <w:sz w:val="20"/>
          <w:szCs w:val="20"/>
          <w:color w:val="auto"/>
        </w:rPr>
      </w:pPr>
      <w:r>
        <w:rPr>
          <w:rFonts w:ascii="Arial" w:cs="Arial" w:eastAsia="Arial" w:hAnsi="Arial"/>
          <w:sz w:val="18"/>
          <w:szCs w:val="18"/>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8" w:lineRule="exact"/>
        <w:rPr>
          <w:sz w:val="20"/>
          <w:szCs w:val="20"/>
          <w:color w:val="auto"/>
        </w:rPr>
      </w:pPr>
    </w:p>
    <w:p>
      <w:pPr>
        <w:ind w:right="160" w:firstLine="589"/>
        <w:spacing w:after="0" w:line="324" w:lineRule="auto"/>
        <w:rPr>
          <w:sz w:val="20"/>
          <w:szCs w:val="20"/>
          <w:color w:val="auto"/>
        </w:rPr>
      </w:pPr>
      <w:r>
        <w:rPr>
          <w:rFonts w:ascii="Arial" w:cs="Arial" w:eastAsia="Arial" w:hAnsi="Arial"/>
          <w:sz w:val="16"/>
          <w:szCs w:val="16"/>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8" w:lineRule="exact"/>
        <w:rPr>
          <w:sz w:val="20"/>
          <w:szCs w:val="20"/>
          <w:color w:val="auto"/>
        </w:rPr>
      </w:pPr>
    </w:p>
    <w:p>
      <w:pPr>
        <w:ind w:firstLine="589"/>
        <w:spacing w:after="0" w:line="247" w:lineRule="auto"/>
        <w:rPr>
          <w:sz w:val="20"/>
          <w:szCs w:val="20"/>
          <w:color w:val="auto"/>
        </w:rPr>
      </w:pPr>
      <w:r>
        <w:rPr>
          <w:rFonts w:ascii="Arial" w:cs="Arial" w:eastAsia="Arial" w:hAnsi="Arial"/>
          <w:sz w:val="18"/>
          <w:szCs w:val="18"/>
          <w:color w:val="auto"/>
        </w:rPr>
        <w:t>Short-term investments include marketable securities with maturities of less than one year or where management’s intent is to use the investments to fund current operations or to make them available for current operations. 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4" w:name="page95"/>
    <w:bookmarkEnd w:id="94"/>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8" w:lineRule="exact"/>
        <w:rPr>
          <w:sz w:val="20"/>
          <w:szCs w:val="20"/>
          <w:color w:val="auto"/>
        </w:rPr>
      </w:pPr>
    </w:p>
    <w:p>
      <w:pPr>
        <w:jc w:val="both"/>
        <w:ind w:right="20" w:firstLine="589"/>
        <w:spacing w:after="0" w:line="252"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8"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Cash and cash equivalents, restricted cash, and short-term investments are financial instruments that potentially subject the Company to concentrations of credit risk. Substantially all of the Company’s cash, cash equivalents, and short-term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8" w:lineRule="exact"/>
        <w:rPr>
          <w:sz w:val="20"/>
          <w:szCs w:val="20"/>
          <w:color w:val="auto"/>
        </w:rPr>
      </w:pPr>
    </w:p>
    <w:p>
      <w:pPr>
        <w:ind w:right="80" w:firstLine="589"/>
        <w:spacing w:after="0" w:line="299" w:lineRule="auto"/>
        <w:rPr>
          <w:sz w:val="20"/>
          <w:szCs w:val="20"/>
          <w:color w:val="auto"/>
        </w:rPr>
      </w:pPr>
      <w:r>
        <w:rPr>
          <w:rFonts w:ascii="Arial" w:cs="Arial" w:eastAsia="Arial" w:hAnsi="Arial"/>
          <w:sz w:val="16"/>
          <w:szCs w:val="16"/>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8" w:lineRule="exact"/>
        <w:rPr>
          <w:sz w:val="20"/>
          <w:szCs w:val="20"/>
          <w:color w:val="auto"/>
        </w:rPr>
      </w:pPr>
    </w:p>
    <w:p>
      <w:pPr>
        <w:ind w:right="120" w:firstLine="589"/>
        <w:spacing w:after="0" w:line="249"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Debt Issuance Cost</w:t>
      </w:r>
    </w:p>
    <w:p>
      <w:pPr>
        <w:spacing w:after="0" w:line="108" w:lineRule="exact"/>
        <w:rPr>
          <w:sz w:val="20"/>
          <w:szCs w:val="20"/>
          <w:color w:val="auto"/>
        </w:rPr>
      </w:pPr>
    </w:p>
    <w:p>
      <w:pPr>
        <w:ind w:right="40" w:firstLine="589"/>
        <w:spacing w:after="0" w:line="315" w:lineRule="auto"/>
        <w:rPr>
          <w:sz w:val="20"/>
          <w:szCs w:val="20"/>
          <w:color w:val="auto"/>
        </w:rPr>
      </w:pPr>
      <w:r>
        <w:rPr>
          <w:rFonts w:ascii="Arial" w:cs="Arial" w:eastAsia="Arial" w:hAnsi="Arial"/>
          <w:sz w:val="15"/>
          <w:szCs w:val="15"/>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08"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 xml:space="preserve">The Company accounts for derivative financial instruments as either equity or liabilities in accordance with Accounting Standards Codification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based on the characteristics and provisions of each instrument. The derivative liability is recorded at fair value, which is estimated using a Black Scholes model. The liability is measured quarterly with any change in fair value being recognized in the statement of operations. We do not hold or issue derivative instruments for trading or speculative purposes.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4" w:lineRule="exact"/>
        <w:rPr>
          <w:sz w:val="20"/>
          <w:szCs w:val="20"/>
          <w:color w:val="auto"/>
        </w:rPr>
      </w:pPr>
    </w:p>
    <w:p>
      <w:pPr>
        <w:ind w:right="260" w:firstLine="589"/>
        <w:spacing w:after="0" w:line="247" w:lineRule="auto"/>
        <w:rPr>
          <w:sz w:val="20"/>
          <w:szCs w:val="20"/>
          <w:color w:val="auto"/>
        </w:rPr>
      </w:pPr>
      <w:r>
        <w:rPr>
          <w:rFonts w:ascii="Arial" w:cs="Arial" w:eastAsia="Arial" w:hAnsi="Arial"/>
          <w:sz w:val="18"/>
          <w:szCs w:val="18"/>
          <w:color w:val="auto"/>
        </w:rPr>
        <w:t>The Company enters into license agreements for the development and commercialization of its product candidates. 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intellectual property rights in the form of licenses, obligations to provide research and development services and related materials and participation on certain development and/or commercialization committees.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5" w:name="page96"/>
    <w:bookmarkEnd w:id="95"/>
    <w:p>
      <w:pPr>
        <w:ind w:right="40" w:firstLine="589"/>
        <w:spacing w:after="0" w:line="248" w:lineRule="auto"/>
        <w:rPr>
          <w:sz w:val="20"/>
          <w:szCs w:val="20"/>
          <w:color w:val="auto"/>
        </w:rPr>
      </w:pPr>
      <w:r>
        <w:rPr>
          <w:rFonts w:ascii="Arial" w:cs="Arial" w:eastAsia="Arial" w:hAnsi="Arial"/>
          <w:sz w:val="18"/>
          <w:szCs w:val="18"/>
          <w:color w:val="auto"/>
        </w:rPr>
        <w:t>The Company recognizes revenue when our customer obtains control of promised goods or services, in an amount that reflects the consideration which we expect to receive in exchange for those goods or services. We recognize revenue following the five – step model prescribed under FASB Accounting Standards Codification (</w:t>
      </w:r>
      <w:r>
        <w:rPr>
          <w:rFonts w:ascii="Arial" w:cs="Arial" w:eastAsia="Arial" w:hAnsi="Arial"/>
          <w:sz w:val="18"/>
          <w:szCs w:val="18"/>
          <w:i w:val="1"/>
          <w:iCs w:val="1"/>
          <w:color w:val="auto"/>
        </w:rPr>
        <w:t>ASC 606), Revenue from Contracts with Customers</w:t>
      </w:r>
      <w:r>
        <w:rPr>
          <w:rFonts w:ascii="Arial" w:cs="Arial" w:eastAsia="Arial" w:hAnsi="Arial"/>
          <w:sz w:val="18"/>
          <w:szCs w:val="18"/>
          <w:color w:val="auto"/>
        </w:rPr>
        <w:t>: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92"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The Company assesses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192"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Licenses of intellectual property: 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Arrangements containing licenses to the Company’s intellectual property typically provide for a know-how transfer period. These arrangements may or may not also include rights to future updates of that intellectual property and related know-how. Revenues from non-refundable, up-front fees allocated to the licenses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71" w:lineRule="exact"/>
        <w:rPr>
          <w:sz w:val="20"/>
          <w:szCs w:val="20"/>
          <w:color w:val="auto"/>
        </w:rPr>
      </w:pPr>
    </w:p>
    <w:p>
      <w:pPr>
        <w:ind w:right="60" w:firstLine="589"/>
        <w:spacing w:after="0" w:line="280" w:lineRule="auto"/>
        <w:rPr>
          <w:sz w:val="20"/>
          <w:szCs w:val="20"/>
          <w:color w:val="auto"/>
        </w:rPr>
      </w:pPr>
      <w:r>
        <w:rPr>
          <w:rFonts w:ascii="Arial" w:cs="Arial" w:eastAsia="Arial" w:hAnsi="Arial"/>
          <w:sz w:val="16"/>
          <w:szCs w:val="16"/>
          <w:color w:val="auto"/>
        </w:rPr>
        <w:t>Development Milestone Payments: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w:t>
      </w:r>
    </w:p>
    <w:p>
      <w:pPr>
        <w:spacing w:after="0" w:line="171" w:lineRule="exact"/>
        <w:rPr>
          <w:sz w:val="20"/>
          <w:szCs w:val="20"/>
          <w:color w:val="auto"/>
        </w:rPr>
      </w:pPr>
    </w:p>
    <w:p>
      <w:pPr>
        <w:jc w:val="both"/>
        <w:ind w:right="40" w:firstLine="589"/>
        <w:spacing w:after="0" w:line="290" w:lineRule="auto"/>
        <w:rPr>
          <w:sz w:val="20"/>
          <w:szCs w:val="20"/>
          <w:color w:val="auto"/>
        </w:rPr>
      </w:pPr>
      <w:r>
        <w:rPr>
          <w:rFonts w:ascii="Arial" w:cs="Arial" w:eastAsia="Arial" w:hAnsi="Arial"/>
          <w:sz w:val="16"/>
          <w:szCs w:val="16"/>
          <w:color w:val="auto"/>
        </w:rPr>
        <w:t>Commercial Milestone Payments and Royalties: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62"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162"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96" w:name="page97"/>
    <w:bookmarkEnd w:id="96"/>
    <w:p>
      <w:pPr>
        <w:ind w:right="80"/>
        <w:spacing w:after="0" w:line="324" w:lineRule="auto"/>
        <w:rPr>
          <w:sz w:val="20"/>
          <w:szCs w:val="20"/>
          <w:color w:val="auto"/>
        </w:rPr>
      </w:pPr>
      <w:r>
        <w:rPr>
          <w:rFonts w:ascii="Arial" w:cs="Arial" w:eastAsia="Arial" w:hAnsi="Arial"/>
          <w:sz w:val="16"/>
          <w:szCs w:val="16"/>
          <w:color w:val="auto"/>
        </w:rPr>
        <w:t>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134" w:lineRule="exact"/>
        <w:rPr>
          <w:sz w:val="20"/>
          <w:szCs w:val="20"/>
          <w:color w:val="auto"/>
        </w:rPr>
      </w:pPr>
    </w:p>
    <w:p>
      <w:pPr>
        <w:ind w:right="680" w:firstLine="589"/>
        <w:spacing w:after="0" w:line="261" w:lineRule="auto"/>
        <w:rPr>
          <w:sz w:val="20"/>
          <w:szCs w:val="20"/>
          <w:color w:val="auto"/>
        </w:rPr>
      </w:pPr>
      <w:r>
        <w:rPr>
          <w:rFonts w:ascii="Arial" w:cs="Arial" w:eastAsia="Arial" w:hAnsi="Arial"/>
          <w:sz w:val="18"/>
          <w:szCs w:val="18"/>
          <w:color w:val="auto"/>
        </w:rPr>
        <w:t xml:space="preserve">For additional information on our collaboration and license arrangements, please read </w:t>
      </w:r>
      <w:r>
        <w:rPr>
          <w:rFonts w:ascii="Arial" w:cs="Arial" w:eastAsia="Arial" w:hAnsi="Arial"/>
          <w:sz w:val="18"/>
          <w:szCs w:val="18"/>
          <w:i w:val="1"/>
          <w:iCs w:val="1"/>
          <w:color w:val="auto"/>
        </w:rPr>
        <w:t>Note 4, Collaboration and License Agreements</w:t>
      </w:r>
      <w:r>
        <w:rPr>
          <w:rFonts w:ascii="Arial" w:cs="Arial" w:eastAsia="Arial" w:hAnsi="Arial"/>
          <w:sz w:val="18"/>
          <w:szCs w:val="18"/>
          <w:color w:val="auto"/>
        </w:rPr>
        <w:t>, to these consolidated financial statements.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8" w:lineRule="exact"/>
        <w:rPr>
          <w:sz w:val="20"/>
          <w:szCs w:val="20"/>
          <w:color w:val="auto"/>
        </w:rPr>
      </w:pPr>
    </w:p>
    <w:p>
      <w:pPr>
        <w:ind w:right="320" w:firstLine="589"/>
        <w:spacing w:after="0" w:line="248" w:lineRule="auto"/>
        <w:rPr>
          <w:sz w:val="20"/>
          <w:szCs w:val="20"/>
          <w:color w:val="auto"/>
        </w:rPr>
      </w:pPr>
      <w:r>
        <w:rPr>
          <w:rFonts w:ascii="Arial" w:cs="Arial" w:eastAsia="Arial" w:hAnsi="Arial"/>
          <w:sz w:val="18"/>
          <w:szCs w:val="18"/>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w:t>
      </w:r>
    </w:p>
    <w:p>
      <w:pPr>
        <w:spacing w:after="0" w:line="192"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In instances where the Company enters into cost-sharing arrangements, all research and development costs reimbursed by the collaborators are accounted for as reductions to research and development expense. During the year ended December 31, 2021 and 2020, the Company incurred no external costs related to cost-sharing collaborations. During the year ended December 31, 2019, the Company incurred $2.0 million in external costs related to cost-sharing collaborations, of which $1.0 million has been recorded as a reduction to research and development expense.</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 Costs</w:t>
      </w:r>
    </w:p>
    <w:p>
      <w:pPr>
        <w:spacing w:after="0" w:line="108" w:lineRule="exact"/>
        <w:rPr>
          <w:sz w:val="20"/>
          <w:szCs w:val="20"/>
          <w:color w:val="auto"/>
        </w:rPr>
      </w:pPr>
    </w:p>
    <w:p>
      <w:pPr>
        <w:ind w:right="260" w:firstLine="589"/>
        <w:spacing w:after="0" w:line="252"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activations, or other information provided to us by our vendors.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ind w:right="80" w:firstLine="589"/>
        <w:spacing w:after="0" w:line="282"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08"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5) that require it to indemnify the landlord against all costs, expenses, fines, suits, claims, demands, liabilities, and actions directly resulting from any breach, violation, or nonperformance of any covenant or condition of the Company’s lease. Through December 31,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7" w:name="page98"/>
    <w:bookmarkEnd w:id="97"/>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14" w:lineRule="exact"/>
        <w:rPr>
          <w:sz w:val="20"/>
          <w:szCs w:val="20"/>
          <w:color w:val="auto"/>
        </w:rPr>
      </w:pPr>
    </w:p>
    <w:p>
      <w:pPr>
        <w:ind w:right="40" w:firstLine="589"/>
        <w:spacing w:after="0" w:line="299" w:lineRule="auto"/>
        <w:rPr>
          <w:sz w:val="20"/>
          <w:szCs w:val="20"/>
          <w:color w:val="auto"/>
        </w:rPr>
      </w:pPr>
      <w:r>
        <w:rPr>
          <w:rFonts w:ascii="Arial" w:cs="Arial" w:eastAsia="Arial" w:hAnsi="Arial"/>
          <w:sz w:val="16"/>
          <w:szCs w:val="16"/>
          <w:color w:val="auto"/>
        </w:rPr>
        <w:t>Basic earnings per share is computed by dividing undistributed net income attributable to Syndax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14" w:lineRule="exact"/>
        <w:rPr>
          <w:sz w:val="20"/>
          <w:szCs w:val="20"/>
          <w:color w:val="auto"/>
        </w:rPr>
      </w:pPr>
    </w:p>
    <w:p>
      <w:pPr>
        <w:ind w:right="500" w:firstLine="589"/>
        <w:spacing w:after="0" w:line="299"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154" w:lineRule="exact"/>
        <w:rPr>
          <w:sz w:val="20"/>
          <w:szCs w:val="20"/>
          <w:color w:val="auto"/>
        </w:rPr>
      </w:pPr>
    </w:p>
    <w:p>
      <w:pPr>
        <w:jc w:val="both"/>
        <w:ind w:right="560" w:firstLine="589"/>
        <w:spacing w:after="0" w:line="24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 December 2019, the FASB issued Accounting Standards Update (“ASU”) 2019-12,</w:t>
      </w:r>
      <w:r>
        <w:rPr>
          <w:rFonts w:ascii="Arial" w:cs="Arial" w:eastAsia="Arial" w:hAnsi="Arial"/>
          <w:sz w:val="18"/>
          <w:szCs w:val="18"/>
          <w:i w:val="1"/>
          <w:iCs w:val="1"/>
          <w:color w:val="auto"/>
        </w:rPr>
        <w:t xml:space="preserve"> Income Taxes (Topic 740): Simplifying the Accounting for Income Taxes. </w:t>
      </w:r>
      <w:r>
        <w:rPr>
          <w:rFonts w:ascii="Arial" w:cs="Arial" w:eastAsia="Arial" w:hAnsi="Arial"/>
          <w:sz w:val="18"/>
          <w:szCs w:val="18"/>
          <w:color w:val="auto"/>
        </w:rPr>
        <w:t>This standard removes certain exceptions to the general principles in Topic 740 and simplifies certain other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This standard became effective for us on January 1, 2021 and did not have a material impact on our consolidated financial statements and related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License Agreements</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Incyte Collaboration</w:t>
      </w:r>
    </w:p>
    <w:p>
      <w:pPr>
        <w:spacing w:after="0" w:line="114" w:lineRule="exact"/>
        <w:rPr>
          <w:sz w:val="20"/>
          <w:szCs w:val="20"/>
          <w:color w:val="auto"/>
        </w:rPr>
      </w:pPr>
    </w:p>
    <w:p>
      <w:pPr>
        <w:ind w:right="20" w:firstLine="589"/>
        <w:spacing w:after="0" w:line="279" w:lineRule="auto"/>
        <w:rPr>
          <w:sz w:val="20"/>
          <w:szCs w:val="20"/>
          <w:color w:val="auto"/>
        </w:rPr>
      </w:pPr>
      <w:r>
        <w:rPr>
          <w:rFonts w:ascii="Arial" w:cs="Arial" w:eastAsia="Arial" w:hAnsi="Arial"/>
          <w:sz w:val="16"/>
          <w:szCs w:val="16"/>
          <w:color w:val="auto"/>
        </w:rPr>
        <w:t>In September 2021, the Company entered into the Incyte License and Collaboration Agreement with Incyte covering the worldwide development and commercialization of SNDX-6352 (axatilimab). Also, in September 2021 the Company entered into a share purchase agreement with Incyte, or Incyte Share Purchase Agreement. These agreements are collectively referred to as the Incyte Agreements. Under the terms of the Incyte Agreements, Incyte will receive exclusive commercialization rights outside of the United States, subject to its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Incyte is responsible for 100% of future development costs for trials that are specific to ex-U.S. countries. Each company will be responsible for funding any of its own independent development activities. All development costs related to the collaboration will be subject to a joint development plan.</w:t>
      </w:r>
    </w:p>
    <w:p>
      <w:pPr>
        <w:spacing w:after="0" w:line="171"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Under the terms of the Incyte Agreement, Incyte paid the Company a non-refundable cash payment of $117 million. The Company is eligible to receive up to $220 million in future contingent development and regulatory milestones and up to $230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8" w:name="page99"/>
    <w:bookmarkEnd w:id="98"/>
    <w:p>
      <w:pPr>
        <w:jc w:val="both"/>
        <w:ind w:right="320" w:firstLine="589"/>
        <w:spacing w:after="0" w:line="316" w:lineRule="auto"/>
        <w:rPr>
          <w:sz w:val="20"/>
          <w:szCs w:val="20"/>
          <w:color w:val="auto"/>
        </w:rPr>
      </w:pPr>
      <w:r>
        <w:rPr>
          <w:rFonts w:ascii="Arial" w:cs="Arial" w:eastAsia="Arial" w:hAnsi="Arial"/>
          <w:sz w:val="16"/>
          <w:szCs w:val="16"/>
          <w:color w:val="auto"/>
        </w:rPr>
        <w:t>In December 2021, the Company and Incyte signed a Letter Agreement. Upon the signing of the Letter Agreement both the Incyte Agreement and Incyte Share Purchase Agreement became effective. As a result, the Company received the upfront fee of $117 million and the Company issued 1,421,523 shares of common stock for an aggregate purchase price of $35 million, or $24.62 per share, for total cash consideration $152 million.</w:t>
      </w:r>
    </w:p>
    <w:p>
      <w:pPr>
        <w:spacing w:after="0" w:line="141"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The Incyte Agreement and the Incyte Share Purchase Agreement were executed on the same date and negotiated simultaneously. Management therefore concluded that the Incyte Agreements are to be combined for accounting purposes and therefore allocated the total consideration to the units of account identified. The common stock issued to Incyte was recorded at fair value of $24.8 million. Pursuant to the Letter Agreement, Incyte is permitted to terminate the Incyte Agreement, if, prior to March 23, 2022 either Incyte or the Company receives a notification from any governmental authority (including the Federal Trade Commission or the Department of Justice, Antitrust Division), challenging the transactions completed by the Incyte Agreements, hereafter referred to as the Termination Right. If such challenge occurs and Incyte exercises the Termination Right, the Incyte Agreement will be rescinded, and the Company will return the $117 million upfront payment to Incyte. In addition, Incyte will be required to sell the Syndax common shares that it received under the Incyte Share Purchase Agreement and remit the net proceeds to the Company. To the extent that the net proceeds from the sale of the Syndax common stock by Incyte is greater or less than the proceeds received by the Company in the Incyte Share Purchase Agreement, or $35 million, a cash payment will be made to make the parties whole. The Company determined that the cash settlement feature of the Letter Agreement represents an embedded derivative requiring bifurcation and separate accounting recognition at fair value. Accordingly, the Company allocated $0.6 million of the total consideration received to the derivative liability, see Note 9 for further discussion of the derivative liability.</w:t>
      </w:r>
    </w:p>
    <w:p>
      <w:pPr>
        <w:spacing w:after="0" w:line="176" w:lineRule="exact"/>
        <w:rPr>
          <w:sz w:val="20"/>
          <w:szCs w:val="20"/>
          <w:color w:val="auto"/>
        </w:rPr>
      </w:pPr>
    </w:p>
    <w:p>
      <w:pPr>
        <w:ind w:right="920" w:firstLine="589"/>
        <w:spacing w:after="0" w:line="324" w:lineRule="auto"/>
        <w:rPr>
          <w:sz w:val="20"/>
          <w:szCs w:val="20"/>
          <w:color w:val="auto"/>
        </w:rPr>
      </w:pPr>
      <w:r>
        <w:rPr>
          <w:rFonts w:ascii="Arial" w:cs="Arial" w:eastAsia="Arial" w:hAnsi="Arial"/>
          <w:sz w:val="16"/>
          <w:szCs w:val="16"/>
          <w:color w:val="auto"/>
        </w:rPr>
        <w:t xml:space="preserve">The Company evaluated the terms of the Incyte Agreement and determined it is within the scope of Accounting Standard Update </w:t>
      </w:r>
      <w:r>
        <w:rPr>
          <w:rFonts w:ascii="Arial" w:cs="Arial" w:eastAsia="Arial" w:hAnsi="Arial"/>
          <w:sz w:val="16"/>
          <w:szCs w:val="16"/>
          <w:i w:val="1"/>
          <w:iCs w:val="1"/>
          <w:color w:val="auto"/>
        </w:rPr>
        <w:t>2018-18,</w:t>
      </w:r>
      <w:r>
        <w:rPr>
          <w:rFonts w:ascii="Arial" w:cs="Arial" w:eastAsia="Arial" w:hAnsi="Arial"/>
          <w:sz w:val="16"/>
          <w:szCs w:val="16"/>
          <w:color w:val="auto"/>
        </w:rPr>
        <w:t xml:space="preserve">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and has elements that are within the scope of</w:t>
      </w:r>
      <w:r>
        <w:rPr>
          <w:rFonts w:ascii="Arial" w:cs="Arial" w:eastAsia="Arial" w:hAnsi="Arial"/>
          <w:sz w:val="16"/>
          <w:szCs w:val="16"/>
          <w:i w:val="1"/>
          <w:iCs w:val="1"/>
          <w:color w:val="auto"/>
        </w:rPr>
        <w:t xml:space="preserve"> Topic 606 </w:t>
      </w:r>
      <w:r>
        <w:rPr>
          <w:rFonts w:ascii="Arial" w:cs="Arial" w:eastAsia="Arial" w:hAnsi="Arial"/>
          <w:sz w:val="16"/>
          <w:szCs w:val="16"/>
          <w:color w:val="auto"/>
        </w:rPr>
        <w:t>and</w:t>
      </w:r>
      <w:r>
        <w:rPr>
          <w:rFonts w:ascii="Arial" w:cs="Arial" w:eastAsia="Arial" w:hAnsi="Arial"/>
          <w:sz w:val="16"/>
          <w:szCs w:val="16"/>
          <w:i w:val="1"/>
          <w:iCs w:val="1"/>
          <w:color w:val="auto"/>
        </w:rPr>
        <w:t xml:space="preserve"> Topic 808</w:t>
      </w:r>
      <w:r>
        <w:rPr>
          <w:rFonts w:ascii="Arial" w:cs="Arial" w:eastAsia="Arial" w:hAnsi="Arial"/>
          <w:sz w:val="16"/>
          <w:szCs w:val="16"/>
          <w:color w:val="auto"/>
        </w:rPr>
        <w:t>.</w:t>
      </w:r>
    </w:p>
    <w:p>
      <w:pPr>
        <w:spacing w:after="0" w:line="134"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color w:val="auto"/>
        </w:rPr>
        <w:t xml:space="preserve">The Company identified the following promises in the Incyte Agreements that were evaluated under the scope of </w:t>
      </w:r>
      <w:r>
        <w:rPr>
          <w:rFonts w:ascii="Arial" w:cs="Arial" w:eastAsia="Arial" w:hAnsi="Arial"/>
          <w:sz w:val="18"/>
          <w:szCs w:val="18"/>
          <w:i w:val="1"/>
          <w:iCs w:val="1"/>
          <w:color w:val="auto"/>
        </w:rPr>
        <w:t>Topic 606</w:t>
      </w:r>
      <w:r>
        <w:rPr>
          <w:rFonts w:ascii="Arial" w:cs="Arial" w:eastAsia="Arial" w:hAnsi="Arial"/>
          <w:sz w:val="18"/>
          <w:szCs w:val="18"/>
          <w:color w:val="auto"/>
        </w:rPr>
        <w:t>: (i) delivery of a license for SNDX-6532 to develop, commercialize, and conduct medical affairs and (ii) services to be performed in accordance with the development plan. The Company also evaluated whether certain options outlined within the Incyte Agreements represented material rights that would give rise to a performance obligation and concluded that none of the options convey a material right to Incyte and therefore are not considered separate performance obligations within the Incyte Agreements.</w:t>
      </w:r>
    </w:p>
    <w:p>
      <w:pPr>
        <w:spacing w:after="0" w:line="219" w:lineRule="exact"/>
        <w:rPr>
          <w:sz w:val="20"/>
          <w:szCs w:val="20"/>
          <w:color w:val="auto"/>
        </w:rPr>
      </w:pPr>
    </w:p>
    <w:p>
      <w:pPr>
        <w:ind w:right="40" w:firstLine="589"/>
        <w:spacing w:after="0" w:line="282" w:lineRule="auto"/>
        <w:rPr>
          <w:sz w:val="20"/>
          <w:szCs w:val="20"/>
          <w:color w:val="auto"/>
        </w:rPr>
      </w:pPr>
      <w:r>
        <w:rPr>
          <w:rFonts w:ascii="Arial" w:cs="Arial" w:eastAsia="Arial" w:hAnsi="Arial"/>
          <w:sz w:val="16"/>
          <w:szCs w:val="16"/>
          <w:color w:val="auto"/>
        </w:rPr>
        <w:t xml:space="preserve">The Company assessed the above promises and determined that the license for SNDX-6532 represents the only performance obligation within the scope of </w:t>
      </w:r>
      <w:r>
        <w:rPr>
          <w:rFonts w:ascii="Arial" w:cs="Arial" w:eastAsia="Arial" w:hAnsi="Arial"/>
          <w:sz w:val="16"/>
          <w:szCs w:val="16"/>
          <w:i w:val="1"/>
          <w:iCs w:val="1"/>
          <w:color w:val="auto"/>
        </w:rPr>
        <w:t>Topic 606</w:t>
      </w:r>
      <w:r>
        <w:rPr>
          <w:rFonts w:ascii="Arial" w:cs="Arial" w:eastAsia="Arial" w:hAnsi="Arial"/>
          <w:sz w:val="16"/>
          <w:szCs w:val="16"/>
          <w:color w:val="auto"/>
        </w:rPr>
        <w:t xml:space="preserve">. The license for SNDX-6532 is considered functional intellectual property and distinct from other promises under the contract as Incyte can benefit from the license on its own or together with other readily available resources. The services performed by the Company to obtain regulatory approval of SNDX-6532 are not complex or specialized, could be performed by another qualified third party, are not expected to significantly modify or customize the license given that SNDX-6532 is late-stage intellectual property that has completed its Phase 1/2 trial and is currently enrolling in a global pivotal Phase 2 trial, and the services are expected to be performed over a short period of time. Therefore, the license represents a separate performance obligation within a contract with a customer under the scope of </w:t>
      </w:r>
      <w:r>
        <w:rPr>
          <w:rFonts w:ascii="Arial" w:cs="Arial" w:eastAsia="Arial" w:hAnsi="Arial"/>
          <w:sz w:val="16"/>
          <w:szCs w:val="16"/>
          <w:i w:val="1"/>
          <w:iCs w:val="1"/>
          <w:color w:val="auto"/>
        </w:rPr>
        <w:t>Topic 606</w:t>
      </w:r>
      <w:r>
        <w:rPr>
          <w:rFonts w:ascii="Arial" w:cs="Arial" w:eastAsia="Arial" w:hAnsi="Arial"/>
          <w:sz w:val="16"/>
          <w:szCs w:val="16"/>
          <w:color w:val="auto"/>
        </w:rPr>
        <w:t xml:space="preserve"> at contract inception.</w:t>
      </w:r>
    </w:p>
    <w:p>
      <w:pPr>
        <w:spacing w:after="0" w:line="169" w:lineRule="exact"/>
        <w:rPr>
          <w:sz w:val="20"/>
          <w:szCs w:val="20"/>
          <w:color w:val="auto"/>
        </w:rPr>
      </w:pPr>
    </w:p>
    <w:p>
      <w:pPr>
        <w:ind w:right="200" w:firstLine="589"/>
        <w:spacing w:after="0" w:line="299" w:lineRule="auto"/>
        <w:rPr>
          <w:sz w:val="20"/>
          <w:szCs w:val="20"/>
          <w:color w:val="auto"/>
        </w:rPr>
      </w:pPr>
      <w:r>
        <w:rPr>
          <w:rFonts w:ascii="Arial" w:cs="Arial" w:eastAsia="Arial" w:hAnsi="Arial"/>
          <w:sz w:val="16"/>
          <w:szCs w:val="16"/>
          <w:color w:val="auto"/>
        </w:rPr>
        <w:t xml:space="preserve">The Company considers the collaborative research and development activities and manufacturing activities to be separate units of account within the scope of </w:t>
      </w:r>
      <w:r>
        <w:rPr>
          <w:rFonts w:ascii="Arial" w:cs="Arial" w:eastAsia="Arial" w:hAnsi="Arial"/>
          <w:sz w:val="16"/>
          <w:szCs w:val="16"/>
          <w:i w:val="1"/>
          <w:iCs w:val="1"/>
          <w:color w:val="auto"/>
        </w:rPr>
        <w:t>Topic 808</w:t>
      </w:r>
      <w:r>
        <w:rPr>
          <w:rFonts w:ascii="Arial" w:cs="Arial" w:eastAsia="Arial" w:hAnsi="Arial"/>
          <w:sz w:val="16"/>
          <w:szCs w:val="16"/>
          <w:color w:val="auto"/>
        </w:rPr>
        <w:t xml:space="preserve"> and are not deliverables under </w:t>
      </w:r>
      <w:r>
        <w:rPr>
          <w:rFonts w:ascii="Arial" w:cs="Arial" w:eastAsia="Arial" w:hAnsi="Arial"/>
          <w:sz w:val="16"/>
          <w:szCs w:val="16"/>
          <w:i w:val="1"/>
          <w:iCs w:val="1"/>
          <w:color w:val="auto"/>
        </w:rPr>
        <w:t>Topic 606</w:t>
      </w:r>
      <w:r>
        <w:rPr>
          <w:rFonts w:ascii="Arial" w:cs="Arial" w:eastAsia="Arial" w:hAnsi="Arial"/>
          <w:sz w:val="16"/>
          <w:szCs w:val="16"/>
          <w:color w:val="auto"/>
        </w:rPr>
        <w:t>. The Company and Incyte are both active participants in the activities and are exposed to significant risks and rewards that are dependent on the commercial success of the activities in the arrangement.</w:t>
      </w:r>
    </w:p>
    <w:p>
      <w:pPr>
        <w:spacing w:after="0" w:line="154" w:lineRule="exact"/>
        <w:rPr>
          <w:sz w:val="20"/>
          <w:szCs w:val="20"/>
          <w:color w:val="auto"/>
        </w:rPr>
      </w:pPr>
    </w:p>
    <w:p>
      <w:pPr>
        <w:jc w:val="both"/>
        <w:ind w:right="60" w:firstLine="589"/>
        <w:spacing w:after="0" w:line="299" w:lineRule="auto"/>
        <w:rPr>
          <w:sz w:val="20"/>
          <w:szCs w:val="20"/>
          <w:color w:val="auto"/>
        </w:rPr>
      </w:pPr>
      <w:r>
        <w:rPr>
          <w:rFonts w:ascii="Arial" w:cs="Arial" w:eastAsia="Arial" w:hAnsi="Arial"/>
          <w:sz w:val="16"/>
          <w:szCs w:val="16"/>
          <w:color w:val="auto"/>
        </w:rPr>
        <w:t xml:space="preserve">Under the scope of </w:t>
      </w:r>
      <w:r>
        <w:rPr>
          <w:rFonts w:ascii="Arial" w:cs="Arial" w:eastAsia="Arial" w:hAnsi="Arial"/>
          <w:sz w:val="16"/>
          <w:szCs w:val="16"/>
          <w:i w:val="1"/>
          <w:iCs w:val="1"/>
          <w:color w:val="auto"/>
        </w:rPr>
        <w:t>Topic 606</w:t>
      </w:r>
      <w:r>
        <w:rPr>
          <w:rFonts w:ascii="Arial" w:cs="Arial" w:eastAsia="Arial" w:hAnsi="Arial"/>
          <w:sz w:val="16"/>
          <w:szCs w:val="16"/>
          <w:color w:val="auto"/>
        </w:rPr>
        <w:t>, the Company identified contract promises for the license of intellectual property and know-how rights for SNDX-6352. The Company determined that the license was capable of being distinct from the ongoing collaboration activities. After the allocation to the common stock and derivative liability, the total transaction price to be allocated to the Incyte Agreement is $126.6 million. The Company estimated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99" w:name="page100"/>
    <w:bookmarkEnd w:id="99"/>
    <w:p>
      <w:pPr>
        <w:ind w:right="200"/>
        <w:spacing w:after="0" w:line="290" w:lineRule="auto"/>
        <w:rPr>
          <w:sz w:val="20"/>
          <w:szCs w:val="20"/>
          <w:color w:val="auto"/>
        </w:rPr>
      </w:pPr>
      <w:r>
        <w:rPr>
          <w:rFonts w:ascii="Arial" w:cs="Arial" w:eastAsia="Arial" w:hAnsi="Arial"/>
          <w:sz w:val="16"/>
          <w:szCs w:val="16"/>
          <w:color w:val="auto"/>
        </w:rPr>
        <w:t>standalone selling price of the license to be the entire $126.6 million, based on an application of the income approach by measuring the fair value of the discounted cash flows from commercialization. Significant assumptions included in the valuation included judgments relating to the probability of achieving both regulatory and commercial milestones, forecasted future cash flows and the election of the discount rate. As the Company concluded the license was distinct, revenue of $126.6 million was recognized upon transfer of the license to Incyte in the year ended December 31, 2021.</w:t>
      </w:r>
    </w:p>
    <w:p>
      <w:pPr>
        <w:spacing w:after="0" w:line="162" w:lineRule="exact"/>
        <w:rPr>
          <w:sz w:val="20"/>
          <w:szCs w:val="20"/>
          <w:color w:val="auto"/>
        </w:rPr>
      </w:pPr>
    </w:p>
    <w:p>
      <w:pPr>
        <w:ind w:firstLine="589"/>
        <w:spacing w:after="0" w:line="250" w:lineRule="auto"/>
        <w:rPr>
          <w:sz w:val="20"/>
          <w:szCs w:val="20"/>
          <w:color w:val="auto"/>
        </w:rPr>
      </w:pPr>
      <w:r>
        <w:rPr>
          <w:rFonts w:ascii="Arial" w:cs="Arial" w:eastAsia="Arial" w:hAnsi="Arial"/>
          <w:sz w:val="18"/>
          <w:szCs w:val="18"/>
          <w:color w:val="auto"/>
        </w:rPr>
        <w:t>The Company used the most likely amount method to estimate variable consideration and estimated that the most likely amount for each potential preclinical, development, and regulatory variable consideration milestone payment under this agreement is zero, as achievement of those milestones is uncertain and highly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based royalties, including milestones based on the level of sales, were also excluded from the transaction price, as the license is deemed to be the predominant item to which the royalties relate. The company will recognize such revenue at the later of (i) when the related sales occur, or (ii) when the performance obligation to which some or all of the royalty has been allocated has been satisfied (or partially satisfied).</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KKC Agreement</w:t>
      </w:r>
    </w:p>
    <w:p>
      <w:pPr>
        <w:spacing w:after="0" w:line="114"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On December 19, 2014 (the “Effective Date”), the Company entered into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76" w:lineRule="exact"/>
        <w:rPr>
          <w:sz w:val="20"/>
          <w:szCs w:val="20"/>
          <w:color w:val="auto"/>
        </w:rPr>
      </w:pPr>
    </w:p>
    <w:p>
      <w:pPr>
        <w:ind w:right="280" w:firstLine="589"/>
        <w:spacing w:after="0" w:line="252"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9" w:lineRule="exact"/>
        <w:rPr>
          <w:sz w:val="20"/>
          <w:szCs w:val="20"/>
          <w:color w:val="auto"/>
        </w:rPr>
      </w:pPr>
    </w:p>
    <w:p>
      <w:pPr>
        <w:ind w:right="100" w:firstLine="589"/>
        <w:spacing w:after="0" w:line="252" w:lineRule="auto"/>
        <w:rPr>
          <w:sz w:val="20"/>
          <w:szCs w:val="20"/>
          <w:color w:val="auto"/>
        </w:rPr>
      </w:pPr>
      <w:r>
        <w:rPr>
          <w:rFonts w:ascii="Arial" w:cs="Arial" w:eastAsia="Arial" w:hAnsi="Arial"/>
          <w:sz w:val="18"/>
          <w:szCs w:val="18"/>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189"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0" w:name="page101"/>
    <w:bookmarkEnd w:id="100"/>
    <w:p>
      <w:pPr>
        <w:ind w:right="40"/>
        <w:spacing w:after="0" w:line="279" w:lineRule="auto"/>
        <w:rPr>
          <w:sz w:val="20"/>
          <w:szCs w:val="20"/>
          <w:color w:val="auto"/>
        </w:rPr>
      </w:pPr>
      <w:r>
        <w:rPr>
          <w:rFonts w:ascii="Arial" w:cs="Arial" w:eastAsia="Arial" w:hAnsi="Arial"/>
          <w:sz w:val="16"/>
          <w:szCs w:val="16"/>
          <w:color w:val="auto"/>
        </w:rPr>
        <w:t>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71" w:lineRule="exact"/>
        <w:rPr>
          <w:sz w:val="20"/>
          <w:szCs w:val="20"/>
          <w:color w:val="auto"/>
        </w:rPr>
      </w:pPr>
    </w:p>
    <w:p>
      <w:pPr>
        <w:ind w:right="300" w:firstLine="589"/>
        <w:spacing w:after="0" w:line="324" w:lineRule="auto"/>
        <w:rPr>
          <w:sz w:val="20"/>
          <w:szCs w:val="20"/>
          <w:color w:val="auto"/>
        </w:rPr>
      </w:pPr>
      <w:r>
        <w:rPr>
          <w:rFonts w:ascii="Arial" w:cs="Arial" w:eastAsia="Arial" w:hAnsi="Arial"/>
          <w:sz w:val="16"/>
          <w:szCs w:val="16"/>
          <w:color w:val="auto"/>
        </w:rPr>
        <w:t>In September 2021, KKC informed the Company that it is discontinuing its development of entinostat in Japan and Korea and terminating the KKC License Agreement. As a result, the Company recognized all remaining deferred revenue of $12.4 million in September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right="80" w:firstLine="589"/>
        <w:spacing w:after="0" w:line="281" w:lineRule="auto"/>
        <w:rPr>
          <w:sz w:val="20"/>
          <w:szCs w:val="20"/>
          <w:color w:val="auto"/>
        </w:rPr>
      </w:pPr>
      <w:r>
        <w:rPr>
          <w:rFonts w:ascii="Arial" w:cs="Arial" w:eastAsia="Arial" w:hAnsi="Arial"/>
          <w:sz w:val="16"/>
          <w:szCs w:val="16"/>
          <w:color w:val="auto"/>
        </w:rPr>
        <w:t xml:space="preserve">The Company accounts for leases in accordance with </w:t>
      </w:r>
      <w:r>
        <w:rPr>
          <w:rFonts w:ascii="Arial" w:cs="Arial" w:eastAsia="Arial" w:hAnsi="Arial"/>
          <w:sz w:val="16"/>
          <w:szCs w:val="16"/>
          <w:i w:val="1"/>
          <w:iCs w:val="1"/>
          <w:color w:val="auto"/>
        </w:rPr>
        <w:t>ASC 842, Leases</w:t>
      </w:r>
      <w:r>
        <w:rPr>
          <w:rFonts w:ascii="Arial" w:cs="Arial" w:eastAsia="Arial" w:hAnsi="Arial"/>
          <w:sz w:val="16"/>
          <w:szCs w:val="16"/>
          <w:color w:val="auto"/>
        </w:rPr>
        <w:t>, and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pacing w:after="0" w:line="64" w:lineRule="exact"/>
        <w:rPr>
          <w:sz w:val="20"/>
          <w:szCs w:val="20"/>
          <w:color w:val="auto"/>
        </w:rPr>
      </w:pPr>
    </w:p>
    <w:p>
      <w:pPr>
        <w:ind w:right="60" w:firstLine="589"/>
        <w:spacing w:after="0" w:line="249" w:lineRule="auto"/>
        <w:rPr>
          <w:sz w:val="20"/>
          <w:szCs w:val="20"/>
          <w:color w:val="auto"/>
        </w:rPr>
      </w:pPr>
      <w:r>
        <w:rPr>
          <w:rFonts w:ascii="Arial" w:cs="Arial" w:eastAsia="Arial" w:hAnsi="Arial"/>
          <w:sz w:val="18"/>
          <w:szCs w:val="18"/>
          <w:color w:val="auto"/>
        </w:rPr>
        <w:t>The Company identified two existing long-term building leases on the adoption date of ASC 842 that are classified as operating leases. In September 2016, the Company entered into a five-year operating lease for 12,207 square feet of office space in Waltham, Massachusetts, with a lease commencement date of March 1, 2017. On August 17, 2021, the Company signed a 36-month extension to the lease for the Waltham, Massachusetts office with aggregate payments of $1.6 million, with a lease commencement date of March 1, 2022.</w:t>
      </w:r>
    </w:p>
    <w:p>
      <w:pPr>
        <w:spacing w:after="0" w:line="87"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color w:val="auto"/>
        </w:rPr>
        <w:t>In December 2015, the Company entered into a 62-month operating lease for 4,039 square feet of space in New York, New York, which commenced on January 1, 2016. In February 2021, the Company signed an 18-month extension to the lease for the New York office, with aggregate payments of $270,000, with a lease commencement date of March 1, 2021.The remaining lease terms as of December 31, 2021, for the facility in Waltham, Massachusetts and New York, New York, were 38 months and 8 months, respectively.</w:t>
      </w:r>
    </w:p>
    <w:p>
      <w:pPr>
        <w:spacing w:after="0" w:line="87" w:lineRule="exact"/>
        <w:rPr>
          <w:sz w:val="20"/>
          <w:szCs w:val="20"/>
          <w:color w:val="auto"/>
        </w:rPr>
      </w:pPr>
    </w:p>
    <w:p>
      <w:pPr>
        <w:ind w:right="360" w:firstLine="589"/>
        <w:spacing w:after="0" w:line="315" w:lineRule="auto"/>
        <w:rPr>
          <w:sz w:val="20"/>
          <w:szCs w:val="20"/>
          <w:color w:val="auto"/>
        </w:rPr>
      </w:pPr>
      <w:r>
        <w:rPr>
          <w:rFonts w:ascii="Arial" w:cs="Arial" w:eastAsia="Arial" w:hAnsi="Arial"/>
          <w:sz w:val="15"/>
          <w:szCs w:val="15"/>
          <w:color w:val="auto"/>
        </w:rPr>
        <w:t>As of December 31, 2021, the consolidated balance sheet includes a $1.0 million operating lease ROU asset and a $1.1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year ended December 31, 2021, the Company recorded approximately $413,000 in operating lease expense and made approximately $544,000 in lease payments.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1" w:name="page102"/>
    <w:bookmarkEnd w:id="101"/>
    <w:p>
      <w:pPr>
        <w:ind w:left="600"/>
        <w:spacing w:after="0"/>
        <w:rPr>
          <w:sz w:val="20"/>
          <w:szCs w:val="20"/>
          <w:color w:val="auto"/>
        </w:rPr>
      </w:pPr>
      <w:r>
        <w:rPr>
          <w:rFonts w:ascii="Arial" w:cs="Arial" w:eastAsia="Arial" w:hAnsi="Arial"/>
          <w:sz w:val="18"/>
          <w:szCs w:val="18"/>
          <w:color w:val="auto"/>
        </w:rPr>
        <w:t>Future minimum lease payments under the Company’s operating leases, were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Maturity of lease liabilities</w:t>
            </w:r>
          </w:p>
        </w:tc>
        <w:tc>
          <w:tcPr>
            <w:tcW w:w="340" w:type="dxa"/>
            <w:vAlign w:val="bottom"/>
          </w:tcPr>
          <w:p>
            <w:pPr>
              <w:spacing w:after="0"/>
              <w:rPr>
                <w:sz w:val="19"/>
                <w:szCs w:val="19"/>
                <w:color w:val="auto"/>
              </w:rPr>
            </w:pPr>
          </w:p>
        </w:tc>
        <w:tc>
          <w:tcPr>
            <w:tcW w:w="2600" w:type="dxa"/>
            <w:vAlign w:val="bottom"/>
            <w:gridSpan w:val="2"/>
          </w:tcPr>
          <w:p>
            <w:pPr>
              <w:jc w:val="right"/>
              <w:ind w:right="14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19"/>
                <w:szCs w:val="19"/>
                <w:color w:val="auto"/>
              </w:rPr>
            </w:pPr>
          </w:p>
        </w:tc>
        <w:tc>
          <w:tcPr>
            <w:tcW w:w="238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As of</w:t>
            </w:r>
          </w:p>
        </w:tc>
      </w:tr>
      <w:tr>
        <w:trPr>
          <w:trHeight w:val="228"/>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19"/>
                <w:szCs w:val="19"/>
                <w:color w:val="auto"/>
              </w:rPr>
            </w:pPr>
          </w:p>
        </w:tc>
        <w:tc>
          <w:tcPr>
            <w:tcW w:w="260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Pr>
          <w:p>
            <w:pPr>
              <w:spacing w:after="0"/>
              <w:rPr>
                <w:sz w:val="19"/>
                <w:szCs w:val="19"/>
                <w:color w:val="auto"/>
              </w:rPr>
            </w:pPr>
          </w:p>
        </w:tc>
        <w:tc>
          <w:tcPr>
            <w:tcW w:w="2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December 31, 2020</w:t>
            </w:r>
          </w:p>
        </w:tc>
      </w:tr>
      <w:tr>
        <w:trPr>
          <w:trHeight w:val="217"/>
        </w:trPr>
        <w:tc>
          <w:tcPr>
            <w:tcW w:w="422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4220" w:type="dxa"/>
            <w:vAlign w:val="bottom"/>
          </w:tcPr>
          <w:p>
            <w:pPr>
              <w:ind w:left="16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24"/>
        </w:trPr>
        <w:tc>
          <w:tcPr>
            <w:tcW w:w="42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gridSpan w:val="2"/>
          </w:tcPr>
          <w:p>
            <w:pPr>
              <w:ind w:left="16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44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lease payments</w:t>
            </w:r>
          </w:p>
        </w:tc>
        <w:tc>
          <w:tcPr>
            <w:tcW w:w="340" w:type="dxa"/>
            <w:vAlign w:val="bottom"/>
            <w:tcBorders>
              <w:top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9"/>
                <w:szCs w:val="19"/>
                <w:color w:val="auto"/>
              </w:rPr>
            </w:pPr>
          </w:p>
        </w:tc>
        <w:tc>
          <w:tcPr>
            <w:tcW w:w="260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9"/>
                <w:szCs w:val="19"/>
                <w:color w:val="auto"/>
              </w:rPr>
            </w:pPr>
          </w:p>
        </w:tc>
        <w:tc>
          <w:tcPr>
            <w:tcW w:w="23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7"/>
        </w:trPr>
        <w:tc>
          <w:tcPr>
            <w:tcW w:w="4440" w:type="dxa"/>
            <w:vAlign w:val="bottom"/>
            <w:tcBorders>
              <w:top w:val="single" w:sz="8" w:color="CFF0FC"/>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operating lease liability</w:t>
            </w:r>
          </w:p>
        </w:tc>
        <w:tc>
          <w:tcPr>
            <w:tcW w:w="34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Future minimum lease payments under the Company’s capital leases as of December 31, 2021, and 2020, were $ 1,000 and $5,000,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Basic and diluted earnings (loss) per share are calculated as follows (in 000s):</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1"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24,926</w:t>
            </w:r>
          </w:p>
        </w:tc>
        <w:tc>
          <w:tcPr>
            <w:tcW w:w="2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(73,158)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(56,047)</w:t>
            </w: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 due to warrant reset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(3,906)</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vMerge w:val="continue"/>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24,926</w:t>
            </w:r>
          </w:p>
        </w:tc>
        <w:tc>
          <w:tcPr>
            <w:tcW w:w="240" w:type="dxa"/>
            <w:vAlign w:val="bottom"/>
          </w:tcPr>
          <w:p>
            <w:pPr>
              <w:spacing w:after="0"/>
              <w:rPr>
                <w:sz w:val="22"/>
                <w:szCs w:val="22"/>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(77,064)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(56,047)</w:t>
            </w:r>
          </w:p>
        </w:tc>
        <w:tc>
          <w:tcPr>
            <w:tcW w:w="0" w:type="dxa"/>
            <w:vAlign w:val="bottom"/>
          </w:tcPr>
          <w:p>
            <w:pPr>
              <w:spacing w:after="0"/>
              <w:rPr>
                <w:sz w:val="1"/>
                <w:szCs w:val="1"/>
                <w:color w:val="auto"/>
              </w:rPr>
            </w:pPr>
          </w:p>
        </w:tc>
      </w:tr>
      <w:tr>
        <w:trPr>
          <w:trHeight w:val="203"/>
        </w:trPr>
        <w:tc>
          <w:tcPr>
            <w:tcW w:w="536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0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Effective of Dilutive Securities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 - vested restricted stock units (RSUs)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 to purchase common stock</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Dilutive potential common shares</w:t>
            </w:r>
          </w:p>
        </w:tc>
        <w:tc>
          <w:tcPr>
            <w:tcW w:w="10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60"/>
              <w:spacing w:after="0"/>
              <w:rPr>
                <w:sz w:val="20"/>
                <w:szCs w:val="20"/>
                <w:color w:val="auto"/>
              </w:rPr>
            </w:pPr>
            <w:r>
              <w:rPr>
                <w:rFonts w:ascii="Arial" w:cs="Arial" w:eastAsia="Arial" w:hAnsi="Arial"/>
                <w:sz w:val="18"/>
                <w:szCs w:val="18"/>
                <w:color w:val="auto"/>
              </w:rPr>
              <w:t>Shares used in calculating diluted earnings (loss) per share</w:t>
            </w:r>
          </w:p>
        </w:tc>
        <w:tc>
          <w:tcPr>
            <w:tcW w:w="1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589"/>
        <w:spacing w:after="0" w:line="324" w:lineRule="auto"/>
        <w:rPr>
          <w:sz w:val="20"/>
          <w:szCs w:val="20"/>
          <w:color w:val="auto"/>
        </w:rPr>
      </w:pPr>
      <w:r>
        <w:rPr>
          <w:rFonts w:ascii="Arial" w:cs="Arial" w:eastAsia="Arial" w:hAnsi="Arial"/>
          <w:sz w:val="16"/>
          <w:szCs w:val="16"/>
          <w:color w:val="auto"/>
        </w:rPr>
        <w:t>The following potentially dilutive securities have been excluded from the computation of diluted weighted-average shares outstanding for 2020 and 2019, because such securities have an antidilutive impact due to losses reported (in common stock equivalent shares):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7600" w:type="dxa"/>
            <w:vAlign w:val="bottom"/>
          </w:tcPr>
          <w:p>
            <w:pPr>
              <w:spacing w:after="0"/>
              <w:rPr>
                <w:sz w:val="14"/>
                <w:szCs w:val="14"/>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8"/>
              <w:spacing w:after="0" w:line="151"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6"/>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17"/>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6,379,235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6,057,011</w:t>
            </w:r>
          </w:p>
        </w:tc>
        <w:tc>
          <w:tcPr>
            <w:tcW w:w="100" w:type="dxa"/>
            <w:vAlign w:val="bottom"/>
            <w:shd w:val="clear" w:color="auto" w:fill="CFF0FC"/>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4,595,039</w:t>
            </w:r>
          </w:p>
        </w:tc>
        <w:tc>
          <w:tcPr>
            <w:tcW w:w="100" w:type="dxa"/>
            <w:vAlign w:val="bottom"/>
          </w:tcPr>
          <w:p>
            <w:pPr>
              <w:spacing w:after="0"/>
              <w:rPr>
                <w:sz w:val="19"/>
                <w:szCs w:val="19"/>
                <w:color w:val="auto"/>
              </w:rPr>
            </w:pPr>
          </w:p>
        </w:tc>
      </w:tr>
      <w:tr>
        <w:trPr>
          <w:trHeight w:val="224"/>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Non - vested restricted stock units (RSUs)</w:t>
            </w:r>
          </w:p>
        </w:tc>
        <w:tc>
          <w:tcPr>
            <w:tcW w:w="1060" w:type="dxa"/>
            <w:vAlign w:val="bottom"/>
          </w:tcPr>
          <w:p>
            <w:pPr>
              <w:jc w:val="right"/>
              <w:spacing w:after="0"/>
              <w:rPr>
                <w:sz w:val="20"/>
                <w:szCs w:val="20"/>
                <w:color w:val="auto"/>
              </w:rPr>
            </w:pPr>
            <w:r>
              <w:rPr>
                <w:rFonts w:ascii="Arial" w:cs="Arial" w:eastAsia="Arial" w:hAnsi="Arial"/>
                <w:sz w:val="18"/>
                <w:szCs w:val="18"/>
                <w:color w:val="auto"/>
              </w:rPr>
              <w:t>18,500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firstLine="589"/>
        <w:spacing w:after="0" w:line="304" w:lineRule="auto"/>
        <w:rPr>
          <w:sz w:val="20"/>
          <w:szCs w:val="20"/>
          <w:color w:val="auto"/>
        </w:rPr>
      </w:pPr>
      <w:r>
        <w:rPr>
          <w:rFonts w:ascii="Arial" w:cs="Arial" w:eastAsia="Arial" w:hAnsi="Arial"/>
          <w:sz w:val="15"/>
          <w:szCs w:val="15"/>
          <w:color w:val="auto"/>
        </w:rPr>
        <w:t>As discussed in Note 12, in June 2018, the Company signed an exchange agreement with an investor under which the investor exchanged 2,000,000 shares of common stock for 2,000,000 pre-funded warrant shares. Further, in March 2019, the Company sold an additional 2,500,000 pre-funded warrant shares. The pre-funded warrants are exercisable into shares of common stock for $0.0001 per share. The shares of common stock into which the pre-funded warrants may be exercised are considered outstanding for the purposes of computing earnings per share. In January 2020, the Company sold 3,036,719 shares of common stock at a price of $8.00 per share and pre-funded warrants to purchase 1,338,287 shares of our common stock. During the year ended December 31, 2021, 475,784 pre-funded warrants were exchanged for shares of common stock in a cashless exercise and 250,000 pre-funded warrants were exchanged for shares of common stock in a cash excercise. As of December 31, 2021, 3,975,024 pre-funded warrants were considered issued and outstanding.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7. Significant Agreements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108" w:lineRule="exact"/>
        <w:rPr>
          <w:sz w:val="20"/>
          <w:szCs w:val="20"/>
          <w:color w:val="auto"/>
        </w:rPr>
      </w:pPr>
    </w:p>
    <w:p>
      <w:pPr>
        <w:ind w:firstLine="589"/>
        <w:spacing w:after="0" w:line="297" w:lineRule="auto"/>
        <w:rPr>
          <w:sz w:val="20"/>
          <w:szCs w:val="20"/>
          <w:color w:val="auto"/>
        </w:rPr>
      </w:pPr>
      <w:r>
        <w:rPr>
          <w:rFonts w:ascii="Arial" w:cs="Arial" w:eastAsia="Arial" w:hAnsi="Arial"/>
          <w:sz w:val="15"/>
          <w:szCs w:val="15"/>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76"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In June 2019, the Company achieved certain development and regulatory milestones. As a result, in June 2019, the Company recorded $4.0 million as research and development expense. The amount was paid in 2020.</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UCB Biopharma Sprl</w:t>
      </w:r>
    </w:p>
    <w:p>
      <w:pPr>
        <w:spacing w:after="0" w:line="108" w:lineRule="exact"/>
        <w:rPr>
          <w:sz w:val="20"/>
          <w:szCs w:val="20"/>
          <w:color w:val="auto"/>
        </w:rPr>
      </w:pPr>
    </w:p>
    <w:p>
      <w:pPr>
        <w:ind w:firstLine="589"/>
        <w:spacing w:after="0" w:line="297" w:lineRule="auto"/>
        <w:rPr>
          <w:sz w:val="20"/>
          <w:szCs w:val="20"/>
          <w:color w:val="auto"/>
        </w:rPr>
      </w:pPr>
      <w:r>
        <w:rPr>
          <w:rFonts w:ascii="Arial" w:cs="Arial" w:eastAsia="Arial" w:hAnsi="Arial"/>
          <w:sz w:val="15"/>
          <w:szCs w:val="15"/>
          <w:color w:val="auto"/>
        </w:rPr>
        <w:t>In July 2016, the Company entered into a license agreement (the “UCB License Agreement”) with UCB Biopharma Sprl (“UCB”), under which UCB granted to the Company a worldwide, sublicenseable, exclusive license to UCB6352, which the Company refers to as SNDX-6352 or axatilimab,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03" w:name="page104"/>
    <w:bookmarkEnd w:id="103"/>
    <w:p>
      <w:pPr>
        <w:ind w:right="20" w:firstLine="589"/>
        <w:spacing w:after="0" w:line="282" w:lineRule="auto"/>
        <w:rPr>
          <w:sz w:val="20"/>
          <w:szCs w:val="20"/>
          <w:color w:val="auto"/>
        </w:rPr>
      </w:pPr>
      <w:r>
        <w:rPr>
          <w:rFonts w:ascii="Arial" w:cs="Arial" w:eastAsia="Arial" w:hAnsi="Arial"/>
          <w:sz w:val="16"/>
          <w:szCs w:val="16"/>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July 2020, the Company achieved certain development and regulatory milestones. As a result, in July 2020, the Company recorded $2.0 million as research and development expense, which has been fully paid. In March and September 2021, the Company recorded $2.0 million, respectively, as research and development expenses for the achievement of certain development milestones. The Company fully paid the March 2021 milestone in the second quarter of 2021. The September 2021 milestone of $2.0 million is recorded as an accrued expense as of December 31, 2021.</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Eastern Cooperative Oncology Group</w:t>
      </w:r>
    </w:p>
    <w:p>
      <w:pPr>
        <w:spacing w:after="0" w:line="108" w:lineRule="exact"/>
        <w:rPr>
          <w:sz w:val="20"/>
          <w:szCs w:val="20"/>
          <w:color w:val="auto"/>
        </w:rPr>
      </w:pPr>
    </w:p>
    <w:p>
      <w:pPr>
        <w:ind w:right="80" w:firstLine="589"/>
        <w:spacing w:after="0" w:line="279"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$5.3 million. The Company has agreed to provide this additional financial support to fund the additional activities required to ensure that the E2112 clinical trial will satisfy FDA registration requirements.</w:t>
      </w:r>
    </w:p>
    <w:p>
      <w:pPr>
        <w:spacing w:after="0" w:line="69"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In May 2020, the Company announced that the E2112 trial did not achieve the primary endpoint of demonstrating a statistically significant overall survival benefit over hormone therapy alone. As a result, the Company has decided to deprioritize the entinostat program to focus resources on advancing the remainder of its pipeline. As of December 31, 2021, the Company’s aggregate payment obligations under this agreement are approximately $24.7 million; and its maximum remaining payment obligations are $3.2 million, which are estimated to be paid over a period of approximately one year. As of December 31, 2021, the Company has accrued $3.0 million related to the ECOG Agreement.</w:t>
      </w:r>
    </w:p>
    <w:p>
      <w:pPr>
        <w:spacing w:after="0" w:line="166" w:lineRule="exact"/>
        <w:rPr>
          <w:sz w:val="20"/>
          <w:szCs w:val="20"/>
          <w:color w:val="auto"/>
        </w:rPr>
      </w:pPr>
    </w:p>
    <w:p>
      <w:pPr>
        <w:ind w:right="140" w:firstLine="589"/>
        <w:spacing w:after="0" w:line="280" w:lineRule="auto"/>
        <w:rPr>
          <w:sz w:val="20"/>
          <w:szCs w:val="20"/>
          <w:color w:val="auto"/>
        </w:rPr>
      </w:pPr>
      <w:r>
        <w:rPr>
          <w:rFonts w:ascii="Arial" w:cs="Arial" w:eastAsia="Arial" w:hAnsi="Arial"/>
          <w:sz w:val="16"/>
          <w:szCs w:val="16"/>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accounts for these expenses according to the progress of the clinical trial as measured by patient enrollment and the timing of various aspects of the clinical trial. The Company determines accrual estimates through financial models,taking into account discussion with applicable personnel and ECOG-ACRIN as to the progress of consummation of the clinical trial or the services completed.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Bayer Pharma AG (formerly known as Bayer Schering Pharma AG)</w:t>
      </w:r>
    </w:p>
    <w:p>
      <w:pPr>
        <w:spacing w:after="0" w:line="108"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7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6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1"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r>
      <w:tr>
        <w:trPr>
          <w:trHeight w:val="217"/>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680" w:type="dxa"/>
            <w:vAlign w:val="bottom"/>
            <w:shd w:val="clear" w:color="auto" w:fill="CFF0FC"/>
          </w:tcPr>
          <w:p>
            <w:pPr>
              <w:jc w:val="right"/>
              <w:ind w:right="49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r>
      <w:tr>
        <w:trPr>
          <w:trHeight w:val="22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2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under capital lease</w:t>
            </w: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16"/>
        </w:trPr>
        <w:tc>
          <w:tcPr>
            <w:tcW w:w="766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r>
      <w:tr>
        <w:trPr>
          <w:trHeight w:val="22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(443)</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expense was $43,000 and $90,000 for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14" w:lineRule="exact"/>
        <w:rPr>
          <w:sz w:val="20"/>
          <w:szCs w:val="20"/>
          <w:color w:val="auto"/>
        </w:rPr>
      </w:pPr>
    </w:p>
    <w:p>
      <w:pPr>
        <w:ind w:right="100" w:firstLine="589"/>
        <w:spacing w:after="0" w:line="248" w:lineRule="auto"/>
        <w:rPr>
          <w:sz w:val="20"/>
          <w:szCs w:val="20"/>
          <w:color w:val="auto"/>
        </w:rPr>
      </w:pPr>
      <w:r>
        <w:rPr>
          <w:rFonts w:ascii="Arial" w:cs="Arial" w:eastAsia="Arial" w:hAnsi="Arial"/>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87" w:lineRule="exact"/>
        <w:rPr>
          <w:sz w:val="20"/>
          <w:szCs w:val="20"/>
          <w:color w:val="auto"/>
        </w:rPr>
      </w:pPr>
    </w:p>
    <w:p>
      <w:pPr>
        <w:ind w:right="140" w:firstLine="589"/>
        <w:spacing w:after="0" w:line="261" w:lineRule="auto"/>
        <w:rPr>
          <w:sz w:val="20"/>
          <w:szCs w:val="20"/>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that are accessible at the market date for identical unrestricted assets or liabilities.</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for which all significant inputs are observable or can be corroborated by observable market data for substantially the full term of the assets or liabilities.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647" w:right="419" w:bottom="1440" w:gutter="0" w:footer="0" w:header="0"/>
        </w:sectPr>
      </w:pPr>
    </w:p>
    <w:bookmarkStart w:id="105" w:name="page106"/>
    <w:bookmarkEnd w:id="105"/>
    <w:p>
      <w:pPr>
        <w:ind w:right="240" w:firstLine="589"/>
        <w:spacing w:after="0" w:line="324" w:lineRule="auto"/>
        <w:rPr>
          <w:sz w:val="20"/>
          <w:szCs w:val="20"/>
          <w:color w:val="auto"/>
        </w:rPr>
      </w:pPr>
      <w:r>
        <w:rPr>
          <w:rFonts w:ascii="Arial" w:cs="Arial" w:eastAsia="Arial" w:hAnsi="Arial"/>
          <w:sz w:val="16"/>
          <w:szCs w:val="16"/>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7"/>
          </w:tcPr>
          <w:p>
            <w:pPr>
              <w:jc w:val="center"/>
              <w:ind w:right="98"/>
              <w:spacing w:after="0"/>
              <w:rPr>
                <w:sz w:val="20"/>
                <w:szCs w:val="20"/>
                <w:color w:val="auto"/>
              </w:rPr>
            </w:pPr>
            <w:r>
              <w:rPr>
                <w:rFonts w:ascii="Arial" w:cs="Arial" w:eastAsia="Arial" w:hAnsi="Arial"/>
                <w:sz w:val="14"/>
                <w:szCs w:val="14"/>
                <w:b w:val="1"/>
                <w:bCs w:val="1"/>
                <w:color w:val="auto"/>
                <w:w w:val="90"/>
              </w:rPr>
              <w:t>Fair Value Measurements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Quoted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5"/>
        </w:trPr>
        <w:tc>
          <w:tcPr>
            <w:tcW w:w="1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20"/>
              <w:spacing w:after="0" w:line="145" w:lineRule="exact"/>
              <w:rPr>
                <w:sz w:val="20"/>
                <w:szCs w:val="20"/>
                <w:color w:val="auto"/>
              </w:rPr>
            </w:pPr>
            <w:r>
              <w:rPr>
                <w:rFonts w:ascii="Arial" w:cs="Arial" w:eastAsia="Arial" w:hAnsi="Arial"/>
                <w:sz w:val="14"/>
                <w:szCs w:val="14"/>
                <w:b w:val="1"/>
                <w:bCs w:val="1"/>
                <w:color w:val="auto"/>
                <w:w w:val="85"/>
              </w:rPr>
              <w:t>Prices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5"/>
        </w:trPr>
        <w:tc>
          <w:tcPr>
            <w:tcW w:w="1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7"/>
              <w:spacing w:after="0" w:line="145"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7"/>
        </w:trPr>
        <w:tc>
          <w:tcPr>
            <w:tcW w:w="1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7"/>
        </w:trPr>
        <w:tc>
          <w:tcPr>
            <w:tcW w:w="4860" w:type="dxa"/>
            <w:vAlign w:val="bottom"/>
            <w:tcBorders>
              <w:top w:val="single" w:sz="8" w:color="CFF0FC"/>
            </w:tcBorders>
            <w:gridSpan w:val="2"/>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December 31, 2021</w:t>
            </w: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346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221,964</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96,816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125,148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217,971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217,971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439,935</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96,816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343,119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tcBorders>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Derivative Liability</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tcBorders>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FF0FC"/>
          </w:tcPr>
          <w:p>
            <w:pPr>
              <w:spacing w:after="0" w:line="184" w:lineRule="exact"/>
              <w:rPr>
                <w:sz w:val="20"/>
                <w:szCs w:val="20"/>
                <w:color w:val="auto"/>
              </w:rPr>
            </w:pPr>
            <w:r>
              <w:rPr>
                <w:rFonts w:ascii="Arial" w:cs="Arial" w:eastAsia="Arial" w:hAnsi="Arial"/>
                <w:sz w:val="18"/>
                <w:szCs w:val="18"/>
                <w:b w:val="1"/>
                <w:bCs w:val="1"/>
                <w:color w:val="auto"/>
              </w:rPr>
              <w:t>December 31, 2020</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346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115,243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110,246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177,822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177,822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293,065</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110,246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182,819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tcBorders>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There have been no material impairments of our assets measured and carried at fair value during the years ended December 31, 2021, and 2020. In addition, there have been no changes in valuation techniques during the years ended December 31, 2021, and 2020. The fair value of Level 1 instruments classified as cash equivalents are valued using quoted market prices in active markets. The fair value of Level 2 instruments classified as cash equivalents and short-term investments was determined other than quoted prices in active markets, which are either directly or indirectly observable as of the reporting date and fair value is determined using models or other valuation methodologies. The fair value of the Level 3 instrument is determined using unobservable inputs and the Company utilized a Black Scholes valuation model as of December 9, 2021 (initial recognition) and December 31, 2021 respectively.</w:t>
      </w:r>
    </w:p>
    <w:p>
      <w:pPr>
        <w:spacing w:after="0" w:line="166" w:lineRule="exact"/>
        <w:rPr>
          <w:sz w:val="20"/>
          <w:szCs w:val="20"/>
          <w:color w:val="auto"/>
        </w:rPr>
      </w:pPr>
    </w:p>
    <w:p>
      <w:pPr>
        <w:ind w:right="700" w:firstLine="589"/>
        <w:spacing w:after="0" w:line="261" w:lineRule="auto"/>
        <w:rPr>
          <w:sz w:val="20"/>
          <w:szCs w:val="20"/>
          <w:color w:val="auto"/>
        </w:rPr>
      </w:pPr>
      <w:r>
        <w:rPr>
          <w:rFonts w:ascii="Arial" w:cs="Arial" w:eastAsia="Arial" w:hAnsi="Arial"/>
          <w:sz w:val="18"/>
          <w:szCs w:val="18"/>
          <w:color w:val="auto"/>
        </w:rPr>
        <w:t>The following table summarizes the significant unobservable inputs in the fair value measurement of the Company’s contingent consideration obligations as of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w w:val="92"/>
              </w:rPr>
              <w:t>As of December 31, 2021</w:t>
            </w: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232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1"/>
              </w:rPr>
              <w:t>Unobservable Input</w:t>
            </w:r>
          </w:p>
        </w:tc>
        <w:tc>
          <w:tcPr>
            <w:tcW w:w="2020" w:type="dxa"/>
            <w:vAlign w:val="bottom"/>
            <w:gridSpan w:val="2"/>
          </w:tcPr>
          <w:p>
            <w:pPr>
              <w:jc w:val="right"/>
              <w:ind w:right="743"/>
              <w:spacing w:after="0" w:line="151" w:lineRule="exact"/>
              <w:rPr>
                <w:sz w:val="20"/>
                <w:szCs w:val="20"/>
                <w:color w:val="auto"/>
              </w:rPr>
            </w:pPr>
            <w:r>
              <w:rPr>
                <w:rFonts w:ascii="Arial" w:cs="Arial" w:eastAsia="Arial" w:hAnsi="Arial"/>
                <w:sz w:val="14"/>
                <w:szCs w:val="14"/>
                <w:b w:val="1"/>
                <w:bCs w:val="1"/>
                <w:color w:val="auto"/>
              </w:rPr>
              <w:t>Range</w:t>
            </w:r>
          </w:p>
        </w:tc>
        <w:tc>
          <w:tcPr>
            <w:tcW w:w="140" w:type="dxa"/>
            <w:vAlign w:val="bottom"/>
          </w:tcPr>
          <w:p>
            <w:pPr>
              <w:spacing w:after="0"/>
              <w:rPr>
                <w:sz w:val="13"/>
                <w:szCs w:val="13"/>
                <w:color w:val="auto"/>
              </w:rPr>
            </w:pPr>
          </w:p>
        </w:tc>
        <w:tc>
          <w:tcPr>
            <w:tcW w:w="1780" w:type="dxa"/>
            <w:vAlign w:val="bottom"/>
            <w:gridSpan w:val="2"/>
          </w:tcPr>
          <w:p>
            <w:pPr>
              <w:jc w:val="right"/>
              <w:ind w:right="360"/>
              <w:spacing w:after="0" w:line="151" w:lineRule="exact"/>
              <w:rPr>
                <w:sz w:val="20"/>
                <w:szCs w:val="20"/>
                <w:color w:val="auto"/>
              </w:rPr>
            </w:pPr>
            <w:r>
              <w:rPr>
                <w:rFonts w:ascii="Arial" w:cs="Arial" w:eastAsia="Arial" w:hAnsi="Arial"/>
                <w:sz w:val="14"/>
                <w:szCs w:val="14"/>
                <w:b w:val="1"/>
                <w:bCs w:val="1"/>
                <w:color w:val="auto"/>
              </w:rPr>
              <w:t>Weighted Average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1060" w:type="dxa"/>
            <w:vAlign w:val="bottom"/>
            <w:tcBorders>
              <w:top w:val="single" w:sz="8" w:color="CFF0FC"/>
              <w:bottom w:val="single" w:sz="8" w:color="auto"/>
            </w:tcBorders>
            <w:shd w:val="clear" w:color="auto" w:fill="CFF0FC"/>
          </w:tcPr>
          <w:p>
            <w:pPr>
              <w:spacing w:after="0" w:line="177" w:lineRule="exact"/>
              <w:rPr>
                <w:sz w:val="20"/>
                <w:szCs w:val="20"/>
                <w:color w:val="auto"/>
              </w:rPr>
            </w:pPr>
            <w:r>
              <w:rPr>
                <w:rFonts w:ascii="Arial" w:cs="Arial" w:eastAsia="Arial" w:hAnsi="Arial"/>
                <w:sz w:val="18"/>
                <w:szCs w:val="18"/>
                <w:b w:val="1"/>
                <w:bCs w:val="1"/>
                <w:color w:val="auto"/>
                <w:w w:val="83"/>
              </w:rPr>
              <w:t>(in thousands)</w:t>
            </w:r>
          </w:p>
        </w:tc>
        <w:tc>
          <w:tcPr>
            <w:tcW w:w="13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18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25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Derivative Liability</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Discount Rate</w:t>
            </w:r>
          </w:p>
        </w:tc>
        <w:tc>
          <w:tcPr>
            <w:tcW w:w="9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20" w:type="dxa"/>
            <w:vAlign w:val="bottom"/>
            <w:gridSpan w:val="2"/>
            <w:vMerge w:val="restart"/>
            <w:shd w:val="clear" w:color="auto" w:fill="CFF0FC"/>
          </w:tcPr>
          <w:p>
            <w:pPr>
              <w:jc w:val="right"/>
              <w:ind w:right="538"/>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32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8"/>
                <w:szCs w:val="18"/>
                <w:color w:val="auto"/>
                <w:w w:val="98"/>
              </w:rPr>
              <w:t>Volatility</w:t>
            </w:r>
          </w:p>
        </w:tc>
        <w:tc>
          <w:tcPr>
            <w:tcW w:w="2020" w:type="dxa"/>
            <w:vAlign w:val="bottom"/>
            <w:gridSpan w:val="2"/>
            <w:vMerge w:val="restart"/>
            <w:shd w:val="clear" w:color="auto" w:fill="CFF0FC"/>
          </w:tcPr>
          <w:p>
            <w:pPr>
              <w:jc w:val="right"/>
              <w:ind w:right="743"/>
              <w:spacing w:after="0"/>
              <w:rPr>
                <w:sz w:val="20"/>
                <w:szCs w:val="20"/>
                <w:color w:val="auto"/>
              </w:rPr>
            </w:pPr>
            <w:r>
              <w:rPr>
                <w:rFonts w:ascii="Arial" w:cs="Arial" w:eastAsia="Arial" w:hAnsi="Arial"/>
                <w:sz w:val="18"/>
                <w:szCs w:val="18"/>
                <w:color w:val="auto"/>
              </w:rPr>
              <w:t>4-5%</w:t>
            </w:r>
          </w:p>
        </w:tc>
        <w:tc>
          <w:tcPr>
            <w:tcW w:w="182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560" w:type="dxa"/>
            <w:vAlign w:val="bottom"/>
            <w:gridSpan w:val="3"/>
            <w:vMerge w:val="restart"/>
            <w:shd w:val="clear" w:color="auto" w:fill="CFF0FC"/>
          </w:tcPr>
          <w:p>
            <w:pPr>
              <w:ind w:left="24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320" w:type="dxa"/>
            <w:vAlign w:val="bottom"/>
            <w:gridSpan w:val="2"/>
            <w:vMerge w:val="continue"/>
            <w:shd w:val="clear" w:color="auto" w:fill="CFF0FC"/>
          </w:tcPr>
          <w:p>
            <w:pPr>
              <w:spacing w:after="0"/>
              <w:rPr>
                <w:sz w:val="9"/>
                <w:szCs w:val="9"/>
                <w:color w:val="auto"/>
              </w:rPr>
            </w:pPr>
          </w:p>
        </w:tc>
        <w:tc>
          <w:tcPr>
            <w:tcW w:w="2020" w:type="dxa"/>
            <w:vAlign w:val="bottom"/>
            <w:gridSpan w:val="2"/>
            <w:vMerge w:val="continue"/>
            <w:shd w:val="clear" w:color="auto" w:fill="CFF0FC"/>
          </w:tcPr>
          <w:p>
            <w:pPr>
              <w:spacing w:after="0"/>
              <w:rPr>
                <w:sz w:val="9"/>
                <w:szCs w:val="9"/>
                <w:color w:val="auto"/>
              </w:rPr>
            </w:pPr>
          </w:p>
        </w:tc>
        <w:tc>
          <w:tcPr>
            <w:tcW w:w="1820" w:type="dxa"/>
            <w:vAlign w:val="bottom"/>
            <w:gridSpan w:val="2"/>
            <w:vMerge w:val="restart"/>
            <w:shd w:val="clear" w:color="auto" w:fill="CFF0FC"/>
          </w:tcPr>
          <w:p>
            <w:pPr>
              <w:jc w:val="right"/>
              <w:ind w:right="478"/>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FF0FC"/>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560" w:type="dxa"/>
            <w:vAlign w:val="bottom"/>
            <w:gridSpan w:val="3"/>
            <w:vMerge w:val="continue"/>
            <w:shd w:val="clear" w:color="auto" w:fill="CFF0FC"/>
          </w:tcPr>
          <w:p>
            <w:pPr>
              <w:spacing w:after="0"/>
              <w:rPr>
                <w:sz w:val="9"/>
                <w:szCs w:val="9"/>
                <w:color w:val="auto"/>
              </w:rPr>
            </w:pPr>
          </w:p>
        </w:tc>
        <w:tc>
          <w:tcPr>
            <w:tcW w:w="90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320" w:type="dxa"/>
            <w:vAlign w:val="bottom"/>
            <w:gridSpan w:val="2"/>
            <w:vMerge w:val="restart"/>
            <w:shd w:val="clear" w:color="auto" w:fill="CFF0FC"/>
          </w:tcPr>
          <w:p>
            <w:pPr>
              <w:jc w:val="center"/>
              <w:ind w:right="160"/>
              <w:spacing w:after="0"/>
              <w:rPr>
                <w:sz w:val="20"/>
                <w:szCs w:val="20"/>
                <w:color w:val="auto"/>
              </w:rPr>
            </w:pPr>
            <w:r>
              <w:rPr>
                <w:rFonts w:ascii="Arial" w:cs="Arial" w:eastAsia="Arial" w:hAnsi="Arial"/>
                <w:sz w:val="18"/>
                <w:szCs w:val="18"/>
                <w:color w:val="auto"/>
                <w:w w:val="89"/>
              </w:rPr>
              <w:t>Expected timing of the</w:t>
            </w:r>
          </w:p>
        </w:tc>
        <w:tc>
          <w:tcPr>
            <w:tcW w:w="2020" w:type="dxa"/>
            <w:vAlign w:val="bottom"/>
            <w:gridSpan w:val="2"/>
            <w:vMerge w:val="restart"/>
            <w:shd w:val="clear" w:color="auto" w:fill="CFF0FC"/>
          </w:tcPr>
          <w:p>
            <w:pPr>
              <w:jc w:val="right"/>
              <w:ind w:right="663"/>
              <w:spacing w:after="0"/>
              <w:rPr>
                <w:sz w:val="20"/>
                <w:szCs w:val="20"/>
                <w:color w:val="auto"/>
              </w:rPr>
            </w:pPr>
            <w:r>
              <w:rPr>
                <w:rFonts w:ascii="Arial" w:cs="Arial" w:eastAsia="Arial" w:hAnsi="Arial"/>
                <w:sz w:val="18"/>
                <w:szCs w:val="18"/>
                <w:color w:val="auto"/>
              </w:rPr>
              <w:t>58-61%</w:t>
            </w:r>
          </w:p>
        </w:tc>
        <w:tc>
          <w:tcPr>
            <w:tcW w:w="182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320" w:type="dxa"/>
            <w:vAlign w:val="bottom"/>
            <w:gridSpan w:val="2"/>
            <w:vMerge w:val="continue"/>
            <w:shd w:val="clear" w:color="auto" w:fill="CFF0FC"/>
          </w:tcPr>
          <w:p>
            <w:pPr>
              <w:spacing w:after="0"/>
              <w:rPr>
                <w:sz w:val="9"/>
                <w:szCs w:val="9"/>
                <w:color w:val="auto"/>
              </w:rPr>
            </w:pPr>
          </w:p>
        </w:tc>
        <w:tc>
          <w:tcPr>
            <w:tcW w:w="20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780" w:type="dxa"/>
            <w:vAlign w:val="bottom"/>
            <w:gridSpan w:val="2"/>
            <w:vMerge w:val="restart"/>
            <w:shd w:val="clear" w:color="auto" w:fill="CFF0FC"/>
          </w:tcPr>
          <w:p>
            <w:pPr>
              <w:jc w:val="right"/>
              <w:ind w:right="580"/>
              <w:spacing w:after="0"/>
              <w:rPr>
                <w:sz w:val="20"/>
                <w:szCs w:val="20"/>
                <w:color w:val="auto"/>
              </w:rPr>
            </w:pPr>
            <w:r>
              <w:rPr>
                <w:rFonts w:ascii="Arial" w:cs="Arial" w:eastAsia="Arial" w:hAnsi="Arial"/>
                <w:sz w:val="18"/>
                <w:szCs w:val="18"/>
                <w:color w:val="auto"/>
              </w:rPr>
              <w:t>9 months</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320" w:type="dxa"/>
            <w:vAlign w:val="bottom"/>
            <w:gridSpan w:val="2"/>
            <w:vMerge w:val="restart"/>
            <w:shd w:val="clear" w:color="auto" w:fill="CFF0FC"/>
          </w:tcPr>
          <w:p>
            <w:pPr>
              <w:jc w:val="center"/>
              <w:ind w:right="160"/>
              <w:spacing w:after="0"/>
              <w:rPr>
                <w:sz w:val="20"/>
                <w:szCs w:val="20"/>
                <w:color w:val="auto"/>
              </w:rPr>
            </w:pPr>
            <w:r>
              <w:rPr>
                <w:rFonts w:ascii="Arial" w:cs="Arial" w:eastAsia="Arial" w:hAnsi="Arial"/>
                <w:sz w:val="18"/>
                <w:szCs w:val="18"/>
                <w:color w:val="auto"/>
                <w:w w:val="90"/>
              </w:rPr>
              <w:t>Termination Right</w:t>
            </w:r>
          </w:p>
        </w:tc>
        <w:tc>
          <w:tcPr>
            <w:tcW w:w="2020" w:type="dxa"/>
            <w:vAlign w:val="bottom"/>
            <w:gridSpan w:val="2"/>
            <w:vMerge w:val="restart"/>
            <w:shd w:val="clear" w:color="auto" w:fill="CFF0FC"/>
          </w:tcPr>
          <w:p>
            <w:pPr>
              <w:jc w:val="right"/>
              <w:ind w:right="603"/>
              <w:spacing w:after="0"/>
              <w:rPr>
                <w:sz w:val="20"/>
                <w:szCs w:val="20"/>
                <w:color w:val="auto"/>
              </w:rPr>
            </w:pPr>
            <w:r>
              <w:rPr>
                <w:rFonts w:ascii="Arial" w:cs="Arial" w:eastAsia="Arial" w:hAnsi="Arial"/>
                <w:sz w:val="18"/>
                <w:szCs w:val="18"/>
                <w:color w:val="auto"/>
              </w:rPr>
              <w:t>9 months</w:t>
            </w:r>
          </w:p>
        </w:tc>
        <w:tc>
          <w:tcPr>
            <w:tcW w:w="140" w:type="dxa"/>
            <w:vAlign w:val="bottom"/>
            <w:shd w:val="clear" w:color="auto" w:fill="CFF0FC"/>
          </w:tcPr>
          <w:p>
            <w:pPr>
              <w:spacing w:after="0"/>
              <w:rPr>
                <w:sz w:val="10"/>
                <w:szCs w:val="10"/>
                <w:color w:val="auto"/>
              </w:rPr>
            </w:pPr>
          </w:p>
        </w:tc>
        <w:tc>
          <w:tcPr>
            <w:tcW w:w="1780" w:type="dxa"/>
            <w:vAlign w:val="bottom"/>
            <w:gridSpan w:val="2"/>
            <w:vMerge w:val="continue"/>
            <w:shd w:val="clear" w:color="auto" w:fill="CFF0FC"/>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80" w:type="dxa"/>
            <w:vAlign w:val="bottom"/>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320" w:type="dxa"/>
            <w:vAlign w:val="bottom"/>
            <w:gridSpan w:val="2"/>
            <w:vMerge w:val="continue"/>
            <w:shd w:val="clear" w:color="auto" w:fill="CFF0FC"/>
          </w:tcPr>
          <w:p>
            <w:pPr>
              <w:spacing w:after="0"/>
              <w:rPr>
                <w:sz w:val="9"/>
                <w:szCs w:val="9"/>
                <w:color w:val="auto"/>
              </w:rPr>
            </w:pPr>
          </w:p>
        </w:tc>
        <w:tc>
          <w:tcPr>
            <w:tcW w:w="20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6160" w:type="dxa"/>
            <w:vAlign w:val="bottom"/>
            <w:gridSpan w:val="8"/>
          </w:tcPr>
          <w:p>
            <w:pPr>
              <w:ind w:left="20"/>
              <w:spacing w:after="0"/>
              <w:rPr>
                <w:sz w:val="20"/>
                <w:szCs w:val="20"/>
                <w:color w:val="auto"/>
              </w:rPr>
            </w:pPr>
            <w:r>
              <w:rPr>
                <w:rFonts w:ascii="Arial" w:cs="Arial" w:eastAsia="Arial" w:hAnsi="Arial"/>
                <w:sz w:val="18"/>
                <w:szCs w:val="18"/>
                <w:color w:val="auto"/>
              </w:rPr>
              <w:t>The following table summarizes the fair value rollforward (in thousands):</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2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5"/>
              </w:rPr>
              <w:t>Fair 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5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Derivative Liability:</w:t>
            </w:r>
          </w:p>
        </w:tc>
        <w:tc>
          <w:tcPr>
            <w:tcW w:w="9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Beginning Balance 1/1/2021</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96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5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Additions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Change in fair value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(389)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560" w:type="dxa"/>
            <w:vAlign w:val="bottom"/>
            <w:tcBorders>
              <w:top w:val="single" w:sz="8" w:color="CFF0FC"/>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Ending Balance 12/31/2021</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63"/>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2"/>
            <w:vMerge w:val="restart"/>
          </w:tcPr>
          <w:p>
            <w:pPr>
              <w:ind w:left="1040"/>
              <w:spacing w:after="0"/>
              <w:rPr>
                <w:sz w:val="20"/>
                <w:szCs w:val="20"/>
                <w:color w:val="auto"/>
              </w:rPr>
            </w:pPr>
            <w:r>
              <w:rPr>
                <w:rFonts w:ascii="Arial" w:cs="Arial" w:eastAsia="Arial" w:hAnsi="Arial"/>
                <w:sz w:val="18"/>
                <w:szCs w:val="18"/>
                <w:color w:val="auto"/>
              </w:rPr>
              <w:t>F-24</w:t>
            </w:r>
          </w:p>
        </w:tc>
        <w:tc>
          <w:tcPr>
            <w:tcW w:w="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6" w:name="page107"/>
    <w:bookmarkEnd w:id="106"/>
    <w:p>
      <w:pPr>
        <w:ind w:right="80" w:firstLine="589"/>
        <w:spacing w:after="0" w:line="306" w:lineRule="auto"/>
        <w:rPr>
          <w:sz w:val="20"/>
          <w:szCs w:val="20"/>
          <w:color w:val="auto"/>
        </w:rPr>
      </w:pPr>
      <w:r>
        <w:rPr>
          <w:rFonts w:ascii="Arial" w:cs="Arial" w:eastAsia="Arial" w:hAnsi="Arial"/>
          <w:sz w:val="15"/>
          <w:szCs w:val="15"/>
          <w:color w:val="auto"/>
        </w:rPr>
        <w:t>The short-term investments are classified as available-for-sale securities. As of December 31, 2021, the remaining contractual maturities of the available-for-sale securities were less than 12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2021. As a result, the Company did not reclassify any amounts out of accumulated other comprehensive income for the same periods. The Company has a limited number of available-for-sale securities in insignificant loss positions as of December 31, 2021, which the Company does not intend to sell and has concluded will not be required to sell before recovery of the amortized cost for the investment at maturity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available-for-sale securities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960" w:type="dxa"/>
            <w:vAlign w:val="bottom"/>
          </w:tcPr>
          <w:p>
            <w:pPr>
              <w:jc w:val="right"/>
              <w:ind w:right="126"/>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4360" w:type="dxa"/>
            <w:vAlign w:val="bottom"/>
            <w:tcBorders>
              <w:top w:val="single" w:sz="8" w:color="CFF0FC"/>
            </w:tcBorders>
            <w:gridSpan w:val="2"/>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December 31, 2021</w:t>
            </w:r>
          </w:p>
        </w:tc>
        <w:tc>
          <w:tcPr>
            <w:tcW w:w="1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right w:val="single" w:sz="8" w:color="CFF0FC"/>
            </w:tcBorders>
            <w:shd w:val="clear" w:color="auto" w:fill="CFF0FC"/>
          </w:tcPr>
          <w:p>
            <w:pPr>
              <w:spacing w:after="0"/>
              <w:rPr>
                <w:sz w:val="15"/>
                <w:szCs w:val="15"/>
                <w:color w:val="auto"/>
              </w:rPr>
            </w:pPr>
          </w:p>
        </w:tc>
        <w:tc>
          <w:tcPr>
            <w:tcW w:w="18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580" w:type="dxa"/>
            <w:vAlign w:val="bottom"/>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29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940" w:type="dxa"/>
            <w:vAlign w:val="bottom"/>
            <w:tcBorders>
              <w:right w:val="single" w:sz="8" w:color="CFF0FC"/>
            </w:tcBorders>
            <w:shd w:val="clear" w:color="auto" w:fill="CFF0FC"/>
          </w:tcPr>
          <w:p>
            <w:pPr>
              <w:spacing w:after="0"/>
              <w:rPr>
                <w:sz w:val="3"/>
                <w:szCs w:val="3"/>
                <w:color w:val="auto"/>
              </w:rPr>
            </w:pPr>
          </w:p>
        </w:tc>
        <w:tc>
          <w:tcPr>
            <w:tcW w:w="180" w:type="dxa"/>
            <w:vAlign w:val="bottom"/>
            <w:tcBorders>
              <w:right w:val="single" w:sz="8" w:color="CFF0FC"/>
            </w:tcBorders>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306,715</w:t>
            </w:r>
          </w:p>
        </w:tc>
        <w:tc>
          <w:tcPr>
            <w:tcW w:w="280" w:type="dxa"/>
            <w:vAlign w:val="bottom"/>
          </w:tcPr>
          <w:p>
            <w:pPr>
              <w:spacing w:after="0"/>
              <w:rPr>
                <w:sz w:val="19"/>
                <w:szCs w:val="19"/>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70</w:t>
            </w:r>
          </w:p>
        </w:tc>
        <w:tc>
          <w:tcPr>
            <w:tcW w:w="2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306,768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US treasury</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14,212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9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343,074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70</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343,119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Borders>
              <w:top w:val="single" w:sz="8" w:color="CFF0FC"/>
              <w:bottom w:val="single" w:sz="8" w:color="CFF0FC"/>
            </w:tcBorders>
            <w:gridSpan w:val="2"/>
            <w:vMerge w:val="restart"/>
          </w:tcPr>
          <w:p>
            <w:pPr>
              <w:spacing w:after="0" w:line="204" w:lineRule="exact"/>
              <w:rPr>
                <w:sz w:val="20"/>
                <w:szCs w:val="20"/>
                <w:color w:val="auto"/>
              </w:rPr>
            </w:pPr>
            <w:r>
              <w:rPr>
                <w:rFonts w:ascii="Arial" w:cs="Arial" w:eastAsia="Arial" w:hAnsi="Arial"/>
                <w:sz w:val="18"/>
                <w:szCs w:val="18"/>
                <w:b w:val="1"/>
                <w:bCs w:val="1"/>
                <w:color w:val="auto"/>
              </w:rPr>
              <w:t>December 31, 2020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0" w:type="dxa"/>
            <w:vAlign w:val="bottom"/>
          </w:tcPr>
          <w:p>
            <w:pPr>
              <w:spacing w:after="0"/>
              <w:rPr>
                <w:sz w:val="14"/>
                <w:szCs w:val="14"/>
                <w:color w:val="auto"/>
              </w:rPr>
            </w:pPr>
          </w:p>
        </w:tc>
        <w:tc>
          <w:tcPr>
            <w:tcW w:w="4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80" w:type="dxa"/>
            <w:vAlign w:val="bottom"/>
          </w:tcPr>
          <w:p>
            <w:pPr>
              <w:spacing w:after="0"/>
              <w:rPr>
                <w:sz w:val="20"/>
                <w:szCs w:val="20"/>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154,176</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13</w:t>
            </w:r>
          </w:p>
        </w:tc>
        <w:tc>
          <w:tcPr>
            <w:tcW w:w="2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154,173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22,617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treasury</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spacing w:after="0"/>
              <w:rPr>
                <w:sz w:val="19"/>
                <w:szCs w:val="19"/>
                <w:color w:val="auto"/>
              </w:rPr>
            </w:pPr>
          </w:p>
        </w:tc>
        <w:tc>
          <w:tcPr>
            <w:tcW w:w="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1"/>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182,823</w:t>
            </w:r>
          </w:p>
        </w:tc>
        <w:tc>
          <w:tcPr>
            <w:tcW w:w="280" w:type="dxa"/>
            <w:vAlign w:val="bottom"/>
          </w:tcPr>
          <w:p>
            <w:pPr>
              <w:spacing w:after="0"/>
              <w:rPr>
                <w:sz w:val="18"/>
                <w:szCs w:val="18"/>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182,819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Prepaid Expenses and Other Current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9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6800" w:type="dxa"/>
            <w:vAlign w:val="bottom"/>
            <w:gridSpan w:val="6"/>
          </w:tcPr>
          <w:p>
            <w:pPr>
              <w:ind w:left="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1400" w:type="dxa"/>
            <w:vAlign w:val="bottom"/>
            <w:tcBorders>
              <w:bottom w:val="single" w:sz="8" w:color="CFF0FC"/>
            </w:tcBorders>
          </w:tcPr>
          <w:p>
            <w:pPr>
              <w:spacing w:after="0"/>
              <w:rPr>
                <w:sz w:val="18"/>
                <w:szCs w:val="18"/>
                <w:color w:val="auto"/>
              </w:rPr>
            </w:pPr>
          </w:p>
        </w:tc>
        <w:tc>
          <w:tcPr>
            <w:tcW w:w="29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6,894</w:t>
            </w: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center"/>
              <w:ind w:right="7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Prepaid clinical supplies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Reimbursable costs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8,345</w:t>
            </w: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center"/>
              <w:ind w:right="7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9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Accrued Expenses and Other Current Liabilities</w:t>
            </w: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9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6800" w:type="dxa"/>
            <w:vAlign w:val="bottom"/>
            <w:gridSpan w:val="6"/>
          </w:tcPr>
          <w:p>
            <w:pPr>
              <w:ind w:left="20"/>
              <w:spacing w:after="0"/>
              <w:rPr>
                <w:sz w:val="20"/>
                <w:szCs w:val="20"/>
                <w:color w:val="auto"/>
              </w:rPr>
            </w:pPr>
            <w:r>
              <w:rPr>
                <w:rFonts w:ascii="Arial" w:cs="Arial" w:eastAsia="Arial" w:hAnsi="Arial"/>
                <w:sz w:val="18"/>
                <w:szCs w:val="18"/>
                <w:color w:val="auto"/>
                <w:w w:val="97"/>
              </w:rPr>
              <w:t>Accrued expenses and other current liabilities consisted of the following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left="617"/>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1"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5"/>
              <w:spacing w:after="0" w:line="15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Accrued compensation and related costs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14,466</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8"/>
                <w:szCs w:val="18"/>
                <w:color w:val="auto"/>
              </w:rPr>
              <w:t>F-25</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12. Common Stock</w:t>
      </w:r>
    </w:p>
    <w:p>
      <w:pPr>
        <w:spacing w:after="0" w:line="114" w:lineRule="exact"/>
        <w:rPr>
          <w:sz w:val="20"/>
          <w:szCs w:val="20"/>
          <w:color w:val="auto"/>
        </w:rPr>
      </w:pPr>
    </w:p>
    <w:p>
      <w:pPr>
        <w:ind w:right="260" w:firstLine="589"/>
        <w:spacing w:after="0" w:line="252" w:lineRule="auto"/>
        <w:rPr>
          <w:sz w:val="20"/>
          <w:szCs w:val="20"/>
          <w:color w:val="auto"/>
        </w:rPr>
      </w:pPr>
      <w:r>
        <w:rPr>
          <w:rFonts w:ascii="Arial" w:cs="Arial" w:eastAsia="Arial" w:hAnsi="Arial"/>
          <w:sz w:val="18"/>
          <w:szCs w:val="18"/>
          <w:color w:val="auto"/>
        </w:rPr>
        <w:t>The Company is authorized to issue 100,000,000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84"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sale; and as a result, prices may vary. For the year ended December 31, 2021, the Company sold 277,629 common shares of common stock under the 2021 ATM Program, with net proceeds of approximately $5.1 million.</w:t>
      </w:r>
    </w:p>
    <w:p>
      <w:pPr>
        <w:spacing w:after="0" w:line="169"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On June 18, 2018, the Company signed an exchange agreement with Biotechnology Value Fund and certain affiliated funds (“BVF”) under which BVF exchanged 2,000,000 shares of common stock for 2,000,000 Pre-Funded Warrant shares. The Company recorded the issuance of the pre-funded warrants and the retirement of the common stock at fair value within additional paid-in capital. BVF can exercise the Pre-Funded Warrants at an exercise price per share equal to $0.0001 per share and the Pre-Funded Warrants expire 20 years from issuance. Per the terms of the warrant agreement, the outstanding Pre-Funded Warrants may not be exercised if the holder's ownership of the Company’s common stock would exceed 9.99 % following such exercise.</w:t>
      </w:r>
    </w:p>
    <w:p>
      <w:pPr>
        <w:spacing w:after="0" w:line="166" w:lineRule="exact"/>
        <w:rPr>
          <w:sz w:val="20"/>
          <w:szCs w:val="20"/>
          <w:color w:val="auto"/>
        </w:rPr>
      </w:pPr>
    </w:p>
    <w:p>
      <w:pPr>
        <w:ind w:right="120" w:firstLine="589"/>
        <w:spacing w:after="0" w:line="282" w:lineRule="auto"/>
        <w:rPr>
          <w:sz w:val="20"/>
          <w:szCs w:val="20"/>
          <w:color w:val="auto"/>
        </w:rPr>
      </w:pPr>
      <w:r>
        <w:rPr>
          <w:rFonts w:ascii="Arial" w:cs="Arial" w:eastAsia="Arial" w:hAnsi="Arial"/>
          <w:sz w:val="16"/>
          <w:szCs w:val="16"/>
          <w:color w:val="auto"/>
        </w:rPr>
        <w:t>In March 2019, the Company issued 2,095,039 shares of its common stock and pre-funded warrants to purchase 2,500,000 shares of common stock (the “Pre-Funded Warrants”) to certain investors in a registered direct offering. The Pre-Funded Warrants are 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69" w:lineRule="exact"/>
        <w:rPr>
          <w:sz w:val="20"/>
          <w:szCs w:val="20"/>
          <w:color w:val="auto"/>
        </w:rPr>
      </w:pPr>
    </w:p>
    <w:p>
      <w:pPr>
        <w:ind w:right="280" w:firstLine="589"/>
        <w:spacing w:after="0" w:line="267" w:lineRule="auto"/>
        <w:rPr>
          <w:sz w:val="20"/>
          <w:szCs w:val="20"/>
          <w:color w:val="auto"/>
        </w:rPr>
      </w:pPr>
      <w:r>
        <w:rPr>
          <w:rFonts w:ascii="Arial" w:cs="Arial" w:eastAsia="Arial" w:hAnsi="Arial"/>
          <w:sz w:val="18"/>
          <w:szCs w:val="18"/>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All Series 1 and Series 2 warrants were exercised in 2020.</w:t>
      </w:r>
    </w:p>
    <w:p>
      <w:pPr>
        <w:spacing w:after="0" w:line="177"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The Pre-Funded Warrants and the Series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62"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permits the holders to receive a fixed number of common shares upon exercise. In addition, such warrants do not provide any guarantee of value or return. The Company valued the Series Warrants at issuance using the Black Scholes option pricing model and determined the fair value of the 4,595,039 Series Warrants at $3.4 million. The key inputs to the valuation model included the weighted average volatility of 89.1% and the weighted average expected term of 1.4 years. During 2020, holders of Series 1 warrants and Series 2 warrants exercised 4,595,039 Series Warrants in exchange for 1,995,941 shares of the Company’s common stock. As of December 31, 2020, all Series Warrants have been exercised.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108" w:name="page109"/>
    <w:bookmarkEnd w:id="108"/>
    <w:p>
      <w:pPr>
        <w:ind w:right="140" w:firstLine="589"/>
        <w:spacing w:after="0" w:line="288" w:lineRule="auto"/>
        <w:rPr>
          <w:sz w:val="20"/>
          <w:szCs w:val="20"/>
          <w:color w:val="auto"/>
        </w:rPr>
      </w:pPr>
      <w:r>
        <w:rPr>
          <w:rFonts w:ascii="Arial" w:cs="Arial" w:eastAsia="Arial" w:hAnsi="Arial"/>
          <w:sz w:val="16"/>
          <w:szCs w:val="16"/>
          <w:color w:val="auto"/>
        </w:rPr>
        <w:t>In January 2020, the Company sold 3,036,719 shares of common stock, par value per share $0.0001 and Pre-Funded Warrants to purchase 1,338,287 shares of common stock. The offering price for the securities was $8.00 per share or $7.9999 for each pre-funded warrant. As a result of this offering, the exercise price of Series 1 and Series 2 Warrants outstanding reset from $12.00 per share to $10.00 per share and from $18.00 per share to $13.00, respectively. The Company recorded $3.9 million as a deemed dividend which represents the value transferred to the warrant holders due to the Series Warrant adjustment mechanisms being triggered. The deemed dividend was recorded as both an increase and a decrease in Additional Paid in Capital and reduced net income available to common stockholders by the same amount. The key inputs to the validation model included the weighted volatility of 96.74% and weighted average expected term of 0.4 years.</w:t>
      </w:r>
    </w:p>
    <w:p>
      <w:pPr>
        <w:spacing w:after="0" w:line="163" w:lineRule="exact"/>
        <w:rPr>
          <w:sz w:val="20"/>
          <w:szCs w:val="20"/>
          <w:color w:val="auto"/>
        </w:rPr>
      </w:pPr>
    </w:p>
    <w:p>
      <w:pPr>
        <w:ind w:right="940" w:firstLine="589"/>
        <w:spacing w:after="0" w:line="261" w:lineRule="auto"/>
        <w:rPr>
          <w:sz w:val="20"/>
          <w:szCs w:val="20"/>
          <w:color w:val="auto"/>
        </w:rPr>
      </w:pPr>
      <w:r>
        <w:rPr>
          <w:rFonts w:ascii="Arial" w:cs="Arial" w:eastAsia="Arial" w:hAnsi="Arial"/>
          <w:sz w:val="18"/>
          <w:szCs w:val="18"/>
          <w:color w:val="auto"/>
        </w:rPr>
        <w:t>In May 2020, the Company sold 6,388,889 shares of common stock, par value $0.0001 per share, at $18.00 per share, with net proceeds of approximately $107.9 million.</w:t>
      </w:r>
    </w:p>
    <w:p>
      <w:pPr>
        <w:spacing w:after="0" w:line="181" w:lineRule="exact"/>
        <w:rPr>
          <w:sz w:val="20"/>
          <w:szCs w:val="20"/>
          <w:color w:val="auto"/>
        </w:rPr>
      </w:pPr>
    </w:p>
    <w:p>
      <w:pPr>
        <w:ind w:right="540" w:firstLine="589"/>
        <w:spacing w:after="0" w:line="261" w:lineRule="auto"/>
        <w:rPr>
          <w:sz w:val="20"/>
          <w:szCs w:val="20"/>
          <w:color w:val="auto"/>
        </w:rPr>
      </w:pPr>
      <w:r>
        <w:rPr>
          <w:rFonts w:ascii="Arial" w:cs="Arial" w:eastAsia="Arial" w:hAnsi="Arial"/>
          <w:sz w:val="18"/>
          <w:szCs w:val="18"/>
          <w:color w:val="auto"/>
        </w:rPr>
        <w:t>In December 2020, the Company sold 6,250,000 shares of common stock, par value $0.0001 per share, at $23.00 per share, with net proceeds of approximately $135.0 million.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December 2021, the Company issued 3,802,144 shares of common stock and Pre-Funded Warrants to purchase 1,142,856 shares of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offering price for the securities was $17.50 per share or $17.4999 for each Pre-Funded Warrant, with net proceeds of approximately $81.2 million.</w:t>
      </w:r>
    </w:p>
    <w:p>
      <w:pPr>
        <w:spacing w:after="0" w:line="237" w:lineRule="exact"/>
        <w:rPr>
          <w:sz w:val="20"/>
          <w:szCs w:val="20"/>
          <w:color w:val="auto"/>
        </w:rPr>
      </w:pPr>
    </w:p>
    <w:p>
      <w:pPr>
        <w:jc w:val="both"/>
        <w:ind w:firstLine="589"/>
        <w:spacing w:after="0" w:line="252" w:lineRule="auto"/>
        <w:rPr>
          <w:sz w:val="20"/>
          <w:szCs w:val="20"/>
          <w:color w:val="auto"/>
        </w:rPr>
      </w:pPr>
      <w:r>
        <w:rPr>
          <w:rFonts w:ascii="Arial" w:cs="Arial" w:eastAsia="Arial" w:hAnsi="Arial"/>
          <w:sz w:val="18"/>
          <w:szCs w:val="18"/>
          <w:color w:val="auto"/>
        </w:rPr>
        <w:t>In December 2021, in connection with the Incyte License and Collaboration Agreement and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189" w:lineRule="exact"/>
        <w:rPr>
          <w:sz w:val="20"/>
          <w:szCs w:val="20"/>
          <w:color w:val="auto"/>
        </w:rPr>
      </w:pPr>
    </w:p>
    <w:p>
      <w:pPr>
        <w:ind w:right="580" w:firstLine="589"/>
        <w:spacing w:after="0" w:line="261"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8140" w:type="dxa"/>
            <w:vAlign w:val="bottom"/>
          </w:tcPr>
          <w:p>
            <w:pPr>
              <w:spacing w:after="0"/>
              <w:rPr>
                <w:sz w:val="14"/>
                <w:szCs w:val="14"/>
                <w:color w:val="auto"/>
              </w:rPr>
            </w:pPr>
          </w:p>
        </w:tc>
        <w:tc>
          <w:tcPr>
            <w:tcW w:w="19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2021</w:t>
            </w:r>
          </w:p>
        </w:tc>
      </w:tr>
      <w:tr>
        <w:trPr>
          <w:trHeight w:val="217"/>
        </w:trPr>
        <w:tc>
          <w:tcPr>
            <w:tcW w:w="8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3,975,024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8,071,089</w:t>
            </w:r>
          </w:p>
        </w:tc>
        <w:tc>
          <w:tcPr>
            <w:tcW w:w="100" w:type="dxa"/>
            <w:vAlign w:val="bottom"/>
          </w:tcPr>
          <w:p>
            <w:pPr>
              <w:spacing w:after="0"/>
              <w:rPr>
                <w:sz w:val="19"/>
                <w:szCs w:val="19"/>
                <w:color w:val="auto"/>
              </w:rPr>
            </w:pPr>
          </w:p>
        </w:tc>
      </w:tr>
      <w:tr>
        <w:trPr>
          <w:trHeight w:val="224"/>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1,296,410</w:t>
            </w:r>
          </w:p>
        </w:tc>
        <w:tc>
          <w:tcPr>
            <w:tcW w:w="100" w:type="dxa"/>
            <w:vAlign w:val="bottom"/>
            <w:shd w:val="clear" w:color="auto" w:fill="CFF0FC"/>
          </w:tcPr>
          <w:p>
            <w:pPr>
              <w:spacing w:after="0"/>
              <w:rPr>
                <w:sz w:val="19"/>
                <w:szCs w:val="19"/>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13,342,523</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14"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remains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2021, there were 1,017,242 shares available for issuance under the 2015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9" w:name="page110"/>
    <w:bookmarkEnd w:id="109"/>
    <w:p>
      <w:pPr>
        <w:ind w:right="80" w:firstLine="589"/>
        <w:spacing w:after="0" w:line="249" w:lineRule="auto"/>
        <w:rPr>
          <w:sz w:val="20"/>
          <w:szCs w:val="20"/>
          <w:color w:val="auto"/>
        </w:rPr>
      </w:pPr>
      <w:r>
        <w:rPr>
          <w:rFonts w:ascii="Arial" w:cs="Arial" w:eastAsia="Arial" w:hAnsi="Arial"/>
          <w:sz w:val="18"/>
          <w:szCs w:val="18"/>
          <w:color w:val="auto"/>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2022, the shares available for issuance under the 2015 Plan were increased to 3,215,376.</w:t>
      </w:r>
    </w:p>
    <w:p>
      <w:pPr>
        <w:spacing w:after="0" w:line="192" w:lineRule="exact"/>
        <w:rPr>
          <w:sz w:val="20"/>
          <w:szCs w:val="20"/>
          <w:color w:val="auto"/>
        </w:rPr>
      </w:pPr>
    </w:p>
    <w:p>
      <w:pPr>
        <w:ind w:right="420" w:firstLine="589"/>
        <w:spacing w:after="0" w:line="324" w:lineRule="auto"/>
        <w:rPr>
          <w:sz w:val="20"/>
          <w:szCs w:val="20"/>
          <w:color w:val="auto"/>
        </w:rPr>
      </w:pPr>
      <w:r>
        <w:rPr>
          <w:rFonts w:ascii="Arial" w:cs="Arial" w:eastAsia="Arial" w:hAnsi="Arial"/>
          <w:sz w:val="16"/>
          <w:szCs w:val="16"/>
          <w:color w:val="auto"/>
        </w:rPr>
        <w:t>The Company recognized stock-based compensation expense related to the issuance of stock option awards to employees and non-employees and related to the Employee Stock Purchase Plan in the consolidated statements of operations as follows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340" w:type="dxa"/>
            <w:vAlign w:val="bottom"/>
            <w:tcBorders>
              <w:bottom w:val="single" w:sz="8" w:color="CFF0FC"/>
            </w:tcBorders>
          </w:tcPr>
          <w:p>
            <w:pPr>
              <w:spacing w:after="0"/>
              <w:rPr>
                <w:sz w:val="13"/>
                <w:szCs w:val="13"/>
                <w:color w:val="auto"/>
              </w:rPr>
            </w:pPr>
          </w:p>
        </w:tc>
        <w:tc>
          <w:tcPr>
            <w:tcW w:w="24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line="151"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1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FF0FC"/>
          </w:tcPr>
          <w:p>
            <w:pPr>
              <w:spacing w:after="0"/>
              <w:rPr>
                <w:sz w:val="18"/>
                <w:szCs w:val="18"/>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FF0FC"/>
            </w:tcBorders>
          </w:tcPr>
          <w:p>
            <w:pPr>
              <w:spacing w:after="0"/>
              <w:rPr>
                <w:sz w:val="19"/>
                <w:szCs w:val="19"/>
                <w:color w:val="auto"/>
              </w:rPr>
            </w:pPr>
          </w:p>
        </w:tc>
      </w:tr>
      <w:tr>
        <w:trPr>
          <w:trHeight w:val="21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FF0FC"/>
          </w:tcPr>
          <w:p>
            <w:pPr>
              <w:spacing w:after="0"/>
              <w:rPr>
                <w:sz w:val="18"/>
                <w:szCs w:val="18"/>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Options and Restricted Stock Units</w:t>
      </w:r>
    </w:p>
    <w:p>
      <w:pPr>
        <w:spacing w:after="0" w:line="108" w:lineRule="exact"/>
        <w:rPr>
          <w:sz w:val="20"/>
          <w:szCs w:val="20"/>
          <w:color w:val="auto"/>
        </w:rPr>
      </w:pPr>
    </w:p>
    <w:p>
      <w:pPr>
        <w:ind w:right="160" w:firstLine="589"/>
        <w:spacing w:after="0" w:line="315" w:lineRule="auto"/>
        <w:rPr>
          <w:sz w:val="20"/>
          <w:szCs w:val="20"/>
          <w:color w:val="auto"/>
        </w:rPr>
      </w:pPr>
      <w:r>
        <w:rPr>
          <w:rFonts w:ascii="Arial" w:cs="Arial" w:eastAsia="Arial" w:hAnsi="Arial"/>
          <w:sz w:val="15"/>
          <w:szCs w:val="15"/>
          <w:color w:val="auto"/>
        </w:rPr>
        <w:t>As of December 31, 2021, there was $25.7 million of unrecognized compensation cost related to employee and non-employee unvested stock options and restricted stock units (“RSU’s”) granted under the 2007 and 2015 Plans, which is expected to be recognized over a weighted-average remaining service period of 2.8 years. Stock compensation costs have not been capitalized by the Company. As of December 31, 2021, there was $0.9 million of unrecognized compensation cost related to performance-based options, and $24.8 million of unrecognized compensation expense related to service-based options.</w:t>
      </w:r>
    </w:p>
    <w:p>
      <w:pPr>
        <w:spacing w:after="0" w:line="146" w:lineRule="exact"/>
        <w:rPr>
          <w:sz w:val="20"/>
          <w:szCs w:val="20"/>
          <w:color w:val="auto"/>
        </w:rPr>
      </w:pPr>
    </w:p>
    <w:p>
      <w:pPr>
        <w:ind w:right="120" w:firstLine="589"/>
        <w:spacing w:after="0" w:line="248" w:lineRule="auto"/>
        <w:rPr>
          <w:sz w:val="20"/>
          <w:szCs w:val="20"/>
          <w:color w:val="auto"/>
        </w:rPr>
      </w:pPr>
      <w:r>
        <w:rPr>
          <w:rFonts w:ascii="Arial" w:cs="Arial" w:eastAsia="Arial" w:hAnsi="Arial"/>
          <w:sz w:val="18"/>
          <w:szCs w:val="18"/>
          <w:color w:val="auto"/>
        </w:rPr>
        <w:t>Our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w:t>
      </w:r>
    </w:p>
    <w:p>
      <w:pPr>
        <w:spacing w:after="0" w:line="192"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In 2017, the Company granted 60,000 options with performance conditions (“2017 Performance Awards”), 13,333 of which vested in 2019 and 6,667 which were cancelled as of December 31, 2019. On January 1, 2021, the Company determined that a second performance had not been achieved. As a result of this, the Company cancelled 20,000 options. In the years ended December 31, 2021, 2020 and 2019 the Company recorded approximately $25,000, $9,000, and $88,000, respectively of stock compensation associated with these awards.</w:t>
      </w:r>
    </w:p>
    <w:p>
      <w:pPr>
        <w:spacing w:after="0" w:line="192" w:lineRule="exact"/>
        <w:rPr>
          <w:sz w:val="20"/>
          <w:szCs w:val="20"/>
          <w:color w:val="auto"/>
        </w:rPr>
      </w:pPr>
    </w:p>
    <w:p>
      <w:pPr>
        <w:ind w:right="180" w:firstLine="589"/>
        <w:spacing w:after="0" w:line="290" w:lineRule="auto"/>
        <w:rPr>
          <w:sz w:val="20"/>
          <w:szCs w:val="20"/>
          <w:color w:val="auto"/>
        </w:rPr>
      </w:pPr>
      <w:r>
        <w:rPr>
          <w:rFonts w:ascii="Arial" w:cs="Arial" w:eastAsia="Arial" w:hAnsi="Arial"/>
          <w:sz w:val="16"/>
          <w:szCs w:val="16"/>
          <w:color w:val="auto"/>
        </w:rPr>
        <w:t>In 2019, the Company granted to certain employees 583,000 stock options that contain performance-based vesting criteria (“2019 Performance Awards”),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162" w:lineRule="exact"/>
        <w:rPr>
          <w:sz w:val="20"/>
          <w:szCs w:val="20"/>
          <w:color w:val="auto"/>
        </w:rPr>
      </w:pPr>
    </w:p>
    <w:p>
      <w:pPr>
        <w:ind w:firstLine="589"/>
        <w:spacing w:after="0" w:line="247" w:lineRule="auto"/>
        <w:rPr>
          <w:sz w:val="20"/>
          <w:szCs w:val="20"/>
          <w:color w:val="auto"/>
        </w:rPr>
      </w:pPr>
      <w:r>
        <w:rPr>
          <w:rFonts w:ascii="Arial" w:cs="Arial" w:eastAsia="Arial" w:hAnsi="Arial"/>
          <w:sz w:val="18"/>
          <w:szCs w:val="18"/>
          <w:color w:val="auto"/>
        </w:rPr>
        <w:t>In the fourth quarter of 2020 one of the performance milestones for the 2019 Performance Awards was achieved and of the associated 194,331 stock options, 64,777 stock options vested, and 388,669 options were cancelled. In 2021, 64,780 stock options vested with the remaining 64,774 options to vest in 2022. The Company recorded approximately $257,000 and $207,000 of stock compensation expense associated with these awards for the years ended December 31, 2021 and 2020, respectively. For the remaining performance milestones, achievement of the performance conditions was not met as of December 31, 2021. Therefore no expense has been recognized related to these performance milestones for the year ended December 31, 2021, and no options were cancelled in 2021.</w:t>
      </w:r>
    </w:p>
    <w:p>
      <w:pPr>
        <w:spacing w:after="0" w:line="194"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In October 2021, in connection with the retirement of two employees, the Company entered into severance and consulting agreements. Under these agreements the Company extended vesting term for a total of 34,728 unvested options unvested options, which would not have otherwise vested and extended the exercise period of the vested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10" w:name="page111"/>
    <w:bookmarkEnd w:id="110"/>
    <w:p>
      <w:pPr>
        <w:ind w:right="20"/>
        <w:spacing w:after="0" w:line="324" w:lineRule="auto"/>
        <w:rPr>
          <w:sz w:val="20"/>
          <w:szCs w:val="20"/>
          <w:color w:val="auto"/>
        </w:rPr>
      </w:pPr>
      <w:r>
        <w:rPr>
          <w:rFonts w:ascii="Arial" w:cs="Arial" w:eastAsia="Arial" w:hAnsi="Arial"/>
          <w:sz w:val="16"/>
          <w:szCs w:val="16"/>
          <w:color w:val="auto"/>
        </w:rPr>
        <w:t>options post termination of the consulting agreement. The Company accounted for the change as a modification of an equity award under ASC 718. As a result of the modifications, the Company recognized approximately $0.8 million of incremental stock compensation expense in 2021.</w:t>
      </w:r>
    </w:p>
    <w:p>
      <w:pPr>
        <w:spacing w:after="0" w:line="134" w:lineRule="exact"/>
        <w:rPr>
          <w:sz w:val="20"/>
          <w:szCs w:val="20"/>
          <w:color w:val="auto"/>
        </w:rPr>
      </w:pPr>
    </w:p>
    <w:p>
      <w:pPr>
        <w:ind w:right="40" w:firstLine="589"/>
        <w:spacing w:after="0" w:line="281"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a peer group of similar public companies.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w w:val="91"/>
              </w:rPr>
              <w:t>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612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gridSpan w:val="4"/>
          </w:tcPr>
          <w:p>
            <w:pPr>
              <w:jc w:val="right"/>
              <w:ind w:right="40"/>
              <w:spacing w:after="0" w:line="151"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30"/>
              <w:spacing w:after="0" w:line="151"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02"/>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FF0FC"/>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Volatility rate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85.84%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81.59%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0360" w:type="dxa"/>
            <w:vAlign w:val="bottom"/>
            <w:gridSpan w:val="18"/>
          </w:tcPr>
          <w:p>
            <w:pPr>
              <w:ind w:left="20"/>
              <w:spacing w:after="0"/>
              <w:rPr>
                <w:sz w:val="20"/>
                <w:szCs w:val="20"/>
                <w:color w:val="auto"/>
              </w:rPr>
            </w:pPr>
            <w:r>
              <w:rPr>
                <w:rFonts w:ascii="Arial" w:cs="Arial" w:eastAsia="Arial" w:hAnsi="Arial"/>
                <w:sz w:val="18"/>
                <w:szCs w:val="18"/>
                <w:color w:val="auto"/>
                <w:w w:val="87"/>
              </w:rPr>
              <w:t>A summary of employee and non-employee option activity under the Company’s equity award plans is presented below (in thousands, except share</w:t>
            </w: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data):</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5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2"/>
                <w:szCs w:val="12"/>
                <w:color w:val="auto"/>
              </w:rPr>
            </w:pPr>
          </w:p>
        </w:tc>
        <w:tc>
          <w:tcPr>
            <w:tcW w:w="9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Remaining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9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9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Term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61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(in years)</w:t>
            </w: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Outstanding—January 1, 2021</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6,379,235</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9.40</w:t>
            </w: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81,940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1,595,400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(842,424)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Canceled, forfeited or expired</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(210,697)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2021</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6,921,514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68,609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Arial" w:cs="Arial" w:eastAsia="Arial" w:hAnsi="Arial"/>
                <w:sz w:val="18"/>
                <w:szCs w:val="18"/>
                <w:color w:val="auto"/>
              </w:rPr>
              <w:t>Exercisable—December 31, 2021</w:t>
            </w: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54,012</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6120" w:type="dxa"/>
            <w:vAlign w:val="bottom"/>
            <w:tcBorders>
              <w:bottom w:val="single" w:sz="8" w:color="CFF0FC"/>
            </w:tcBorders>
            <w:vMerge w:val="continue"/>
          </w:tcPr>
          <w:p>
            <w:pPr>
              <w:spacing w:after="0"/>
              <w:rPr>
                <w:sz w:val="21"/>
                <w:szCs w:val="21"/>
                <w:color w:val="auto"/>
              </w:rPr>
            </w:pPr>
          </w:p>
        </w:tc>
        <w:tc>
          <w:tcPr>
            <w:tcW w:w="8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7"/>
              </w:rPr>
              <w:t>4,547,354</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gridSpan w:val="3"/>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gridSpan w:val="2"/>
            <w:vMerge w:val="continue"/>
          </w:tcPr>
          <w:p>
            <w:pPr>
              <w:spacing w:after="0"/>
              <w:rPr>
                <w:sz w:val="21"/>
                <w:szCs w:val="21"/>
                <w:color w:val="auto"/>
              </w:rPr>
            </w:pPr>
          </w:p>
        </w:tc>
        <w:tc>
          <w:tcPr>
            <w:tcW w:w="840" w:type="dxa"/>
            <w:vAlign w:val="bottom"/>
            <w:tcBorders>
              <w:bottom w:val="single" w:sz="8" w:color="CFF0FC"/>
            </w:tcBorders>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6120" w:type="dxa"/>
            <w:vAlign w:val="bottom"/>
            <w:shd w:val="clear" w:color="auto" w:fill="CFF0FC"/>
          </w:tcPr>
          <w:p>
            <w:pPr>
              <w:spacing w:after="0" w:line="191" w:lineRule="exact"/>
              <w:rPr>
                <w:sz w:val="20"/>
                <w:szCs w:val="20"/>
                <w:color w:val="auto"/>
              </w:rPr>
            </w:pPr>
            <w:r>
              <w:rPr>
                <w:rFonts w:ascii="Arial" w:cs="Arial" w:eastAsia="Arial" w:hAnsi="Arial"/>
                <w:sz w:val="18"/>
                <w:szCs w:val="18"/>
                <w:color w:val="auto"/>
              </w:rPr>
              <w:t>Options vested, exercisable or expected to</w:t>
            </w:r>
          </w:p>
        </w:tc>
        <w:tc>
          <w:tcPr>
            <w:tcW w:w="5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vest—December 31, 2021</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6,921,514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68,609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weighted-average grant date fair value of options granted during the years ended December 31, 2021, 2020 and 2019, was $14.70, $7.88,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$4.81 per share, respectively. The fair value is being expensed over the vesting period of the options (usually three to four years) on a straight-line basis as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services are being provided.</w:t>
      </w:r>
    </w:p>
    <w:p>
      <w:pPr>
        <w:spacing w:after="0" w:line="202" w:lineRule="exact"/>
        <w:rPr>
          <w:sz w:val="20"/>
          <w:szCs w:val="20"/>
          <w:color w:val="auto"/>
        </w:rPr>
      </w:pPr>
    </w:p>
    <w:p>
      <w:pPr>
        <w:jc w:val="both"/>
        <w:ind w:right="20" w:firstLine="589"/>
        <w:spacing w:after="0" w:line="248" w:lineRule="auto"/>
        <w:rPr>
          <w:sz w:val="20"/>
          <w:szCs w:val="20"/>
          <w:color w:val="auto"/>
        </w:rPr>
      </w:pPr>
      <w:r>
        <w:rPr>
          <w:rFonts w:ascii="Arial" w:cs="Arial" w:eastAsia="Arial" w:hAnsi="Arial"/>
          <w:sz w:val="18"/>
          <w:szCs w:val="18"/>
          <w:color w:val="auto"/>
        </w:rPr>
        <w:t>There were 842,424 options exercised for the year ended December 31, 2021, resulting in total proceeds of $6.3 million; 755,166 options exercised for the year ended December 31, 2020, resulting in total proceeds of $6.6 million; and 25,857 options exercised for the year ended December 31, 2019, resulting in total proceeds of $178,000. The intrinsic value of options exercised during the years ended December 31, 2021, 2020 and 2019 was $10.1 million, $7.1 million, and $9,000, respectively. In accordance with the Company’s policy, the shares were issued from a pool of shares reserved for issuance under the 2007 and 2015 Plans.</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8" w:lineRule="exact"/>
        <w:rPr>
          <w:sz w:val="20"/>
          <w:szCs w:val="20"/>
          <w:color w:val="auto"/>
        </w:rPr>
      </w:pPr>
    </w:p>
    <w:p>
      <w:pPr>
        <w:jc w:val="both"/>
        <w:ind w:firstLine="589"/>
        <w:spacing w:after="0" w:line="261" w:lineRule="auto"/>
        <w:rPr>
          <w:sz w:val="20"/>
          <w:szCs w:val="20"/>
          <w:color w:val="auto"/>
        </w:rPr>
      </w:pPr>
      <w:r>
        <w:rPr>
          <w:rFonts w:ascii="Arial" w:cs="Arial" w:eastAsia="Arial" w:hAnsi="Arial"/>
          <w:sz w:val="18"/>
          <w:szCs w:val="18"/>
          <w:color w:val="auto"/>
        </w:rPr>
        <w:t>RSUs awarded to Board of Directors or employees vest on either i) one – year anniversary date of the related grant or ii) 25% on each anniversary for 4 years. The following table summarizes our RSU activity: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11" w:name="page112"/>
    <w:bookmarkEnd w:id="111"/>
    <w:tbl>
      <w:tblPr>
        <w:tblLayout w:type="fixed"/>
        <w:tblInd w:w="58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5"/>
        </w:trPr>
        <w:tc>
          <w:tcPr>
            <w:tcW w:w="752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5"/>
        </w:trPr>
        <w:tc>
          <w:tcPr>
            <w:tcW w:w="75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67"/>
        </w:trPr>
        <w:tc>
          <w:tcPr>
            <w:tcW w:w="75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Unvested—December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119,333</w:t>
            </w:r>
          </w:p>
        </w:tc>
        <w:tc>
          <w:tcPr>
            <w:tcW w:w="16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(5,500)</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Unvested—December 31,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132,333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(1) RSUs granted in 2021 primarily represent RSUs granted in conjunction with our annual awards made in February 2021granted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-86360</wp:posOffset>
            </wp:positionV>
            <wp:extent cx="6426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85" w:lineRule="exact"/>
        <w:rPr>
          <w:sz w:val="20"/>
          <w:szCs w:val="20"/>
          <w:color w:val="auto"/>
        </w:rPr>
      </w:pPr>
    </w:p>
    <w:p>
      <w:pPr>
        <w:ind w:right="360" w:firstLine="589"/>
        <w:spacing w:after="0" w:line="261" w:lineRule="auto"/>
        <w:rPr>
          <w:sz w:val="20"/>
          <w:szCs w:val="20"/>
          <w:color w:val="auto"/>
        </w:rPr>
      </w:pPr>
      <w:r>
        <w:rPr>
          <w:rFonts w:ascii="Arial" w:cs="Arial" w:eastAsia="Arial" w:hAnsi="Arial"/>
          <w:sz w:val="18"/>
          <w:szCs w:val="18"/>
          <w:color w:val="auto"/>
        </w:rPr>
        <w:t>RSU’s granted in 2021 and 2020 had a weighted average grant date fair value of $21.19 and $10.48, respectively. There were no RSU’s granted in 2019. The fair values of RSU’s vested in 2021 totaled $60,000. There were no RSU’s vested in 2020.</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8" w:lineRule="exact"/>
        <w:rPr>
          <w:sz w:val="20"/>
          <w:szCs w:val="20"/>
          <w:color w:val="auto"/>
        </w:rPr>
      </w:pPr>
    </w:p>
    <w:p>
      <w:pPr>
        <w:ind w:right="20" w:firstLine="589"/>
        <w:spacing w:after="0" w:line="282" w:lineRule="auto"/>
        <w:rPr>
          <w:sz w:val="20"/>
          <w:szCs w:val="20"/>
          <w:color w:val="auto"/>
        </w:rPr>
      </w:pPr>
      <w:r>
        <w:rPr>
          <w:rFonts w:ascii="Arial" w:cs="Arial" w:eastAsia="Arial" w:hAnsi="Arial"/>
          <w:sz w:val="16"/>
          <w:szCs w:val="16"/>
          <w:color w:val="auto"/>
        </w:rPr>
        <w:t>In September 2015, the Company’s Board adopted the Employee Stock Purchase Plan (the “ESPP”), which was subsequently approved by the Company’s stockholders in February 2016 and became effective upon the closing of the IPO on March 8, 2016. The ESPP authorizes the initial issuance of up to a total of 250,000 shares of common stock to the Company’s employees. The Company issued 26,878 and 33,706 shares during 2021 and 2020, respectively. On January 1, 2022, the shares of common stock reserved for issuance under the ESPP was increased to 1,546,410. Under the terms of the ESPP, eligible employees can elect to acquire shares of the Company’s common stock through periodic payroll deductions during a series of six month offering periods. Purchases under the ESPP are affected on the last business day of each offering period at a 15% discount to the lower of closing price on that day or the closing price on the first day of the offering period.</w:t>
      </w:r>
    </w:p>
    <w:p>
      <w:pPr>
        <w:spacing w:after="0" w:line="169" w:lineRule="exact"/>
        <w:rPr>
          <w:sz w:val="20"/>
          <w:szCs w:val="20"/>
          <w:color w:val="auto"/>
        </w:rPr>
      </w:pPr>
    </w:p>
    <w:p>
      <w:pPr>
        <w:ind w:right="340" w:firstLine="589"/>
        <w:spacing w:after="0" w:line="252"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For the years ended December 31, 2021, 2020 and 2019 the Company recorded stock-based compensation expense related to the ESPP of $175,000, $203,000 and $113,000 respectively.</w:t>
      </w:r>
    </w:p>
    <w:p>
      <w:pPr>
        <w:spacing w:after="0" w:line="29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08" w:lineRule="exact"/>
        <w:rPr>
          <w:sz w:val="20"/>
          <w:szCs w:val="20"/>
          <w:color w:val="auto"/>
        </w:rPr>
      </w:pPr>
    </w:p>
    <w:p>
      <w:pPr>
        <w:ind w:right="240" w:firstLine="589"/>
        <w:spacing w:after="0" w:line="290" w:lineRule="auto"/>
        <w:rPr>
          <w:sz w:val="20"/>
          <w:szCs w:val="20"/>
          <w:color w:val="auto"/>
        </w:rPr>
      </w:pPr>
      <w:r>
        <w:rPr>
          <w:rFonts w:ascii="Arial" w:cs="Arial" w:eastAsia="Arial" w:hAnsi="Arial"/>
          <w:sz w:val="16"/>
          <w:szCs w:val="16"/>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2021, 2020 and 2019, the Company made $444,000, $250,000 and $119,000 contributions to the plan,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Loan Payable</w:t>
      </w:r>
    </w:p>
    <w:p>
      <w:pPr>
        <w:spacing w:after="0" w:line="114"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 (ii) subject to Hercules’ investment committee approval, an additional term loan of up to $10.0 million, available for borrowing from February 7, 2020 to December 15, 2020 (the “Tranche 2 Advance”). The Company elected not to draw the additional term of $10.0 million. Borrowings under the Loan Agreement bear interest at an annual rate equal to the greater of (i) 9.85% or (ii) 5.10% plus the Wall Street Journal prime rate. The company paid a $100,000 facility charge upon closing, which is being expensed over the term of the debt. The final payment will be accrued over the term of the debt.</w:t>
      </w:r>
    </w:p>
    <w:p>
      <w:pPr>
        <w:spacing w:after="0" w:line="160" w:lineRule="exact"/>
        <w:rPr>
          <w:sz w:val="20"/>
          <w:szCs w:val="20"/>
          <w:color w:val="auto"/>
        </w:rPr>
      </w:pPr>
    </w:p>
    <w:p>
      <w:pPr>
        <w:jc w:val="both"/>
        <w:ind w:right="120" w:firstLine="589"/>
        <w:spacing w:after="0" w:line="299" w:lineRule="auto"/>
        <w:rPr>
          <w:sz w:val="20"/>
          <w:szCs w:val="20"/>
          <w:color w:val="auto"/>
        </w:rPr>
      </w:pPr>
      <w:r>
        <w:rPr>
          <w:rFonts w:ascii="Arial" w:cs="Arial" w:eastAsia="Arial" w:hAnsi="Arial"/>
          <w:sz w:val="16"/>
          <w:szCs w:val="16"/>
          <w:color w:val="auto"/>
        </w:rPr>
        <w:t xml:space="preserve">On December 22, 2021, the Company entered into Amendment No. 1 to the Company’s Loan and Security Agreement (the </w:t>
      </w:r>
      <w:r>
        <w:rPr>
          <w:rFonts w:ascii="Arial" w:cs="Arial" w:eastAsia="Arial" w:hAnsi="Arial"/>
          <w:sz w:val="16"/>
          <w:szCs w:val="16"/>
          <w:b w:val="1"/>
          <w:bCs w:val="1"/>
          <w:i w:val="1"/>
          <w:iCs w:val="1"/>
          <w:color w:val="auto"/>
        </w:rPr>
        <w:t>“</w:t>
      </w:r>
      <w:r>
        <w:rPr>
          <w:rFonts w:ascii="Arial" w:cs="Arial" w:eastAsia="Arial" w:hAnsi="Arial"/>
          <w:sz w:val="16"/>
          <w:szCs w:val="16"/>
          <w:color w:val="auto"/>
        </w:rPr>
        <w:t>First Amendment</w:t>
      </w:r>
      <w:r>
        <w:rPr>
          <w:rFonts w:ascii="Arial" w:cs="Arial" w:eastAsia="Arial" w:hAnsi="Arial"/>
          <w:sz w:val="16"/>
          <w:szCs w:val="16"/>
          <w:b w:val="1"/>
          <w:bCs w:val="1"/>
          <w:i w:val="1"/>
          <w:iCs w:val="1"/>
          <w:color w:val="auto"/>
        </w:rPr>
        <w:t>”</w:t>
      </w:r>
      <w:r>
        <w:rPr>
          <w:rFonts w:ascii="Arial" w:cs="Arial" w:eastAsia="Arial" w:hAnsi="Arial"/>
          <w:sz w:val="16"/>
          <w:szCs w:val="16"/>
          <w:color w:val="auto"/>
        </w:rPr>
        <w:t>) with the several banks and financial institutions or entities from time-to-time party thereto (collectively, the “Lender”) and Hercules Capital, Inc., in its capacity as administrative agent for itself and the Lender (in such capacity, the “Agent”). The First Amendment amended that certain Loan and Security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112" w:name="page113"/>
    <w:bookmarkEnd w:id="112"/>
    <w:p>
      <w:pPr>
        <w:ind w:right="20"/>
        <w:spacing w:after="0" w:line="324" w:lineRule="auto"/>
        <w:rPr>
          <w:sz w:val="20"/>
          <w:szCs w:val="20"/>
          <w:color w:val="auto"/>
        </w:rPr>
      </w:pPr>
      <w:r>
        <w:rPr>
          <w:rFonts w:ascii="Arial" w:cs="Arial" w:eastAsia="Arial" w:hAnsi="Arial"/>
          <w:sz w:val="16"/>
          <w:szCs w:val="16"/>
          <w:color w:val="auto"/>
        </w:rPr>
        <w:t>Agreement dated as of February 7, 2020 (the “Loan Agreement</w:t>
      </w:r>
      <w:r>
        <w:rPr>
          <w:rFonts w:ascii="Arial" w:cs="Arial" w:eastAsia="Arial" w:hAnsi="Arial"/>
          <w:sz w:val="16"/>
          <w:szCs w:val="16"/>
          <w:i w:val="1"/>
          <w:iCs w:val="1"/>
          <w:color w:val="auto"/>
        </w:rPr>
        <w:t>,</w:t>
      </w:r>
      <w:r>
        <w:rPr>
          <w:rFonts w:ascii="Arial" w:cs="Arial" w:eastAsia="Arial" w:hAnsi="Arial"/>
          <w:sz w:val="16"/>
          <w:szCs w:val="16"/>
          <w:color w:val="auto"/>
        </w:rPr>
        <w:t>” as amended by the First Amendment, the “Amended Loan Agreement”) among the Borrower, the Lender and the Agent. The First Amendment was accounted for a modification during the year ended December 31, 2021.</w:t>
      </w:r>
    </w:p>
    <w:p>
      <w:pPr>
        <w:spacing w:after="0" w:line="134"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 xml:space="preserve">The First Amendment increases the amount that the Company may borrow by $50.0 million, from up to $30.0 million to up to $80.0 million, in multiple tranches. The First Amendment increases the second tranche (“Tranche </w:t>
      </w:r>
      <w:r>
        <w:rPr>
          <w:rFonts w:ascii="Arial" w:cs="Arial" w:eastAsia="Arial" w:hAnsi="Arial"/>
          <w:sz w:val="16"/>
          <w:szCs w:val="16"/>
          <w:b w:val="1"/>
          <w:bCs w:val="1"/>
          <w:i w:val="1"/>
          <w:iCs w:val="1"/>
          <w:color w:val="auto"/>
        </w:rPr>
        <w:t>2</w:t>
      </w:r>
      <w:r>
        <w:rPr>
          <w:rFonts w:ascii="Arial" w:cs="Arial" w:eastAsia="Arial" w:hAnsi="Arial"/>
          <w:sz w:val="16"/>
          <w:szCs w:val="16"/>
          <w:color w:val="auto"/>
        </w:rPr>
        <w:t>”) from $10.0 million to $30.0 million with $15.0 million being available at the Company’s option through April 30, 2022 and another $15.0 million being available at the Company’s option through November 30, 2022, which availability period will be extended to April 30, 2023 if the first $15.0 million is drawn prior to April 30, 2022. The First Amendment also provides for a third tranche of $30.0 million (“Tranche 3”), which is available, subject to the Agent’s investment committee approval, through the Interest-Only Period (as defined below). The Company’s only borrowings to date under the Loan Agreement are the first tranche of $20.0 million, which the Company drew upon the closing of the Loan Agreement on February 7, 2020.</w:t>
      </w:r>
    </w:p>
    <w:p>
      <w:pPr>
        <w:spacing w:after="0" w:line="169" w:lineRule="exact"/>
        <w:rPr>
          <w:sz w:val="20"/>
          <w:szCs w:val="20"/>
          <w:color w:val="auto"/>
        </w:rPr>
      </w:pPr>
    </w:p>
    <w:p>
      <w:pPr>
        <w:ind w:firstLine="589"/>
        <w:spacing w:after="0" w:line="279" w:lineRule="auto"/>
        <w:rPr>
          <w:sz w:val="20"/>
          <w:szCs w:val="20"/>
          <w:color w:val="auto"/>
        </w:rPr>
      </w:pPr>
      <w:r>
        <w:rPr>
          <w:rFonts w:ascii="Arial" w:cs="Arial" w:eastAsia="Arial" w:hAnsi="Arial"/>
          <w:sz w:val="16"/>
          <w:szCs w:val="16"/>
          <w:color w:val="auto"/>
        </w:rPr>
        <w:t xml:space="preserve">Additionally, the First Amendment, among other things, (i) extended the expiration of the period in which interest-only payments on borrowings under the Loan Agreement are required from October 1, 2021 to January 1, 2023, which is further extendable to December 31, 2023 upon the partial or full draw of Tranche 2 (the “Interest-Only Period”), (ii) extended the maturity date of Loan Agreement from September 1, 2023 to April 1, 2024, (iii) decreased the annual interest rate from the greater of (w) 9.85% or (x) 5.10% plus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prime rate to the greater of (y) 9.25% or (z) 6.00% plus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prime rate, (iv) applies a facility charge equal to 0.50% of any future draws, (v) applies a 4.99% end of term charge to any future draws payable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date, (vi) permits the entry into the Collaboration and License Agreement as previously disclosed with Incyte Corporation, and (vii) adds a minimum cash covenant applicable on the occurrence of certain events. The First Amendment also resets the prepayment premium requirements as of the date of the First Amendment so that any prepayments are subject to a prepayment premium equal to (i) 2.0% of the principal amount outstanding if the prepayment occurs during the first year following the First Loan Amendment, (ii) 1.5% of the principal amount outstanding if the prepayment occurs during the second year following the First Loan Amendment, and (iii) 1.0% of the principal amount outstanding at any time thereafter but prior to the Maturity Date.</w:t>
      </w:r>
    </w:p>
    <w:p>
      <w:pPr>
        <w:spacing w:after="0" w:line="174"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Borrowings under the Amended Loan Agreement are collateralized by substantially all of the Company’s and its subsidiaries personal property and other assets, other than its intellectual property. The Amended Loan Agreement includes a minimum cash covenant of $12.5 million that has applied since October 1, 2020, subject to reduction upon satisfaction of certain conditions as set forth in the Amended Loan Agreement. As of December 31, 2020, the conditions set forth in the Loan Agreement were met. The cash covenant of $12.5 million was waived. In addition, the Amended Loan Agreement includes customary affirmative and restrictive covenants and representations and warranties, including a minimum cash covenant applicable on the occurrence of certain events,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Amended Loan Agreement also includes customary events of default, including payment defaults, breaches of covenants following any applicable cure period, the occurrence of certain events that could reasonably be expected to have a “material adverse effect” as set forth in the Amended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Amended Loan Agreement.</w:t>
      </w:r>
    </w:p>
    <w:p>
      <w:pPr>
        <w:spacing w:after="0" w:line="164"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color w:val="auto"/>
        </w:rPr>
        <w:t>In connection with the Amended Loan Agreement, the Company was required to enter into separate deposit account control agreements with the lender in order to perfect the lender’s security interest in the cash collateral in the Company’s operating accounts. In the event of a default under the Amended Loan Agreement, the lender would have the right to take control of the operating accounts and restrict the Company’s access to the operating accounts and the funds therein.</w:t>
      </w:r>
    </w:p>
    <w:p>
      <w:pPr>
        <w:spacing w:after="0" w:line="192" w:lineRule="exact"/>
        <w:rPr>
          <w:sz w:val="20"/>
          <w:szCs w:val="20"/>
          <w:color w:val="auto"/>
        </w:rPr>
      </w:pPr>
    </w:p>
    <w:p>
      <w:pPr>
        <w:ind w:right="400" w:firstLine="589"/>
        <w:spacing w:after="0" w:line="261" w:lineRule="auto"/>
        <w:rPr>
          <w:sz w:val="20"/>
          <w:szCs w:val="20"/>
          <w:color w:val="auto"/>
        </w:rPr>
      </w:pPr>
      <w:r>
        <w:rPr>
          <w:rFonts w:ascii="Arial" w:cs="Arial" w:eastAsia="Arial" w:hAnsi="Arial"/>
          <w:sz w:val="18"/>
          <w:szCs w:val="18"/>
          <w:color w:val="auto"/>
        </w:rPr>
        <w:t>During the year ended December 31, 2021 the Company recognized $1.9 million of interest expense related to the Initial Advance pursuant to the Amended Loan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113" w:name="page114"/>
    <w:bookmarkEnd w:id="113"/>
    <w:p>
      <w:pPr>
        <w:ind w:left="600"/>
        <w:spacing w:after="0"/>
        <w:rPr>
          <w:sz w:val="20"/>
          <w:szCs w:val="20"/>
          <w:color w:val="auto"/>
        </w:rPr>
      </w:pPr>
      <w:r>
        <w:rPr>
          <w:rFonts w:ascii="Arial" w:cs="Arial" w:eastAsia="Arial" w:hAnsi="Arial"/>
          <w:sz w:val="18"/>
          <w:szCs w:val="18"/>
          <w:color w:val="auto"/>
        </w:rPr>
        <w:t>As of December 31, 2021, the Company’s maturities of principal obligations under its long-term debt are as follows:</w:t>
      </w:r>
    </w:p>
    <w:p>
      <w:pPr>
        <w:spacing w:after="0" w:line="24"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Amount</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20" w:type="dxa"/>
            <w:vAlign w:val="bottom"/>
            <w:shd w:val="clear" w:color="auto" w:fill="CFF0FC"/>
          </w:tcPr>
          <w:p>
            <w:pPr>
              <w:jc w:val="right"/>
              <w:ind w:right="1032"/>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2023</w:t>
            </w:r>
          </w:p>
        </w:tc>
        <w:tc>
          <w:tcPr>
            <w:tcW w:w="1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14,764,764</w:t>
            </w:r>
          </w:p>
        </w:tc>
        <w:tc>
          <w:tcPr>
            <w:tcW w:w="100" w:type="dxa"/>
            <w:vAlign w:val="bottom"/>
          </w:tcPr>
          <w:p>
            <w:pPr>
              <w:spacing w:after="0"/>
              <w:rPr>
                <w:sz w:val="19"/>
                <w:szCs w:val="19"/>
                <w:color w:val="auto"/>
              </w:rPr>
            </w:pPr>
          </w:p>
        </w:tc>
      </w:tr>
      <w:tr>
        <w:trPr>
          <w:trHeight w:val="224"/>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5,235,236</w:t>
            </w:r>
          </w:p>
        </w:tc>
        <w:tc>
          <w:tcPr>
            <w:tcW w:w="100" w:type="dxa"/>
            <w:vAlign w:val="bottom"/>
            <w:shd w:val="clear" w:color="auto" w:fill="CFF0FC"/>
          </w:tcPr>
          <w:p>
            <w:pPr>
              <w:spacing w:after="0"/>
              <w:rPr>
                <w:sz w:val="19"/>
                <w:szCs w:val="19"/>
                <w:color w:val="auto"/>
              </w:rPr>
            </w:pP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Total principal outstanding</w:t>
            </w:r>
          </w:p>
        </w:tc>
        <w:tc>
          <w:tcPr>
            <w:tcW w:w="1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r>
      <w:tr>
        <w:trPr>
          <w:trHeight w:val="224"/>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Amortized final fee</w:t>
            </w:r>
          </w:p>
        </w:tc>
        <w:tc>
          <w:tcPr>
            <w:tcW w:w="122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17,591</w:t>
            </w:r>
          </w:p>
        </w:tc>
        <w:tc>
          <w:tcPr>
            <w:tcW w:w="10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22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(122,927)</w:t>
            </w:r>
          </w:p>
        </w:tc>
      </w:tr>
      <w:tr>
        <w:trPr>
          <w:trHeight w:val="217"/>
        </w:trPr>
        <w:tc>
          <w:tcPr>
            <w:tcW w:w="686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19,894,664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686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Term loan, current portion</w:t>
            </w:r>
          </w:p>
        </w:tc>
        <w:tc>
          <w:tcPr>
            <w:tcW w:w="1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17"/>
        </w:trPr>
        <w:tc>
          <w:tcPr>
            <w:tcW w:w="68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Term loan, less current portion</w:t>
            </w:r>
          </w:p>
        </w:tc>
        <w:tc>
          <w:tcPr>
            <w:tcW w:w="1220" w:type="dxa"/>
            <w:vAlign w:val="bottom"/>
            <w:tcBorders>
              <w:bottom w:val="single" w:sz="8" w:color="auto"/>
            </w:tcBorders>
            <w:shd w:val="clear" w:color="auto" w:fill="CFF0FC"/>
          </w:tcPr>
          <w:p>
            <w:pPr>
              <w:jc w:val="right"/>
              <w:ind w:right="10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19,894,664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14" w:lineRule="exact"/>
        <w:rPr>
          <w:sz w:val="20"/>
          <w:szCs w:val="20"/>
          <w:color w:val="auto"/>
        </w:rPr>
      </w:pPr>
    </w:p>
    <w:p>
      <w:pPr>
        <w:jc w:val="both"/>
        <w:ind w:right="160" w:firstLine="589"/>
        <w:spacing w:after="0" w:line="299" w:lineRule="auto"/>
        <w:rPr>
          <w:sz w:val="20"/>
          <w:szCs w:val="20"/>
          <w:color w:val="auto"/>
        </w:rPr>
      </w:pPr>
      <w:r>
        <w:rPr>
          <w:rFonts w:ascii="Arial" w:cs="Arial" w:eastAsia="Arial" w:hAnsi="Arial"/>
          <w:sz w:val="16"/>
          <w:szCs w:val="16"/>
          <w:color w:val="auto"/>
        </w:rPr>
        <w:t>The Company has not recorded any net tax provision for the periods presented due to the utilization of tax attributes to offset current year federal and state taxable income, the historical losses incurred, and the need for a full valuation allowance on deferred tax assets. The Company’s current year profit and historical losses before income tax for the periods presented was generated entirely in the United States.</w:t>
      </w:r>
    </w:p>
    <w:p>
      <w:pPr>
        <w:spacing w:after="0" w:line="154" w:lineRule="exact"/>
        <w:rPr>
          <w:sz w:val="20"/>
          <w:szCs w:val="20"/>
          <w:color w:val="auto"/>
        </w:rPr>
      </w:pPr>
    </w:p>
    <w:p>
      <w:pPr>
        <w:ind w:right="20" w:firstLine="589"/>
        <w:spacing w:after="0" w:line="261" w:lineRule="auto"/>
        <w:rPr>
          <w:sz w:val="20"/>
          <w:szCs w:val="20"/>
          <w:color w:val="auto"/>
        </w:rPr>
      </w:pPr>
      <w:r>
        <w:rPr>
          <w:rFonts w:ascii="Arial" w:cs="Arial" w:eastAsia="Arial" w:hAnsi="Arial"/>
          <w:sz w:val="18"/>
          <w:szCs w:val="18"/>
          <w:color w:val="auto"/>
        </w:rPr>
        <w:t>A reconciliation of the provision for income taxes computed at the statutory federal income tax rate to the provision for income taxes as reflected in the financial statements is as follows:</w:t>
      </w:r>
    </w:p>
    <w:p>
      <w:pPr>
        <w:spacing w:after="0" w:line="5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2580" w:type="dxa"/>
            <w:vAlign w:val="bottom"/>
            <w:tcBorders>
              <w:bottom w:val="single" w:sz="8" w:color="auto"/>
            </w:tcBorders>
            <w:gridSpan w:val="5"/>
          </w:tcPr>
          <w:p>
            <w:pPr>
              <w:jc w:val="center"/>
              <w:ind w:left="636"/>
              <w:spacing w:after="0"/>
              <w:rPr>
                <w:sz w:val="20"/>
                <w:szCs w:val="20"/>
                <w:color w:val="auto"/>
              </w:rPr>
            </w:pPr>
            <w:r>
              <w:rPr>
                <w:rFonts w:ascii="Arial" w:cs="Arial" w:eastAsia="Arial" w:hAnsi="Arial"/>
                <w:sz w:val="14"/>
                <w:szCs w:val="14"/>
                <w:b w:val="1"/>
                <w:bCs w:val="1"/>
                <w:color w:val="auto"/>
                <w:w w:val="90"/>
              </w:rPr>
              <w:t>Years Ended December 31,</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1"/>
        </w:trPr>
        <w:tc>
          <w:tcPr>
            <w:tcW w:w="66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6"/>
              <w:spacing w:after="0" w:line="151"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5"/>
              <w:spacing w:after="0" w:line="151"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1"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17"/>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Income tax computed at federal statutory rate</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24"/>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General business credit carryovers</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24"/>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66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7"/>
        </w:trPr>
        <w:tc>
          <w:tcPr>
            <w:tcW w:w="66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42"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Years Ended</w:t>
      </w:r>
    </w:p>
    <w:p>
      <w:pPr>
        <w:ind w:left="9000"/>
        <w:spacing w:after="0" w:line="225"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1"/>
        </w:trPr>
        <w:tc>
          <w:tcPr>
            <w:tcW w:w="76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17"/>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(liabilities):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17,642</w:t>
            </w:r>
          </w:p>
        </w:tc>
        <w:tc>
          <w:tcPr>
            <w:tcW w:w="2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22,794</w:t>
            </w:r>
          </w:p>
        </w:tc>
        <w:tc>
          <w:tcPr>
            <w:tcW w:w="100" w:type="dxa"/>
            <w:vAlign w:val="bottom"/>
          </w:tcPr>
          <w:p>
            <w:pPr>
              <w:spacing w:after="0"/>
              <w:rPr>
                <w:sz w:val="19"/>
                <w:szCs w:val="19"/>
                <w:color w:val="auto"/>
              </w:rPr>
            </w:pPr>
          </w:p>
        </w:tc>
      </w:tr>
      <w:tr>
        <w:trPr>
          <w:trHeight w:val="224"/>
        </w:trPr>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FF0FC"/>
          </w:tcPr>
          <w:p>
            <w:pPr>
              <w:spacing w:after="0"/>
              <w:rPr>
                <w:sz w:val="19"/>
                <w:szCs w:val="19"/>
                <w:color w:val="auto"/>
              </w:rPr>
            </w:pPr>
          </w:p>
        </w:tc>
      </w:tr>
      <w:tr>
        <w:trPr>
          <w:trHeight w:val="223"/>
        </w:trPr>
        <w:tc>
          <w:tcPr>
            <w:tcW w:w="7660" w:type="dxa"/>
            <w:vAlign w:val="bottom"/>
          </w:tcPr>
          <w:p>
            <w:pPr>
              <w:ind w:left="240"/>
              <w:spacing w:after="0"/>
              <w:rPr>
                <w:sz w:val="20"/>
                <w:szCs w:val="20"/>
                <w:color w:val="auto"/>
              </w:rPr>
            </w:pPr>
            <w:r>
              <w:rPr>
                <w:rFonts w:ascii="Arial" w:cs="Arial" w:eastAsia="Arial" w:hAnsi="Arial"/>
                <w:sz w:val="18"/>
                <w:szCs w:val="18"/>
                <w:color w:val="auto"/>
              </w:rPr>
              <w:t>Capitalized start-up and other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28,854</w:t>
            </w:r>
          </w:p>
        </w:tc>
        <w:tc>
          <w:tcPr>
            <w:tcW w:w="100" w:type="dxa"/>
            <w:vAlign w:val="bottom"/>
          </w:tcPr>
          <w:p>
            <w:pPr>
              <w:spacing w:after="0"/>
              <w:rPr>
                <w:sz w:val="19"/>
                <w:szCs w:val="19"/>
                <w:color w:val="auto"/>
              </w:rPr>
            </w:pPr>
          </w:p>
        </w:tc>
      </w:tr>
      <w:tr>
        <w:trPr>
          <w:trHeight w:val="224"/>
        </w:trPr>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35,632</w:t>
            </w:r>
          </w:p>
        </w:tc>
        <w:tc>
          <w:tcPr>
            <w:tcW w:w="100" w:type="dxa"/>
            <w:vAlign w:val="bottom"/>
            <w:shd w:val="clear" w:color="auto" w:fill="CFF0FC"/>
          </w:tcPr>
          <w:p>
            <w:pPr>
              <w:spacing w:after="0"/>
              <w:rPr>
                <w:sz w:val="19"/>
                <w:szCs w:val="19"/>
                <w:color w:val="auto"/>
              </w:rPr>
            </w:pPr>
          </w:p>
        </w:tc>
      </w:tr>
      <w:tr>
        <w:trPr>
          <w:trHeight w:val="223"/>
        </w:trPr>
        <w:tc>
          <w:tcPr>
            <w:tcW w:w="76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19"/>
                <w:szCs w:val="19"/>
                <w:color w:val="auto"/>
              </w:rPr>
            </w:pPr>
          </w:p>
        </w:tc>
      </w:tr>
      <w:tr>
        <w:trPr>
          <w:trHeight w:val="224"/>
        </w:trPr>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based compensation</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5,117</w:t>
            </w:r>
          </w:p>
        </w:tc>
        <w:tc>
          <w:tcPr>
            <w:tcW w:w="100" w:type="dxa"/>
            <w:vAlign w:val="bottom"/>
            <w:shd w:val="clear" w:color="auto" w:fill="CFF0FC"/>
          </w:tcPr>
          <w:p>
            <w:pPr>
              <w:spacing w:after="0"/>
              <w:rPr>
                <w:sz w:val="19"/>
                <w:szCs w:val="19"/>
                <w:color w:val="auto"/>
              </w:rPr>
            </w:pPr>
          </w:p>
        </w:tc>
      </w:tr>
      <w:tr>
        <w:trPr>
          <w:trHeight w:val="223"/>
        </w:trPr>
        <w:tc>
          <w:tcPr>
            <w:tcW w:w="7660" w:type="dxa"/>
            <w:vAlign w:val="bottom"/>
          </w:tcPr>
          <w:p>
            <w:pPr>
              <w:ind w:left="240"/>
              <w:spacing w:after="0"/>
              <w:rPr>
                <w:sz w:val="20"/>
                <w:szCs w:val="20"/>
                <w:color w:val="auto"/>
              </w:rPr>
            </w:pPr>
            <w:r>
              <w:rPr>
                <w:rFonts w:ascii="Arial" w:cs="Arial" w:eastAsia="Arial" w:hAnsi="Arial"/>
                <w:sz w:val="18"/>
                <w:szCs w:val="18"/>
                <w:color w:val="auto"/>
              </w:rPr>
              <w:t>Accruals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r>
      <w:tr>
        <w:trPr>
          <w:trHeight w:val="224"/>
        </w:trPr>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temporary differences</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8"/>
                <w:szCs w:val="18"/>
                <w:color w:val="auto"/>
              </w:rPr>
              <w:t>Deferred tax assets before valuation allowance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101,928</w:t>
            </w:r>
          </w:p>
        </w:tc>
        <w:tc>
          <w:tcPr>
            <w:tcW w:w="100" w:type="dxa"/>
            <w:vAlign w:val="bottom"/>
          </w:tcPr>
          <w:p>
            <w:pPr>
              <w:spacing w:after="0"/>
              <w:rPr>
                <w:sz w:val="18"/>
                <w:szCs w:val="18"/>
                <w:color w:val="auto"/>
              </w:rPr>
            </w:pPr>
          </w:p>
        </w:tc>
      </w:tr>
      <w:tr>
        <w:trPr>
          <w:trHeight w:val="224"/>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(97,150)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(101,928)</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color w:val="auto"/>
        </w:rPr>
        <w:t>The Company has provided a valuation allowance for the full amount of the net deferred tax assets as the realization of the deferred tax assets is not determined to be more likely than not. The valuation allowance decreased by $4.8 million in 2021 due to the decrease in deferred tax assets, primarily driven by the utilization of tax attributes to offset federal and state taxable income, partially offset by an increase to other deferred tax assets. The valuation allowance increased by $17.5 million in 2020 due to the increase in deferred tax assets, primarily driven by net operating loss carryforwards and capitalized research and development costs.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14" w:name="page115"/>
    <w:bookmarkEnd w:id="114"/>
    <w:p>
      <w:pPr>
        <w:jc w:val="both"/>
        <w:ind w:right="400" w:firstLine="589"/>
        <w:spacing w:after="0" w:line="299" w:lineRule="auto"/>
        <w:rPr>
          <w:sz w:val="20"/>
          <w:szCs w:val="20"/>
          <w:color w:val="auto"/>
        </w:rPr>
      </w:pPr>
      <w:r>
        <w:rPr>
          <w:rFonts w:ascii="Arial" w:cs="Arial" w:eastAsia="Arial" w:hAnsi="Arial"/>
          <w:sz w:val="16"/>
          <w:szCs w:val="16"/>
          <w:color w:val="auto"/>
        </w:rPr>
        <w:t>As of December 31, 2021, the Company had approximately $73.5 million and $34.6 million in federal and state Net Operating Losses (“NOLs”), respectively, which may be available to offset future taxable income. The Company has generated federal NOLs of $48.5 million which have an indefinite carryforward period. The remaining $25.0 million of federal NOLs and the Company’s state NOLs will begin to expire at various dates starting in 2026.</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2021, the Company had federal and state research credits of $4.1 million and $2.5 million, respectively, which begin to expire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2" w:lineRule="exact"/>
        <w:rPr>
          <w:sz w:val="20"/>
          <w:szCs w:val="20"/>
          <w:color w:val="auto"/>
        </w:rPr>
      </w:pPr>
    </w:p>
    <w:p>
      <w:pPr>
        <w:ind w:right="20" w:firstLine="589"/>
        <w:spacing w:after="0" w:line="302" w:lineRule="auto"/>
        <w:rPr>
          <w:sz w:val="20"/>
          <w:szCs w:val="20"/>
          <w:color w:val="auto"/>
        </w:rPr>
      </w:pPr>
      <w:r>
        <w:rPr>
          <w:rFonts w:ascii="Arial" w:cs="Arial" w:eastAsia="Arial" w:hAnsi="Arial"/>
          <w:sz w:val="15"/>
          <w:szCs w:val="15"/>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completed an analysis through December 31, 2020 and determined that on March 30, 2007, August 21, 2015 and May 4, 2020 ownership changes had occurred. The Company may also experience ownership changes in the future as a result of subsequent shifts in our stock ownership, some of which may be outside of our control. As a result, its ability to use its pre-change NOLs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spacing w:after="0" w:line="156" w:lineRule="exact"/>
        <w:rPr>
          <w:sz w:val="20"/>
          <w:szCs w:val="20"/>
          <w:color w:val="auto"/>
        </w:rPr>
      </w:pPr>
    </w:p>
    <w:p>
      <w:pPr>
        <w:ind w:right="40" w:firstLine="589"/>
        <w:spacing w:after="0" w:line="247" w:lineRule="auto"/>
        <w:rPr>
          <w:sz w:val="20"/>
          <w:szCs w:val="20"/>
          <w:color w:val="auto"/>
        </w:rPr>
      </w:pPr>
      <w:r>
        <w:rPr>
          <w:rFonts w:ascii="Arial" w:cs="Arial" w:eastAsia="Arial" w:hAnsi="Arial"/>
          <w:sz w:val="18"/>
          <w:szCs w:val="18"/>
          <w:color w:val="auto"/>
        </w:rPr>
        <w:t>As of December 31, 2021, and 2020, the Company had uncertain tax positions of $0.2 million related to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2021 and 2020. The Company expects none of the unrecognized tax benefits to decrease within the next 12 months related to expired statutes or settlement with the taxing authorities. Due to the Company’s valuation allowance as of December 31, 2021, none of the Company’s unrecognized tax benefits, if recognized, would affect the effective tax rate.</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9"/>
              </w:rPr>
              <w:t>Years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96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1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benefit--beginning of year</w:t>
            </w:r>
          </w:p>
        </w:tc>
        <w:tc>
          <w:tcPr>
            <w:tcW w:w="244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8"/>
                <w:szCs w:val="18"/>
                <w:color w:val="auto"/>
              </w:rPr>
            </w:pPr>
          </w:p>
        </w:tc>
      </w:tr>
      <w:tr>
        <w:trPr>
          <w:trHeight w:val="22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Decreases related to prior period positions</w:t>
            </w:r>
          </w:p>
        </w:tc>
        <w:tc>
          <w:tcPr>
            <w:tcW w:w="18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1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benefit--end of year</w:t>
            </w:r>
          </w:p>
        </w:tc>
        <w:tc>
          <w:tcPr>
            <w:tcW w:w="244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8"/>
                <w:szCs w:val="18"/>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Company files tax returns in the United States, Massachusetts, California, New Jersey, New York, Rhode Island and Pennsylvania.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61" w:lineRule="exact"/>
        <w:rPr>
          <w:sz w:val="20"/>
          <w:szCs w:val="20"/>
          <w:color w:val="auto"/>
        </w:rPr>
      </w:pPr>
    </w:p>
    <w:p>
      <w:pPr>
        <w:ind w:left="600" w:right="8480" w:hanging="595"/>
        <w:spacing w:after="0" w:line="443" w:lineRule="auto"/>
        <w:tabs>
          <w:tab w:leader="none" w:pos="276"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License Agreements</w:t>
      </w:r>
    </w:p>
    <w:p>
      <w:pPr>
        <w:jc w:val="both"/>
        <w:ind w:right="280" w:firstLine="589"/>
        <w:spacing w:after="0" w:line="252" w:lineRule="auto"/>
        <w:rPr>
          <w:sz w:val="20"/>
          <w:szCs w:val="20"/>
          <w:color w:val="auto"/>
        </w:rPr>
      </w:pPr>
      <w:r>
        <w:rPr>
          <w:rFonts w:ascii="Arial" w:cs="Arial" w:eastAsia="Arial" w:hAnsi="Arial"/>
          <w:sz w:val="18"/>
          <w:szCs w:val="18"/>
          <w:color w:val="auto"/>
        </w:rPr>
        <w:t>Incyte – In September 2021, the Company entered into the Incyte Agreement and Incyte Stock Purchase Agreement. Under the terms of the Incyte Agreement, Incyte will receive exclusive commercialization rights of axatilimab outside of the United States. In the United States, Incyte and the Company will co-commercialize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15" w:name="page116"/>
    <w:bookmarkEnd w:id="115"/>
    <w:p>
      <w:pPr>
        <w:jc w:val="both"/>
        <w:ind w:right="120"/>
        <w:spacing w:after="0" w:line="252" w:lineRule="auto"/>
        <w:rPr>
          <w:sz w:val="20"/>
          <w:szCs w:val="20"/>
          <w:color w:val="auto"/>
        </w:rPr>
      </w:pPr>
      <w:r>
        <w:rPr>
          <w:rFonts w:ascii="Arial" w:cs="Arial" w:eastAsia="Arial" w:hAnsi="Arial"/>
          <w:sz w:val="18"/>
          <w:szCs w:val="18"/>
          <w:color w:val="auto"/>
        </w:rPr>
        <w:t>axatilimab, with the Company having the right to co-promote the product with Incyte. In exchange for these rights, Incyte agreed to pay a non-refundable cash payment of $117 million and in addition a $35 million equity investment. In certain cases, the Company is required to assist Incyte and is responsible for 45% of development costs associated with global and U.S. specific clinical trials.</w:t>
      </w:r>
    </w:p>
    <w:p>
      <w:pPr>
        <w:spacing w:after="0" w:line="84" w:lineRule="exact"/>
        <w:rPr>
          <w:sz w:val="20"/>
          <w:szCs w:val="20"/>
          <w:color w:val="auto"/>
        </w:rPr>
      </w:pPr>
    </w:p>
    <w:p>
      <w:pPr>
        <w:ind w:right="80" w:firstLine="589"/>
        <w:spacing w:after="0" w:line="279" w:lineRule="auto"/>
        <w:rPr>
          <w:sz w:val="20"/>
          <w:szCs w:val="20"/>
          <w:color w:val="auto"/>
        </w:rPr>
      </w:pPr>
      <w:r>
        <w:rPr>
          <w:rFonts w:ascii="Arial" w:cs="Arial" w:eastAsia="Arial" w:hAnsi="Arial"/>
          <w:sz w:val="16"/>
          <w:szCs w:val="16"/>
          <w:color w:val="auto"/>
        </w:rPr>
        <w:t>NovaMedica—In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71"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Sublicensing Revenue</w:t>
      </w:r>
    </w:p>
    <w:p>
      <w:pPr>
        <w:spacing w:after="0" w:line="108" w:lineRule="exact"/>
        <w:rPr>
          <w:sz w:val="20"/>
          <w:szCs w:val="20"/>
          <w:color w:val="auto"/>
        </w:rPr>
      </w:pPr>
    </w:p>
    <w:p>
      <w:pPr>
        <w:jc w:val="both"/>
        <w:ind w:right="520" w:firstLine="589"/>
        <w:spacing w:after="0" w:line="299" w:lineRule="auto"/>
        <w:rPr>
          <w:sz w:val="20"/>
          <w:szCs w:val="20"/>
          <w:color w:val="auto"/>
        </w:rPr>
      </w:pPr>
      <w:r>
        <w:rPr>
          <w:rFonts w:ascii="Arial" w:cs="Arial" w:eastAsia="Arial" w:hAnsi="Arial"/>
          <w:sz w:val="16"/>
          <w:szCs w:val="16"/>
          <w:color w:val="auto"/>
        </w:rPr>
        <w:t>On February 17, 2022, UCB Biopharma SRL (“UCB”) sent the Company a demand for payment alleging that the Company is obligated to pay a portion of the consideration that the Company has received or will receive in the future pursuant to the License Agreement as sublicensing revenue. The Company believes that it has fully satisfied its payment obligation and is in discussions with UCB regarding the matter.</w:t>
      </w:r>
    </w:p>
    <w:p>
      <w:pPr>
        <w:spacing w:after="0" w:line="154" w:lineRule="exact"/>
        <w:rPr>
          <w:sz w:val="20"/>
          <w:szCs w:val="20"/>
          <w:color w:val="auto"/>
        </w:rPr>
      </w:pPr>
    </w:p>
    <w:p>
      <w:pPr>
        <w:ind w:right="300" w:firstLine="589"/>
        <w:spacing w:after="0" w:line="252" w:lineRule="auto"/>
        <w:rPr>
          <w:sz w:val="20"/>
          <w:szCs w:val="20"/>
          <w:color w:val="auto"/>
        </w:rPr>
      </w:pPr>
      <w:r>
        <w:rPr>
          <w:rFonts w:ascii="Arial" w:cs="Arial" w:eastAsia="Arial" w:hAnsi="Arial"/>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December 31, 2021 or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Cash Flow Information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1"/>
        </w:trPr>
        <w:tc>
          <w:tcPr>
            <w:tcW w:w="5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1"/>
              <w:spacing w:after="0" w:line="151"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17"/>
        </w:trPr>
        <w:tc>
          <w:tcPr>
            <w:tcW w:w="5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paid</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1,997</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1,631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4820" w:type="dxa"/>
            <w:vAlign w:val="bottom"/>
            <w:shd w:val="clear" w:color="auto" w:fill="CFF0FC"/>
          </w:tcPr>
          <w:p>
            <w:pPr>
              <w:spacing w:after="0" w:line="206" w:lineRule="exact"/>
              <w:rPr>
                <w:sz w:val="20"/>
                <w:szCs w:val="20"/>
                <w:color w:val="auto"/>
              </w:rPr>
            </w:pPr>
            <w:r>
              <w:rPr>
                <w:rFonts w:ascii="Arial" w:cs="Arial" w:eastAsia="Arial" w:hAnsi="Arial"/>
                <w:sz w:val="18"/>
                <w:szCs w:val="18"/>
                <w:b w:val="1"/>
                <w:bCs w:val="1"/>
                <w:color w:val="auto"/>
                <w:w w:val="87"/>
              </w:rPr>
              <w:t>Supplemental Disclosures of Non-Cash Investing and Financing</w:t>
            </w:r>
          </w:p>
        </w:tc>
        <w:tc>
          <w:tcPr>
            <w:tcW w:w="2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29"/>
        </w:trPr>
        <w:tc>
          <w:tcPr>
            <w:tcW w:w="580" w:type="dxa"/>
            <w:vAlign w:val="bottom"/>
          </w:tcPr>
          <w:p>
            <w:pPr>
              <w:spacing w:after="0"/>
              <w:rPr>
                <w:sz w:val="19"/>
                <w:szCs w:val="19"/>
                <w:color w:val="auto"/>
              </w:rPr>
            </w:pPr>
          </w:p>
        </w:tc>
        <w:tc>
          <w:tcPr>
            <w:tcW w:w="48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Activities:</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88"/>
              </w:rPr>
              <w:t>Issuance costs included in accounts payable and accrued expenses</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134</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854"/>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0" w:type="dxa"/>
            <w:vAlign w:val="bottom"/>
            <w:gridSpan w:val="2"/>
          </w:tcPr>
          <w:p>
            <w:pPr>
              <w:jc w:val="right"/>
              <w:ind w:right="2020"/>
              <w:spacing w:after="0"/>
              <w:rPr>
                <w:sz w:val="20"/>
                <w:szCs w:val="20"/>
                <w:color w:val="auto"/>
              </w:rPr>
            </w:pPr>
            <w:r>
              <w:rPr>
                <w:rFonts w:ascii="Arial" w:cs="Arial" w:eastAsia="Arial" w:hAnsi="Arial"/>
                <w:sz w:val="18"/>
                <w:szCs w:val="18"/>
                <w:color w:val="auto"/>
                <w:w w:val="97"/>
              </w:rPr>
              <w:t>F-34</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9019"/>
          </w:cols>
          <w:pgMar w:left="1440" w:top="1192"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color w:val="auto"/>
        </w:rPr>
        <w:t>Exhibit 10.16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&amp;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EMPLOYMENT AGREEMENT</w:t>
      </w:r>
    </w:p>
    <w:p>
      <w:pPr>
        <w:spacing w:after="0" w:line="128" w:lineRule="exact"/>
        <w:rPr>
          <w:sz w:val="20"/>
          <w:szCs w:val="20"/>
          <w:color w:val="auto"/>
        </w:rPr>
      </w:pPr>
    </w:p>
    <w:p>
      <w:pPr>
        <w:ind w:right="100" w:firstLine="864"/>
        <w:spacing w:after="0" w:line="26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AMENDED AND RESTATED EXECUTIVE EMPLOYMENT AGREEMENT</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2</w:t>
      </w:r>
      <w:r>
        <w:rPr>
          <w:rFonts w:ascii="Arial" w:cs="Arial" w:eastAsia="Arial" w:hAnsi="Arial"/>
          <w:sz w:val="16"/>
          <w:szCs w:val="16"/>
          <w:color w:val="auto"/>
        </w:rPr>
        <w:t>nd</w:t>
      </w:r>
      <w:r>
        <w:rPr>
          <w:rFonts w:ascii="Arial" w:cs="Arial" w:eastAsia="Arial" w:hAnsi="Arial"/>
          <w:sz w:val="19"/>
          <w:szCs w:val="19"/>
          <w:color w:val="auto"/>
        </w:rPr>
        <w:t xml:space="preserve"> day of February, 2022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between Briggs W. Morrison, M.D.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xml:space="preserve">”) and </w:t>
      </w:r>
      <w:r>
        <w:rPr>
          <w:rFonts w:ascii="Arial" w:cs="Arial" w:eastAsia="Arial" w:hAnsi="Arial"/>
          <w:sz w:val="19"/>
          <w:szCs w:val="19"/>
          <w:b w:val="1"/>
          <w:bCs w:val="1"/>
          <w:color w:val="auto"/>
        </w:rPr>
        <w:t>SYNDAX PHARMACEUTICALS,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INC. </w:t>
      </w:r>
      <w:r>
        <w:rPr>
          <w:rFonts w:ascii="Arial" w:cs="Arial" w:eastAsia="Arial" w:hAnsi="Arial"/>
          <w:sz w:val="19"/>
          <w:szCs w:val="19"/>
          <w:color w:val="auto"/>
        </w:rPr>
        <w:t>(the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Certain capitalized terms used in this Agreement are defined in Article 7.</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42" w:lineRule="exact"/>
        <w:rPr>
          <w:sz w:val="20"/>
          <w:szCs w:val="20"/>
          <w:color w:val="auto"/>
        </w:rPr>
      </w:pPr>
    </w:p>
    <w:p>
      <w:pPr>
        <w:ind w:left="2320" w:hanging="1451"/>
        <w:spacing w:after="0"/>
        <w:tabs>
          <w:tab w:leader="none" w:pos="2320"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The Company is a biopharmaceutical company.</w:t>
      </w:r>
    </w:p>
    <w:p>
      <w:pPr>
        <w:spacing w:after="0" w:line="162" w:lineRule="exact"/>
        <w:rPr>
          <w:rFonts w:ascii="Arial" w:cs="Arial" w:eastAsia="Arial" w:hAnsi="Arial"/>
          <w:sz w:val="19"/>
          <w:szCs w:val="19"/>
          <w:b w:val="1"/>
          <w:bCs w:val="1"/>
          <w:color w:val="auto"/>
        </w:rPr>
      </w:pPr>
    </w:p>
    <w:p>
      <w:pPr>
        <w:ind w:right="160" w:firstLine="869"/>
        <w:spacing w:after="0" w:line="260" w:lineRule="auto"/>
        <w:tabs>
          <w:tab w:leader="none" w:pos="2300"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The Company desires to employ Executive, or to continue Executive’s employment, in the position set forth below, and Executive wishes to be employed, or continue to be employed, by the Company in such position, upon the terms and conditions set forth in this Agreement.</w:t>
      </w:r>
    </w:p>
    <w:p>
      <w:pPr>
        <w:spacing w:after="0" w:line="112"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AGREEMENT</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the Company and Executive agree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follows: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PRELIMINARY MATTERS</w:t>
      </w:r>
    </w:p>
    <w:p>
      <w:pPr>
        <w:spacing w:after="0" w:line="5" w:lineRule="exact"/>
        <w:rPr>
          <w:sz w:val="20"/>
          <w:szCs w:val="20"/>
          <w:color w:val="auto"/>
        </w:rPr>
      </w:pPr>
    </w:p>
    <w:p>
      <w:pPr>
        <w:ind w:right="80" w:firstLine="864"/>
        <w:spacing w:after="0" w:line="257" w:lineRule="auto"/>
        <w:rPr>
          <w:sz w:val="20"/>
          <w:szCs w:val="20"/>
          <w:color w:val="auto"/>
        </w:rPr>
      </w:pPr>
      <w:r>
        <w:rPr>
          <w:rFonts w:ascii="Arial" w:cs="Arial" w:eastAsia="Arial" w:hAnsi="Arial"/>
          <w:sz w:val="19"/>
          <w:szCs w:val="19"/>
          <w:b w:val="1"/>
          <w:bCs w:val="1"/>
          <w:color w:val="auto"/>
        </w:rPr>
        <w:t>1.1. Prior Agreement</w:t>
      </w:r>
      <w:r>
        <w:rPr>
          <w:rFonts w:ascii="Arial" w:cs="Arial" w:eastAsia="Arial" w:hAnsi="Arial"/>
          <w:sz w:val="19"/>
          <w:szCs w:val="19"/>
          <w:color w:val="auto"/>
        </w:rPr>
        <w:t>. This Agreement, on its Effective Date, amends, restates and supersedes the Prior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w:t>
      </w:r>
    </w:p>
    <w:p>
      <w:pPr>
        <w:spacing w:after="0" w:line="102" w:lineRule="exact"/>
        <w:rPr>
          <w:sz w:val="20"/>
          <w:szCs w:val="20"/>
          <w:color w:val="auto"/>
        </w:rPr>
      </w:pPr>
    </w:p>
    <w:p>
      <w:pPr>
        <w:ind w:right="580" w:firstLine="864"/>
        <w:spacing w:after="0" w:line="281" w:lineRule="auto"/>
        <w:rPr>
          <w:sz w:val="20"/>
          <w:szCs w:val="20"/>
          <w:color w:val="auto"/>
        </w:rPr>
      </w:pPr>
      <w:r>
        <w:rPr>
          <w:rFonts w:ascii="Arial" w:cs="Arial" w:eastAsia="Arial" w:hAnsi="Arial"/>
          <w:sz w:val="19"/>
          <w:szCs w:val="19"/>
          <w:b w:val="1"/>
          <w:bCs w:val="1"/>
          <w:color w:val="auto"/>
        </w:rPr>
        <w:t>1.2. Effectiveness of Agreement</w:t>
      </w:r>
      <w:r>
        <w:rPr>
          <w:rFonts w:ascii="Arial" w:cs="Arial" w:eastAsia="Arial" w:hAnsi="Arial"/>
          <w:sz w:val="19"/>
          <w:szCs w:val="19"/>
          <w:color w:val="auto"/>
        </w:rPr>
        <w:t>. This Agreement shall be effective and shall supersede the Prior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concurrently with the Effective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TERMS OF EMPLOYMENT</w:t>
      </w:r>
    </w:p>
    <w:p>
      <w:pPr>
        <w:spacing w:after="0" w:line="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9"/>
          <w:szCs w:val="19"/>
          <w:b w:val="1"/>
          <w:bCs w:val="1"/>
          <w:color w:val="auto"/>
        </w:rPr>
        <w:t>2.1. Appointment</w:t>
      </w:r>
      <w:r>
        <w:rPr>
          <w:rFonts w:ascii="Arial" w:cs="Arial" w:eastAsia="Arial" w:hAnsi="Arial"/>
          <w:sz w:val="19"/>
          <w:szCs w:val="19"/>
          <w:color w:val="auto"/>
        </w:rPr>
        <w:t>. Executive shall serve as the President, Head of Research and Development, reporting to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and ultimately to the Board. As President, Head of Research and Development, Executive will have such duties and responsibilities typically associated with such officer plus other duties as may from time to time be assigned to Executive. During Executive’s employment with the Company, Executive shall (i) devote substantially all of Executive’s business efforts to the Company, provided, however, that Executive may continue to serve as a managing director of MPM Asset Management, LLC and as a member of corporate boards of directors, so long as such activities do not materially interfere with the discharge of Executive’s duties as Chief Executive Officer,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w:t>
      </w:r>
    </w:p>
    <w:p>
      <w:pPr>
        <w:spacing w:after="0" w:line="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2.2. Employment Term</w:t>
      </w:r>
      <w:r>
        <w:rPr>
          <w:rFonts w:ascii="Arial" w:cs="Arial" w:eastAsia="Arial" w:hAnsi="Arial"/>
          <w:sz w:val="19"/>
          <w:szCs w:val="19"/>
          <w:color w:val="auto"/>
        </w:rPr>
        <w:t>. Executive will be employed by the Company on an “at-will” basis. This means that either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Executive may terminate Executive’s employment at any time, for any reason, with or without Cause, and with or without advance notice (provided that Resignation for Good Reason (as defined below) requires certain advanced notice by Executive of Executive’s termination of employment). It also means that Executive’s job title, duties, responsibilities, reporting level,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317500</wp:posOffset>
            </wp:positionV>
            <wp:extent cx="717804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both"/>
        <w:spacing w:after="0" w:line="260" w:lineRule="auto"/>
        <w:rPr>
          <w:sz w:val="20"/>
          <w:szCs w:val="20"/>
          <w:color w:val="auto"/>
        </w:rPr>
      </w:pPr>
      <w:r>
        <w:rPr>
          <w:rFonts w:ascii="Arial" w:cs="Arial" w:eastAsia="Arial" w:hAnsi="Arial"/>
          <w:sz w:val="19"/>
          <w:szCs w:val="19"/>
          <w:color w:val="auto"/>
        </w:rPr>
        <w:t>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pacing w:after="0" w:line="7"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7"/>
          <w:szCs w:val="17"/>
          <w:b w:val="1"/>
          <w:bCs w:val="1"/>
          <w:color w:val="auto"/>
        </w:rPr>
        <w:t>Compensation</w:t>
      </w:r>
      <w:r>
        <w:rPr>
          <w:rFonts w:ascii="Arial" w:cs="Arial" w:eastAsia="Arial" w:hAnsi="Arial"/>
          <w:sz w:val="17"/>
          <w:szCs w:val="17"/>
          <w:color w:val="auto"/>
        </w:rPr>
        <w:t>.</w:t>
      </w:r>
    </w:p>
    <w:p>
      <w:pPr>
        <w:spacing w:after="0" w:line="150" w:lineRule="exact"/>
        <w:rPr>
          <w:sz w:val="20"/>
          <w:szCs w:val="20"/>
          <w:color w:val="auto"/>
        </w:rPr>
      </w:pPr>
    </w:p>
    <w:p>
      <w:pPr>
        <w:jc w:val="both"/>
        <w:ind w:right="360" w:firstLine="1733"/>
        <w:spacing w:after="0" w:line="257" w:lineRule="auto"/>
        <w:tabs>
          <w:tab w:leader="none" w:pos="3139"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Annual Base Salary</w:t>
      </w:r>
      <w:r>
        <w:rPr>
          <w:rFonts w:ascii="Arial" w:cs="Arial" w:eastAsia="Arial" w:hAnsi="Arial"/>
          <w:sz w:val="19"/>
          <w:szCs w:val="19"/>
          <w:color w:val="auto"/>
        </w:rPr>
        <w:t>. Executive’s annual base salary shall be $637,500 per year (“</w:t>
      </w:r>
      <w:r>
        <w:rPr>
          <w:rFonts w:ascii="Arial" w:cs="Arial" w:eastAsia="Arial" w:hAnsi="Arial"/>
          <w:sz w:val="19"/>
          <w:szCs w:val="19"/>
          <w:b w:val="1"/>
          <w:bCs w:val="1"/>
          <w:i w:val="1"/>
          <w:iCs w:val="1"/>
          <w:color w:val="auto"/>
        </w:rPr>
        <w:t>Annual Base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Salary</w:t>
      </w:r>
      <w:r>
        <w:rPr>
          <w:rFonts w:ascii="Arial" w:cs="Arial" w:eastAsia="Arial" w:hAnsi="Arial"/>
          <w:sz w:val="19"/>
          <w:szCs w:val="19"/>
          <w:color w:val="auto"/>
        </w:rPr>
        <w:t>”), payable in equal installments, less applicable deductions and withholdings, in accordance with the Company’s standard payroll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practices. Executive’s Annual Base Salary shall be subject to review by the Company’s compensation committee and may be increased, from time to time.</w:t>
      </w:r>
    </w:p>
    <w:p>
      <w:pPr>
        <w:spacing w:after="0" w:line="115" w:lineRule="exact"/>
        <w:rPr>
          <w:rFonts w:ascii="Arial" w:cs="Arial" w:eastAsia="Arial" w:hAnsi="Arial"/>
          <w:sz w:val="19"/>
          <w:szCs w:val="19"/>
          <w:color w:val="auto"/>
        </w:rPr>
      </w:pPr>
    </w:p>
    <w:p>
      <w:pPr>
        <w:ind w:right="20" w:firstLine="1733"/>
        <w:spacing w:after="0" w:line="269" w:lineRule="auto"/>
        <w:tabs>
          <w:tab w:leader="none" w:pos="2519"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Executive will be entitled to participate in all of the employee benefits and benefit plans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 Notwithstanding the foregoing, if applicable, the Company shall make a group health plan available to Executive, which provides applicable coverage at both Executive’s permanent residence and Executive’s principal place of employment. From time to time and as the Board deems appropriate, Executive may be eligible to receive options to purchase the Company’s common stock.</w:t>
      </w:r>
    </w:p>
    <w:p>
      <w:pPr>
        <w:spacing w:after="0" w:line="106" w:lineRule="exact"/>
        <w:rPr>
          <w:rFonts w:ascii="Arial" w:cs="Arial" w:eastAsia="Arial" w:hAnsi="Arial"/>
          <w:sz w:val="18"/>
          <w:szCs w:val="18"/>
          <w:color w:val="auto"/>
        </w:rPr>
      </w:pPr>
    </w:p>
    <w:p>
      <w:pPr>
        <w:ind w:right="20" w:firstLine="1733"/>
        <w:spacing w:after="0" w:line="276" w:lineRule="auto"/>
        <w:tabs>
          <w:tab w:leader="none" w:pos="2509"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Bonus</w:t>
      </w:r>
      <w:r>
        <w:rPr>
          <w:rFonts w:ascii="Arial" w:cs="Arial" w:eastAsia="Arial" w:hAnsi="Arial"/>
          <w:sz w:val="17"/>
          <w:szCs w:val="17"/>
          <w:color w:val="auto"/>
        </w:rPr>
        <w:t>. In addition to Annual Base Salary, Executive shall be eligible to earn an annual performance bonus of up</w:t>
      </w:r>
      <w:r>
        <w:rPr>
          <w:rFonts w:ascii="Arial" w:cs="Arial" w:eastAsia="Arial" w:hAnsi="Arial"/>
          <w:sz w:val="17"/>
          <w:szCs w:val="17"/>
          <w:b w:val="1"/>
          <w:bCs w:val="1"/>
          <w:color w:val="auto"/>
        </w:rPr>
        <w:t xml:space="preserve"> </w:t>
      </w:r>
      <w:r>
        <w:rPr>
          <w:rFonts w:ascii="Arial" w:cs="Arial" w:eastAsia="Arial" w:hAnsi="Arial"/>
          <w:sz w:val="17"/>
          <w:szCs w:val="17"/>
          <w:color w:val="auto"/>
        </w:rPr>
        <w:t>to fifty percent (50%)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7"/>
          <w:szCs w:val="17"/>
          <w:b w:val="1"/>
          <w:bCs w:val="1"/>
          <w:i w:val="1"/>
          <w:iCs w:val="1"/>
          <w:color w:val="auto"/>
        </w:rPr>
        <w:t>Target Performance Bonus</w:t>
      </w:r>
      <w:r>
        <w:rPr>
          <w:rFonts w:ascii="Arial" w:cs="Arial" w:eastAsia="Arial" w:hAnsi="Arial"/>
          <w:sz w:val="17"/>
          <w:szCs w:val="17"/>
          <w:color w:val="auto"/>
        </w:rPr>
        <w:t>”). For clarity, it is expected that Executive will propose corporate objectives for each calendar year that will be Executive’s individual performance milestones. The Board will work with Executive to revise and refine these annual corporate objectives until a mutually acceptable set of corporate objectives is approved by the Board. The Board may award Executive a Target Performance Bonus for partial achievement of objectives and may grant Executive a higher bonus for exceptional performance. At Executive’s request, these annual corporate objectives may be revised in the discretion of the Board during the course of the year depending on changed circumstances.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w:t>
      </w:r>
      <w:r>
        <w:rPr>
          <w:rFonts w:ascii="Arial" w:cs="Arial" w:eastAsia="Arial" w:hAnsi="Arial"/>
          <w:sz w:val="14"/>
          <w:szCs w:val="14"/>
          <w:color w:val="auto"/>
        </w:rPr>
        <w:t>th</w:t>
      </w:r>
      <w:r>
        <w:rPr>
          <w:rFonts w:ascii="Arial" w:cs="Arial" w:eastAsia="Arial" w:hAnsi="Arial"/>
          <w:sz w:val="17"/>
          <w:szCs w:val="17"/>
          <w:color w:val="auto"/>
        </w:rPr>
        <w:t xml:space="preserve"> following the calendar year during which such bonus was earned. Except as provided in Sections</w:t>
      </w:r>
    </w:p>
    <w:p>
      <w:pPr>
        <w:spacing w:after="0" w:line="5" w:lineRule="exact"/>
        <w:rPr>
          <w:rFonts w:ascii="Arial" w:cs="Arial" w:eastAsia="Arial" w:hAnsi="Arial"/>
          <w:sz w:val="17"/>
          <w:szCs w:val="17"/>
          <w:color w:val="auto"/>
        </w:rPr>
      </w:pPr>
    </w:p>
    <w:p>
      <w:pPr>
        <w:ind w:right="220"/>
        <w:spacing w:after="0" w:line="257" w:lineRule="auto"/>
        <w:rPr>
          <w:rFonts w:ascii="Arial" w:cs="Arial" w:eastAsia="Arial" w:hAnsi="Arial"/>
          <w:sz w:val="17"/>
          <w:szCs w:val="17"/>
          <w:color w:val="auto"/>
        </w:rPr>
      </w:pPr>
      <w:r>
        <w:rPr>
          <w:rFonts w:ascii="Arial" w:cs="Arial" w:eastAsia="Arial" w:hAnsi="Arial"/>
          <w:sz w:val="19"/>
          <w:szCs w:val="19"/>
          <w:color w:val="auto"/>
        </w:rPr>
        <w:t>3.2 and 4.2, Executive shall be eligible to earn the Target Performance Bonus only if Executive is actively employed and in good standing with the Company on both the determination and payment dates for the Target Performance Bonus.</w:t>
      </w:r>
    </w:p>
    <w:p>
      <w:pPr>
        <w:spacing w:after="0" w:line="115" w:lineRule="exact"/>
        <w:rPr>
          <w:sz w:val="20"/>
          <w:szCs w:val="20"/>
          <w:color w:val="auto"/>
        </w:rPr>
      </w:pPr>
    </w:p>
    <w:p>
      <w:pPr>
        <w:ind w:right="220" w:firstLine="864"/>
        <w:spacing w:after="0" w:line="249" w:lineRule="auto"/>
        <w:rPr>
          <w:sz w:val="20"/>
          <w:szCs w:val="20"/>
          <w:color w:val="auto"/>
        </w:rPr>
      </w:pPr>
      <w:r>
        <w:rPr>
          <w:rFonts w:ascii="Arial" w:cs="Arial" w:eastAsia="Arial" w:hAnsi="Arial"/>
          <w:sz w:val="19"/>
          <w:szCs w:val="19"/>
          <w:b w:val="1"/>
          <w:bCs w:val="1"/>
          <w:color w:val="auto"/>
        </w:rPr>
        <w:t>2.4. Reimbursement of Expenses</w:t>
      </w:r>
      <w:r>
        <w:rPr>
          <w:rFonts w:ascii="Arial" w:cs="Arial" w:eastAsia="Arial" w:hAnsi="Arial"/>
          <w:sz w:val="19"/>
          <w:szCs w:val="19"/>
          <w:color w:val="auto"/>
        </w:rPr>
        <w:t>. Subject to Section 5.10(c), the Company shall reimburse Executive for</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necessary and reasonable business expenses incurred in connection with Executive’s duties in accordance with the Company’s generally applicable policies. Executive and the Company acknowledge that Executive will be required to spend a certain amount of time each month at the Company’s Waltham headquarters. Accordingly, the Company will reimburse, or pay for, all reasonable expenses incurred by Executive in connection with commuting between the Company’s Waltham office and Executive’s current principal residence in New Jersey, including Executive’s actual and reasonable living expenses incurred in the Waltham area and Executive’s actual and reasonable commuting expenses incurred between Waltham and Executive’s current principal residence in New Jersey. Executive will not be expected to relocate his residence to Waltham, but should Executive choose to relocate his residence to Waltham, the Company will pay for Executive’s relocation. The foregoing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99" w:right="3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provisions of this Section 2.4 are subject to Section 5.10(c).</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252"/>
        </w:trPr>
        <w:tc>
          <w:tcPr>
            <w:tcW w:w="920" w:type="dxa"/>
            <w:vAlign w:val="bottom"/>
          </w:tcPr>
          <w:p>
            <w:pPr>
              <w:spacing w:after="0"/>
              <w:rPr>
                <w:sz w:val="21"/>
                <w:szCs w:val="21"/>
                <w:color w:val="auto"/>
              </w:rPr>
            </w:pPr>
          </w:p>
        </w:tc>
        <w:tc>
          <w:tcPr>
            <w:tcW w:w="9060" w:type="dxa"/>
            <w:vAlign w:val="bottom"/>
          </w:tcPr>
          <w:p>
            <w:pPr>
              <w:jc w:val="center"/>
              <w:ind w:right="1264"/>
              <w:spacing w:after="0"/>
              <w:rPr>
                <w:sz w:val="20"/>
                <w:szCs w:val="20"/>
                <w:color w:val="auto"/>
              </w:rPr>
            </w:pPr>
            <w:r>
              <w:rPr>
                <w:rFonts w:ascii="Arial" w:cs="Arial" w:eastAsia="Arial" w:hAnsi="Arial"/>
                <w:sz w:val="19"/>
                <w:szCs w:val="19"/>
                <w:b w:val="1"/>
                <w:bCs w:val="1"/>
                <w:color w:val="auto"/>
              </w:rPr>
              <w:t>ARTICLE 3</w:t>
            </w:r>
          </w:p>
        </w:tc>
      </w:tr>
      <w:tr>
        <w:trPr>
          <w:trHeight w:val="368"/>
        </w:trPr>
        <w:tc>
          <w:tcPr>
            <w:tcW w:w="920" w:type="dxa"/>
            <w:vAlign w:val="bottom"/>
          </w:tcPr>
          <w:p>
            <w:pPr>
              <w:spacing w:after="0"/>
              <w:rPr>
                <w:sz w:val="24"/>
                <w:szCs w:val="24"/>
                <w:color w:val="auto"/>
              </w:rPr>
            </w:pPr>
          </w:p>
        </w:tc>
        <w:tc>
          <w:tcPr>
            <w:tcW w:w="9060" w:type="dxa"/>
            <w:vAlign w:val="bottom"/>
          </w:tcPr>
          <w:p>
            <w:pPr>
              <w:jc w:val="center"/>
              <w:ind w:right="1284"/>
              <w:spacing w:after="0"/>
              <w:rPr>
                <w:sz w:val="20"/>
                <w:szCs w:val="20"/>
                <w:color w:val="auto"/>
              </w:rPr>
            </w:pPr>
            <w:r>
              <w:rPr>
                <w:rFonts w:ascii="Arial" w:cs="Arial" w:eastAsia="Arial" w:hAnsi="Arial"/>
                <w:sz w:val="19"/>
                <w:szCs w:val="19"/>
                <w:b w:val="1"/>
                <w:bCs w:val="1"/>
                <w:color w:val="auto"/>
              </w:rPr>
              <w:t>CHANGE IN CONTROL SEVERANCE BENEFITS</w:t>
            </w:r>
          </w:p>
        </w:tc>
      </w:tr>
      <w:tr>
        <w:trPr>
          <w:trHeight w:val="349"/>
        </w:trPr>
        <w:tc>
          <w:tcPr>
            <w:tcW w:w="920" w:type="dxa"/>
            <w:vAlign w:val="bottom"/>
          </w:tcPr>
          <w:p>
            <w:pPr>
              <w:jc w:val="right"/>
              <w:ind w:right="524"/>
              <w:spacing w:after="0"/>
              <w:rPr>
                <w:sz w:val="20"/>
                <w:szCs w:val="20"/>
                <w:color w:val="auto"/>
              </w:rPr>
            </w:pPr>
            <w:r>
              <w:rPr>
                <w:rFonts w:ascii="Arial" w:cs="Arial" w:eastAsia="Arial" w:hAnsi="Arial"/>
                <w:sz w:val="19"/>
                <w:szCs w:val="19"/>
                <w:b w:val="1"/>
                <w:bCs w:val="1"/>
                <w:color w:val="auto"/>
                <w:w w:val="88"/>
              </w:rPr>
              <w:t>3.1.</w:t>
            </w:r>
          </w:p>
        </w:tc>
        <w:tc>
          <w:tcPr>
            <w:tcW w:w="9060" w:type="dxa"/>
            <w:vAlign w:val="bottom"/>
          </w:tcPr>
          <w:p>
            <w:pPr>
              <w:ind w:left="640"/>
              <w:spacing w:after="0"/>
              <w:rPr>
                <w:sz w:val="20"/>
                <w:szCs w:val="20"/>
                <w:color w:val="auto"/>
              </w:rPr>
            </w:pPr>
            <w:r>
              <w:rPr>
                <w:rFonts w:ascii="Arial" w:cs="Arial" w:eastAsia="Arial" w:hAnsi="Arial"/>
                <w:sz w:val="19"/>
                <w:szCs w:val="19"/>
                <w:b w:val="1"/>
                <w:bCs w:val="1"/>
                <w:color w:val="auto"/>
                <w:w w:val="91"/>
              </w:rPr>
              <w:t>Severance Benefits</w:t>
            </w:r>
            <w:r>
              <w:rPr>
                <w:rFonts w:ascii="Arial" w:cs="Arial" w:eastAsia="Arial" w:hAnsi="Arial"/>
                <w:sz w:val="19"/>
                <w:szCs w:val="19"/>
                <w:color w:val="auto"/>
                <w:w w:val="91"/>
              </w:rPr>
              <w:t>. Upon a Change in Control Termination, and subject to the limitations and conditions set</w:t>
            </w:r>
          </w:p>
        </w:tc>
      </w:tr>
    </w:tbl>
    <w:p>
      <w:pPr>
        <w:spacing w:after="0"/>
        <w:rPr>
          <w:sz w:val="20"/>
          <w:szCs w:val="20"/>
          <w:color w:val="auto"/>
        </w:rPr>
      </w:pPr>
      <w:r>
        <w:rPr>
          <w:rFonts w:ascii="Arial" w:cs="Arial" w:eastAsia="Arial" w:hAnsi="Arial"/>
          <w:sz w:val="18"/>
          <w:szCs w:val="18"/>
          <w:color w:val="auto"/>
        </w:rPr>
        <w:t>forth in this Agreement, Executive shall be eligible to receive the benefits set forth in this Article 3. The receipt of any severance payments or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benefits pursuant to this Agreement is subject to Executive signing and not revoking a separation agreement and general release of claims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in substantially the form attached hereto and incorporated herein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or </w:t>
      </w:r>
      <w:r>
        <w:rPr>
          <w:rFonts w:ascii="Arial" w:cs="Arial" w:eastAsia="Arial" w:hAnsi="Arial"/>
          <w:sz w:val="18"/>
          <w:szCs w:val="18"/>
          <w:b w:val="1"/>
          <w:bCs w:val="1"/>
          <w:color w:val="auto"/>
        </w:rPr>
        <w:t>Exhibit C</w:t>
      </w:r>
      <w:r>
        <w:rPr>
          <w:rFonts w:ascii="Arial" w:cs="Arial" w:eastAsia="Arial" w:hAnsi="Arial"/>
          <w:sz w:val="18"/>
          <w:szCs w:val="18"/>
          <w:color w:val="auto"/>
        </w:rPr>
        <w:t>, as appropriate, which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Release must become effective and irrevocable no later than the sixtieth (60</w:t>
      </w:r>
      <w:r>
        <w:rPr>
          <w:rFonts w:ascii="Arial" w:cs="Arial" w:eastAsia="Arial" w:hAnsi="Arial"/>
          <w:sz w:val="15"/>
          <w:szCs w:val="15"/>
          <w:color w:val="auto"/>
        </w:rPr>
        <w:t>th</w:t>
      </w:r>
      <w:r>
        <w:rPr>
          <w:rFonts w:ascii="Arial" w:cs="Arial" w:eastAsia="Arial" w:hAnsi="Arial"/>
          <w:sz w:val="18"/>
          <w:szCs w:val="18"/>
          <w:color w:val="auto"/>
        </w:rPr>
        <w:t>) day following Executive’s termination of employment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 Deadline Date</w:t>
      </w:r>
      <w:r>
        <w:rPr>
          <w:rFonts w:ascii="Arial" w:cs="Arial" w:eastAsia="Arial" w:hAnsi="Arial"/>
          <w:sz w:val="18"/>
          <w:szCs w:val="18"/>
          <w:color w:val="auto"/>
        </w:rPr>
        <w:t>”). If the Release does not become effective and irrevocable by the Release Deadline Date, Executive will forfeit any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right to any severance payments or benefits under this Agreement. In no event will severance payments or benefits be paid or provided until the</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Release actually becomes effective and irrevocable.</w:t>
      </w:r>
    </w:p>
    <w:p>
      <w:pPr>
        <w:spacing w:after="0" w:line="128" w:lineRule="exact"/>
        <w:rPr>
          <w:sz w:val="20"/>
          <w:szCs w:val="20"/>
          <w:color w:val="auto"/>
        </w:rPr>
      </w:pPr>
    </w:p>
    <w:p>
      <w:pPr>
        <w:ind w:right="60" w:firstLine="864"/>
        <w:spacing w:after="0" w:line="272" w:lineRule="auto"/>
        <w:rPr>
          <w:sz w:val="20"/>
          <w:szCs w:val="20"/>
          <w:color w:val="auto"/>
        </w:rPr>
      </w:pPr>
      <w:r>
        <w:rPr>
          <w:rFonts w:ascii="Arial" w:cs="Arial" w:eastAsia="Arial" w:hAnsi="Arial"/>
          <w:sz w:val="18"/>
          <w:szCs w:val="18"/>
          <w:b w:val="1"/>
          <w:bCs w:val="1"/>
          <w:color w:val="auto"/>
        </w:rPr>
        <w:t>3.2. Salary and Pro-Rata Bonus Payment</w:t>
      </w:r>
      <w:r>
        <w:rPr>
          <w:rFonts w:ascii="Arial" w:cs="Arial" w:eastAsia="Arial" w:hAnsi="Arial"/>
          <w:sz w:val="18"/>
          <w:szCs w:val="18"/>
          <w:color w:val="auto"/>
        </w:rPr>
        <w:t>. In consideration of Executive’s execution and non-revocation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by the Release Deadline Date, in a form provided by the Company and in accordance with Article 5, the Company shall pay Executive a severance payment equal to (i) the sum of Executive’s Monthly Base Salary and Pro-Rata Bonus multiplied by (ii) the number of months in the Change in Control Severance Period, less applicable withholdings. The severance payment shall be payable (except as set forth in Article 5) in a lump sum on the first regularly-scheduled payroll date occurring on or after the Release Deadline Date.</w:t>
      </w:r>
    </w:p>
    <w:p>
      <w:pPr>
        <w:spacing w:after="0" w:line="89"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7"/>
          <w:szCs w:val="17"/>
          <w:b w:val="1"/>
          <w:bCs w:val="1"/>
          <w:color w:val="auto"/>
        </w:rPr>
        <w:t>Health Continuation Coverage</w:t>
      </w:r>
      <w:r>
        <w:rPr>
          <w:rFonts w:ascii="Arial" w:cs="Arial" w:eastAsia="Arial" w:hAnsi="Arial"/>
          <w:sz w:val="17"/>
          <w:szCs w:val="17"/>
          <w:color w:val="auto"/>
        </w:rPr>
        <w:t>.</w:t>
      </w:r>
    </w:p>
    <w:p>
      <w:pPr>
        <w:spacing w:after="0" w:line="169" w:lineRule="exact"/>
        <w:rPr>
          <w:sz w:val="20"/>
          <w:szCs w:val="20"/>
          <w:color w:val="auto"/>
        </w:rPr>
      </w:pPr>
    </w:p>
    <w:p>
      <w:pPr>
        <w:ind w:firstLine="1733"/>
        <w:spacing w:after="0" w:line="279" w:lineRule="auto"/>
        <w:tabs>
          <w:tab w:leader="none" w:pos="3139"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Provided that Executive is eligible and has made the necessary elections for continuation 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20" w:lineRule="exact"/>
        <w:rPr>
          <w:sz w:val="20"/>
          <w:szCs w:val="20"/>
          <w:color w:val="auto"/>
        </w:rPr>
      </w:pPr>
    </w:p>
    <w:p>
      <w:pPr>
        <w:jc w:val="both"/>
        <w:ind w:right="80" w:firstLine="1733"/>
        <w:spacing w:after="0" w:line="281" w:lineRule="auto"/>
        <w:tabs>
          <w:tab w:leader="none" w:pos="25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purposes of this Section 3.3,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20" w:name="page121"/>
    <w:bookmarkEnd w:id="120"/>
    <w:p>
      <w:pPr>
        <w:ind w:right="140" w:firstLine="864"/>
        <w:spacing w:after="0" w:line="250" w:lineRule="auto"/>
        <w:rPr>
          <w:sz w:val="20"/>
          <w:szCs w:val="20"/>
          <w:color w:val="auto"/>
        </w:rPr>
      </w:pPr>
      <w:r>
        <w:rPr>
          <w:rFonts w:ascii="Arial" w:cs="Arial" w:eastAsia="Arial" w:hAnsi="Arial"/>
          <w:sz w:val="19"/>
          <w:szCs w:val="19"/>
          <w:b w:val="1"/>
          <w:bCs w:val="1"/>
          <w:color w:val="auto"/>
        </w:rPr>
        <w:t>3.4. Stock Awards</w:t>
      </w:r>
      <w:r>
        <w:rPr>
          <w:rFonts w:ascii="Arial" w:cs="Arial" w:eastAsia="Arial" w:hAnsi="Arial"/>
          <w:sz w:val="19"/>
          <w:szCs w:val="19"/>
          <w:color w:val="auto"/>
        </w:rPr>
        <w:t>. Upon a Change in Control Termination, (i) the vesting and exercisability of all outstanding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to purchase the Company’s common stock (or stock appreciation rights or other rights with respect to the stock of the Company issued pursuant to any equity incentive plan of the Company) that are held by Executive on the Termination Date shall be accelerated in full, (ii) 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(iii) the time period that Executive has to exercise any outstanding options to purchase the Company’s common stock that are held by Executive on the Termination Date shall be extended for a period equal to the shorter of (A) twelve (12) months or (B) the remaining term of the outstanding option.</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252"/>
        </w:trPr>
        <w:tc>
          <w:tcPr>
            <w:tcW w:w="920" w:type="dxa"/>
            <w:vAlign w:val="bottom"/>
          </w:tcPr>
          <w:p>
            <w:pPr>
              <w:spacing w:after="0"/>
              <w:rPr>
                <w:sz w:val="21"/>
                <w:szCs w:val="21"/>
                <w:color w:val="auto"/>
              </w:rPr>
            </w:pPr>
          </w:p>
        </w:tc>
        <w:tc>
          <w:tcPr>
            <w:tcW w:w="9240" w:type="dxa"/>
            <w:vAlign w:val="bottom"/>
          </w:tcPr>
          <w:p>
            <w:pPr>
              <w:jc w:val="center"/>
              <w:ind w:right="1444"/>
              <w:spacing w:after="0"/>
              <w:rPr>
                <w:sz w:val="20"/>
                <w:szCs w:val="20"/>
                <w:color w:val="auto"/>
              </w:rPr>
            </w:pPr>
            <w:r>
              <w:rPr>
                <w:rFonts w:ascii="Arial" w:cs="Arial" w:eastAsia="Arial" w:hAnsi="Arial"/>
                <w:sz w:val="19"/>
                <w:szCs w:val="19"/>
                <w:b w:val="1"/>
                <w:bCs w:val="1"/>
                <w:color w:val="auto"/>
              </w:rPr>
              <w:t>ARTICLE 4</w:t>
            </w:r>
          </w:p>
        </w:tc>
      </w:tr>
      <w:tr>
        <w:trPr>
          <w:trHeight w:val="368"/>
        </w:trPr>
        <w:tc>
          <w:tcPr>
            <w:tcW w:w="920" w:type="dxa"/>
            <w:vAlign w:val="bottom"/>
          </w:tcPr>
          <w:p>
            <w:pPr>
              <w:spacing w:after="0"/>
              <w:rPr>
                <w:sz w:val="24"/>
                <w:szCs w:val="24"/>
                <w:color w:val="auto"/>
              </w:rPr>
            </w:pPr>
          </w:p>
        </w:tc>
        <w:tc>
          <w:tcPr>
            <w:tcW w:w="9240" w:type="dxa"/>
            <w:vAlign w:val="bottom"/>
          </w:tcPr>
          <w:p>
            <w:pPr>
              <w:jc w:val="center"/>
              <w:ind w:right="1444"/>
              <w:spacing w:after="0"/>
              <w:rPr>
                <w:sz w:val="20"/>
                <w:szCs w:val="20"/>
                <w:color w:val="auto"/>
              </w:rPr>
            </w:pPr>
            <w:r>
              <w:rPr>
                <w:rFonts w:ascii="Arial" w:cs="Arial" w:eastAsia="Arial" w:hAnsi="Arial"/>
                <w:sz w:val="19"/>
                <w:szCs w:val="19"/>
                <w:b w:val="1"/>
                <w:bCs w:val="1"/>
                <w:color w:val="auto"/>
              </w:rPr>
              <w:t>COVERED TERMINATION SEVERANCE BENEFITS</w:t>
            </w:r>
          </w:p>
        </w:tc>
      </w:tr>
      <w:tr>
        <w:trPr>
          <w:trHeight w:val="349"/>
        </w:trPr>
        <w:tc>
          <w:tcPr>
            <w:tcW w:w="920" w:type="dxa"/>
            <w:vAlign w:val="bottom"/>
          </w:tcPr>
          <w:p>
            <w:pPr>
              <w:jc w:val="right"/>
              <w:ind w:right="524"/>
              <w:spacing w:after="0"/>
              <w:rPr>
                <w:sz w:val="20"/>
                <w:szCs w:val="20"/>
                <w:color w:val="auto"/>
              </w:rPr>
            </w:pPr>
            <w:r>
              <w:rPr>
                <w:rFonts w:ascii="Arial" w:cs="Arial" w:eastAsia="Arial" w:hAnsi="Arial"/>
                <w:sz w:val="19"/>
                <w:szCs w:val="19"/>
                <w:b w:val="1"/>
                <w:bCs w:val="1"/>
                <w:color w:val="auto"/>
                <w:w w:val="88"/>
              </w:rPr>
              <w:t>4.1.</w:t>
            </w:r>
          </w:p>
        </w:tc>
        <w:tc>
          <w:tcPr>
            <w:tcW w:w="9240" w:type="dxa"/>
            <w:vAlign w:val="bottom"/>
          </w:tcPr>
          <w:p>
            <w:pPr>
              <w:ind w:left="640"/>
              <w:spacing w:after="0"/>
              <w:rPr>
                <w:sz w:val="20"/>
                <w:szCs w:val="20"/>
                <w:color w:val="auto"/>
              </w:rPr>
            </w:pPr>
            <w:r>
              <w:rPr>
                <w:rFonts w:ascii="Arial" w:cs="Arial" w:eastAsia="Arial" w:hAnsi="Arial"/>
                <w:sz w:val="19"/>
                <w:szCs w:val="19"/>
                <w:b w:val="1"/>
                <w:bCs w:val="1"/>
                <w:color w:val="auto"/>
                <w:w w:val="91"/>
              </w:rPr>
              <w:t>Severance Benefits</w:t>
            </w:r>
            <w:r>
              <w:rPr>
                <w:rFonts w:ascii="Arial" w:cs="Arial" w:eastAsia="Arial" w:hAnsi="Arial"/>
                <w:sz w:val="19"/>
                <w:szCs w:val="19"/>
                <w:color w:val="auto"/>
                <w:w w:val="91"/>
              </w:rPr>
              <w:t>. Upon a Covered Termination, and subject to the limitations and conditions set forth in this</w:t>
            </w:r>
          </w:p>
        </w:tc>
      </w:tr>
    </w:tbl>
    <w:p>
      <w:pPr>
        <w:ind w:right="100"/>
        <w:spacing w:after="0" w:line="265" w:lineRule="auto"/>
        <w:rPr>
          <w:sz w:val="20"/>
          <w:szCs w:val="20"/>
          <w:color w:val="auto"/>
        </w:rPr>
      </w:pPr>
      <w:r>
        <w:rPr>
          <w:rFonts w:ascii="Arial" w:cs="Arial" w:eastAsia="Arial" w:hAnsi="Arial"/>
          <w:sz w:val="18"/>
          <w:szCs w:val="18"/>
          <w:color w:val="auto"/>
        </w:rPr>
        <w:t>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10" w:lineRule="exact"/>
        <w:rPr>
          <w:sz w:val="20"/>
          <w:szCs w:val="20"/>
          <w:color w:val="auto"/>
        </w:rPr>
      </w:pPr>
    </w:p>
    <w:p>
      <w:pPr>
        <w:ind w:firstLine="864"/>
        <w:spacing w:after="0" w:line="288" w:lineRule="auto"/>
        <w:rPr>
          <w:sz w:val="20"/>
          <w:szCs w:val="20"/>
          <w:color w:val="auto"/>
        </w:rPr>
      </w:pPr>
      <w:r>
        <w:rPr>
          <w:rFonts w:ascii="Arial" w:cs="Arial" w:eastAsia="Arial" w:hAnsi="Arial"/>
          <w:sz w:val="17"/>
          <w:szCs w:val="17"/>
          <w:b w:val="1"/>
          <w:bCs w:val="1"/>
          <w:color w:val="auto"/>
        </w:rPr>
        <w:t>4.2. Salary Payment</w:t>
      </w:r>
      <w:r>
        <w:rPr>
          <w:rFonts w:ascii="Arial" w:cs="Arial" w:eastAsia="Arial" w:hAnsi="Arial"/>
          <w:sz w:val="17"/>
          <w:szCs w:val="17"/>
          <w:color w:val="auto"/>
        </w:rPr>
        <w:t>. In consideration of Executive’s timely execution and non-revocation of a full release of all</w:t>
      </w:r>
      <w:r>
        <w:rPr>
          <w:rFonts w:ascii="Arial" w:cs="Arial" w:eastAsia="Arial" w:hAnsi="Arial"/>
          <w:sz w:val="17"/>
          <w:szCs w:val="17"/>
          <w:b w:val="1"/>
          <w:bCs w:val="1"/>
          <w:color w:val="auto"/>
        </w:rPr>
        <w:t xml:space="preserve"> </w:t>
      </w:r>
      <w:r>
        <w:rPr>
          <w:rFonts w:ascii="Arial" w:cs="Arial" w:eastAsia="Arial" w:hAnsi="Arial"/>
          <w:sz w:val="17"/>
          <w:szCs w:val="17"/>
          <w:color w:val="auto"/>
        </w:rPr>
        <w:t>claims, in a form provided by the Company and in accordance with Article 5, the Company shall pay Executive a severance payment equal to the sum of (i) Executive’s Monthly Base Salary multiplied by the number of months in the Covered Termination Severance Period and (ii) the Target Performance Bonus as in effect on the date of a Covered Termination multiplied by the number of days Executive was employed in the year of the Covered Termination divided by the total number of days in such year, less applicable withholdings. The severance payment shall be payable (except as set forth in Article 5) in a lump sum on the first regularly-scheduled payroll date occurring on or after the Release Deadline Date.</w:t>
      </w:r>
    </w:p>
    <w:p>
      <w:pPr>
        <w:spacing w:after="0" w:line="91"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b w:val="1"/>
          <w:bCs w:val="1"/>
          <w:color w:val="auto"/>
        </w:rPr>
        <w:t>Health Continuation Coverage</w:t>
      </w:r>
      <w:r>
        <w:rPr>
          <w:rFonts w:ascii="Arial" w:cs="Arial" w:eastAsia="Arial" w:hAnsi="Arial"/>
          <w:sz w:val="17"/>
          <w:szCs w:val="17"/>
          <w:color w:val="auto"/>
        </w:rPr>
        <w:t>.</w:t>
      </w:r>
    </w:p>
    <w:p>
      <w:pPr>
        <w:spacing w:after="0" w:line="64" w:lineRule="exact"/>
        <w:rPr>
          <w:sz w:val="20"/>
          <w:szCs w:val="20"/>
          <w:color w:val="auto"/>
        </w:rPr>
      </w:pPr>
    </w:p>
    <w:p>
      <w:pPr>
        <w:ind w:right="20" w:firstLine="1733"/>
        <w:spacing w:after="0" w:line="264" w:lineRule="auto"/>
        <w:tabs>
          <w:tab w:leader="none" w:pos="25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498" w:right="379" w:bottom="1440" w:gutter="0" w:footer="0" w:header="0"/>
        </w:sectPr>
      </w:pPr>
    </w:p>
    <w:bookmarkStart w:id="121" w:name="page122"/>
    <w:bookmarkEnd w:id="121"/>
    <w:p>
      <w:pPr>
        <w:ind w:right="60"/>
        <w:spacing w:after="0" w:line="249" w:lineRule="auto"/>
        <w:rPr>
          <w:sz w:val="20"/>
          <w:szCs w:val="20"/>
          <w:color w:val="auto"/>
        </w:rPr>
      </w:pPr>
      <w:r>
        <w:rPr>
          <w:rFonts w:ascii="Arial" w:cs="Arial" w:eastAsia="Arial" w:hAnsi="Arial"/>
          <w:sz w:val="19"/>
          <w:szCs w:val="19"/>
          <w:color w:val="auto"/>
        </w:rPr>
        <w:t>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32" w:lineRule="exact"/>
        <w:rPr>
          <w:sz w:val="20"/>
          <w:szCs w:val="20"/>
          <w:color w:val="auto"/>
        </w:rPr>
      </w:pPr>
    </w:p>
    <w:p>
      <w:pPr>
        <w:jc w:val="both"/>
        <w:ind w:right="100" w:firstLine="1733"/>
        <w:spacing w:after="0" w:line="281" w:lineRule="auto"/>
        <w:tabs>
          <w:tab w:leader="none" w:pos="25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82"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7"/>
          <w:szCs w:val="17"/>
          <w:b w:val="1"/>
          <w:bCs w:val="1"/>
          <w:color w:val="auto"/>
        </w:rPr>
        <w:t>Stock Awards</w:t>
      </w:r>
      <w:r>
        <w:rPr>
          <w:rFonts w:ascii="Arial" w:cs="Arial" w:eastAsia="Arial" w:hAnsi="Arial"/>
          <w:sz w:val="17"/>
          <w:szCs w:val="17"/>
          <w:color w:val="auto"/>
        </w:rPr>
        <w:t>. Upon a Covered Termination:</w:t>
      </w:r>
    </w:p>
    <w:p>
      <w:pPr>
        <w:spacing w:after="0" w:line="169" w:lineRule="exact"/>
        <w:rPr>
          <w:sz w:val="20"/>
          <w:szCs w:val="20"/>
          <w:color w:val="auto"/>
        </w:rPr>
      </w:pPr>
    </w:p>
    <w:p>
      <w:pPr>
        <w:ind w:firstLine="1733"/>
        <w:spacing w:after="0" w:line="286" w:lineRule="auto"/>
        <w:tabs>
          <w:tab w:leader="none" w:pos="250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vesting and exercisability of all outstanding options to purchase the Company’s common 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17"/>
          <w:szCs w:val="17"/>
          <w:b w:val="1"/>
          <w:bCs w:val="1"/>
          <w:i w:val="1"/>
          <w:iCs w:val="1"/>
          <w:color w:val="auto"/>
        </w:rPr>
        <w:t>Option Shares</w:t>
      </w:r>
      <w:r>
        <w:rPr>
          <w:rFonts w:ascii="Arial" w:cs="Arial" w:eastAsia="Arial" w:hAnsi="Arial"/>
          <w:sz w:val="17"/>
          <w:szCs w:val="17"/>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74" w:lineRule="exact"/>
        <w:rPr>
          <w:rFonts w:ascii="Arial" w:cs="Arial" w:eastAsia="Arial" w:hAnsi="Arial"/>
          <w:sz w:val="17"/>
          <w:szCs w:val="17"/>
          <w:color w:val="auto"/>
        </w:rPr>
      </w:pPr>
    </w:p>
    <w:p>
      <w:pPr>
        <w:ind w:right="20" w:firstLine="1733"/>
        <w:spacing w:after="0" w:line="249" w:lineRule="auto"/>
        <w:tabs>
          <w:tab w:leader="none" w:pos="2519"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Arial" w:cs="Arial" w:eastAsia="Arial" w:hAnsi="Arial"/>
          <w:sz w:val="19"/>
          <w:szCs w:val="19"/>
          <w:b w:val="1"/>
          <w:bCs w:val="1"/>
          <w:i w:val="1"/>
          <w:iCs w:val="1"/>
          <w:color w:val="auto"/>
        </w:rPr>
        <w:t>Restricted Shares</w:t>
      </w:r>
      <w:r>
        <w:rPr>
          <w:rFonts w:ascii="Arial" w:cs="Arial" w:eastAsia="Arial" w:hAnsi="Arial"/>
          <w:sz w:val="19"/>
          <w:szCs w:val="19"/>
          <w:color w:val="auto"/>
        </w:rPr>
        <w:t>”) held by the Executive as of the Termination Date shall lapse as to the number of Restricted Shares as equals the number of 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26" w:lineRule="exact"/>
        <w:rPr>
          <w:rFonts w:ascii="Arial" w:cs="Arial" w:eastAsia="Arial" w:hAnsi="Arial"/>
          <w:sz w:val="19"/>
          <w:szCs w:val="19"/>
          <w:color w:val="auto"/>
        </w:rPr>
      </w:pPr>
    </w:p>
    <w:p>
      <w:pPr>
        <w:ind w:right="40" w:firstLine="1733"/>
        <w:spacing w:after="0" w:line="260" w:lineRule="auto"/>
        <w:tabs>
          <w:tab w:leader="none" w:pos="25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time period that Executive has to exercise any outstanding options to purchase the Company’s common stock that are held by Executive on the Termination Date shall be extended for a period equal to the shorter of (A) twelve (12) months or (B) the remaining term of the outstanding option.</w:t>
      </w:r>
    </w:p>
    <w:p>
      <w:pPr>
        <w:spacing w:after="0" w:line="112" w:lineRule="exact"/>
        <w:rPr>
          <w:sz w:val="20"/>
          <w:szCs w:val="20"/>
          <w:color w:val="auto"/>
        </w:rPr>
      </w:pPr>
    </w:p>
    <w:tbl>
      <w:tblPr>
        <w:tblLayout w:type="fixed"/>
        <w:tblInd w:w="860" w:type="dxa"/>
        <w:tblCellMar>
          <w:top w:w="0" w:type="dxa"/>
          <w:left w:w="0" w:type="dxa"/>
          <w:bottom w:w="0" w:type="dxa"/>
          <w:right w:w="0" w:type="dxa"/>
        </w:tblCellMar>
      </w:tblPr>
      <w:tr>
        <w:trPr>
          <w:trHeight w:val="252"/>
        </w:trPr>
        <w:tc>
          <w:tcPr>
            <w:tcW w:w="920" w:type="dxa"/>
            <w:vAlign w:val="bottom"/>
          </w:tcPr>
          <w:p>
            <w:pPr>
              <w:spacing w:after="0"/>
              <w:rPr>
                <w:sz w:val="21"/>
                <w:szCs w:val="21"/>
                <w:color w:val="auto"/>
              </w:rPr>
            </w:pPr>
          </w:p>
        </w:tc>
        <w:tc>
          <w:tcPr>
            <w:tcW w:w="9460" w:type="dxa"/>
            <w:vAlign w:val="bottom"/>
          </w:tcPr>
          <w:p>
            <w:pPr>
              <w:jc w:val="center"/>
              <w:ind w:right="1664"/>
              <w:spacing w:after="0"/>
              <w:rPr>
                <w:sz w:val="20"/>
                <w:szCs w:val="20"/>
                <w:color w:val="auto"/>
              </w:rPr>
            </w:pPr>
            <w:r>
              <w:rPr>
                <w:rFonts w:ascii="Arial" w:cs="Arial" w:eastAsia="Arial" w:hAnsi="Arial"/>
                <w:sz w:val="19"/>
                <w:szCs w:val="19"/>
                <w:b w:val="1"/>
                <w:bCs w:val="1"/>
                <w:color w:val="auto"/>
              </w:rPr>
              <w:t>ARTICLE 5</w:t>
            </w:r>
          </w:p>
        </w:tc>
      </w:tr>
      <w:tr>
        <w:trPr>
          <w:trHeight w:val="381"/>
        </w:trPr>
        <w:tc>
          <w:tcPr>
            <w:tcW w:w="920" w:type="dxa"/>
            <w:vAlign w:val="bottom"/>
          </w:tcPr>
          <w:p>
            <w:pPr>
              <w:spacing w:after="0"/>
              <w:rPr>
                <w:sz w:val="24"/>
                <w:szCs w:val="24"/>
                <w:color w:val="auto"/>
              </w:rPr>
            </w:pPr>
          </w:p>
        </w:tc>
        <w:tc>
          <w:tcPr>
            <w:tcW w:w="9460" w:type="dxa"/>
            <w:vAlign w:val="bottom"/>
          </w:tcPr>
          <w:p>
            <w:pPr>
              <w:jc w:val="center"/>
              <w:ind w:right="1684"/>
              <w:spacing w:after="0"/>
              <w:rPr>
                <w:sz w:val="20"/>
                <w:szCs w:val="20"/>
                <w:color w:val="auto"/>
              </w:rPr>
            </w:pPr>
            <w:r>
              <w:rPr>
                <w:rFonts w:ascii="Arial" w:cs="Arial" w:eastAsia="Arial" w:hAnsi="Arial"/>
                <w:sz w:val="19"/>
                <w:szCs w:val="19"/>
                <w:b w:val="1"/>
                <w:bCs w:val="1"/>
                <w:color w:val="auto"/>
              </w:rPr>
              <w:t>LIMITATIONS AND CONDITIONS ON BENEFITS</w:t>
            </w:r>
          </w:p>
        </w:tc>
      </w:tr>
      <w:tr>
        <w:trPr>
          <w:trHeight w:val="362"/>
        </w:trPr>
        <w:tc>
          <w:tcPr>
            <w:tcW w:w="920" w:type="dxa"/>
            <w:vAlign w:val="bottom"/>
          </w:tcPr>
          <w:p>
            <w:pPr>
              <w:jc w:val="right"/>
              <w:ind w:right="524"/>
              <w:spacing w:after="0"/>
              <w:rPr>
                <w:sz w:val="20"/>
                <w:szCs w:val="20"/>
                <w:color w:val="auto"/>
              </w:rPr>
            </w:pPr>
            <w:r>
              <w:rPr>
                <w:rFonts w:ascii="Arial" w:cs="Arial" w:eastAsia="Arial" w:hAnsi="Arial"/>
                <w:sz w:val="19"/>
                <w:szCs w:val="19"/>
                <w:b w:val="1"/>
                <w:bCs w:val="1"/>
                <w:color w:val="auto"/>
                <w:w w:val="88"/>
              </w:rPr>
              <w:t>5.1.</w:t>
            </w:r>
          </w:p>
        </w:tc>
        <w:tc>
          <w:tcPr>
            <w:tcW w:w="9460" w:type="dxa"/>
            <w:vAlign w:val="bottom"/>
          </w:tcPr>
          <w:p>
            <w:pPr>
              <w:ind w:left="640"/>
              <w:spacing w:after="0"/>
              <w:rPr>
                <w:sz w:val="20"/>
                <w:szCs w:val="20"/>
                <w:color w:val="auto"/>
              </w:rPr>
            </w:pPr>
            <w:r>
              <w:rPr>
                <w:rFonts w:ascii="Arial" w:cs="Arial" w:eastAsia="Arial" w:hAnsi="Arial"/>
                <w:sz w:val="19"/>
                <w:szCs w:val="19"/>
                <w:b w:val="1"/>
                <w:bCs w:val="1"/>
                <w:color w:val="auto"/>
                <w:w w:val="94"/>
              </w:rPr>
              <w:t>Rights Conditioned on Compliance</w:t>
            </w:r>
            <w:r>
              <w:rPr>
                <w:rFonts w:ascii="Arial" w:cs="Arial" w:eastAsia="Arial" w:hAnsi="Arial"/>
                <w:sz w:val="19"/>
                <w:szCs w:val="19"/>
                <w:color w:val="auto"/>
                <w:w w:val="94"/>
              </w:rPr>
              <w:t>. Executive’s rights to receive all severance benefits described in Article 3</w:t>
            </w:r>
          </w:p>
        </w:tc>
      </w:tr>
    </w:tbl>
    <w:p>
      <w:pPr>
        <w:jc w:val="both"/>
        <w:spacing w:after="0" w:line="257" w:lineRule="auto"/>
        <w:rPr>
          <w:sz w:val="20"/>
          <w:szCs w:val="20"/>
          <w:color w:val="auto"/>
        </w:rPr>
      </w:pPr>
      <w:r>
        <w:rPr>
          <w:rFonts w:ascii="Arial" w:cs="Arial" w:eastAsia="Arial" w:hAnsi="Arial"/>
          <w:sz w:val="19"/>
          <w:szCs w:val="19"/>
          <w:color w:val="auto"/>
        </w:rPr>
        <w:t>and Article 4 shall be conditioned upon and subject to Executive’s compliance with the limitations and conditions on benefits as described in this Article 5.</w:t>
      </w:r>
    </w:p>
    <w:p>
      <w:pPr>
        <w:spacing w:after="0" w:line="115"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9"/>
          <w:szCs w:val="19"/>
          <w:b w:val="1"/>
          <w:bCs w:val="1"/>
          <w:color w:val="auto"/>
        </w:rPr>
        <w:t>5.2. Continuation of Service Until Date of Termination</w:t>
      </w:r>
      <w:r>
        <w:rPr>
          <w:rFonts w:ascii="Arial" w:cs="Arial" w:eastAsia="Arial" w:hAnsi="Arial"/>
          <w:sz w:val="19"/>
          <w:szCs w:val="19"/>
          <w:color w:val="auto"/>
        </w:rPr>
        <w:t>. Executive shall continue to provide service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in good faith until the Termination Date, unless such performance is otherwise excused in writing by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99" w:right="339" w:bottom="1440" w:gutter="0" w:footer="0" w:header="0"/>
        </w:sectPr>
      </w:pPr>
    </w:p>
    <w:bookmarkStart w:id="122" w:name="page123"/>
    <w:bookmarkEnd w:id="122"/>
    <w:p>
      <w:pPr>
        <w:ind w:firstLine="864"/>
        <w:spacing w:after="0" w:line="262" w:lineRule="auto"/>
        <w:rPr>
          <w:sz w:val="20"/>
          <w:szCs w:val="20"/>
          <w:color w:val="auto"/>
        </w:rPr>
      </w:pPr>
      <w:r>
        <w:rPr>
          <w:rFonts w:ascii="Arial" w:cs="Arial" w:eastAsia="Arial" w:hAnsi="Arial"/>
          <w:sz w:val="18"/>
          <w:szCs w:val="18"/>
          <w:b w:val="1"/>
          <w:bCs w:val="1"/>
          <w:color w:val="auto"/>
        </w:rPr>
        <w:t>5.3. Release Prior to Payment of Benefits</w:t>
      </w:r>
      <w:r>
        <w:rPr>
          <w:rFonts w:ascii="Arial" w:cs="Arial" w:eastAsia="Arial" w:hAnsi="Arial"/>
          <w:sz w:val="18"/>
          <w:szCs w:val="18"/>
          <w:color w:val="auto"/>
        </w:rPr>
        <w:t>. Upon the occurrence of a Change in Control Termination or a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115"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b w:val="1"/>
          <w:bCs w:val="1"/>
          <w:color w:val="auto"/>
        </w:rPr>
        <w:t>5.4. Return of Company Property</w:t>
      </w:r>
      <w:r>
        <w:rPr>
          <w:rFonts w:ascii="Arial" w:cs="Arial" w:eastAsia="Arial" w:hAnsi="Arial"/>
          <w:sz w:val="18"/>
          <w:szCs w:val="18"/>
          <w:color w:val="auto"/>
        </w:rPr>
        <w:t>. Not later than the Termination Date, Executive shall return to the Company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 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114"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7"/>
          <w:szCs w:val="17"/>
          <w:b w:val="1"/>
          <w:bCs w:val="1"/>
          <w:color w:val="auto"/>
        </w:rPr>
        <w:t>Cooperation and Continued Compliance with Restrictive Covenants</w:t>
      </w:r>
      <w:r>
        <w:rPr>
          <w:rFonts w:ascii="Arial" w:cs="Arial" w:eastAsia="Arial" w:hAnsi="Arial"/>
          <w:sz w:val="17"/>
          <w:szCs w:val="17"/>
          <w:color w:val="auto"/>
        </w:rPr>
        <w:t>.</w:t>
      </w:r>
    </w:p>
    <w:p>
      <w:pPr>
        <w:spacing w:after="0" w:line="156" w:lineRule="exact"/>
        <w:rPr>
          <w:sz w:val="20"/>
          <w:szCs w:val="20"/>
          <w:color w:val="auto"/>
        </w:rPr>
      </w:pPr>
    </w:p>
    <w:p>
      <w:pPr>
        <w:ind w:right="20" w:firstLine="1733"/>
        <w:spacing w:after="0" w:line="255" w:lineRule="auto"/>
        <w:tabs>
          <w:tab w:leader="none" w:pos="25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498" w:right="359" w:bottom="1440" w:gutter="0" w:footer="0" w:header="0"/>
        </w:sectPr>
      </w:pPr>
    </w:p>
    <w:bookmarkStart w:id="123" w:name="page124"/>
    <w:bookmarkEnd w:id="123"/>
    <w:p>
      <w:pPr>
        <w:spacing w:after="0" w:line="265" w:lineRule="auto"/>
        <w:rPr>
          <w:sz w:val="20"/>
          <w:szCs w:val="20"/>
          <w:color w:val="auto"/>
        </w:rPr>
      </w:pPr>
      <w:r>
        <w:rPr>
          <w:rFonts w:ascii="Arial" w:cs="Arial" w:eastAsia="Arial" w:hAnsi="Arial"/>
          <w:sz w:val="18"/>
          <w:szCs w:val="18"/>
          <w:color w:val="auto"/>
        </w:rPr>
        <w:t>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17" w:lineRule="exact"/>
        <w:rPr>
          <w:sz w:val="20"/>
          <w:szCs w:val="20"/>
          <w:color w:val="auto"/>
        </w:rPr>
      </w:pPr>
    </w:p>
    <w:p>
      <w:pPr>
        <w:ind w:right="140" w:firstLine="1733"/>
        <w:spacing w:after="0" w:line="303" w:lineRule="auto"/>
        <w:tabs>
          <w:tab w:leader="none" w:pos="25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From and after the Termination Date, Executive shall continue to abide by all of the terms and provisions of the Confidentiality Agreement (and any other comparable agreement signed by Executive), in accordance with its terms.</w:t>
      </w:r>
    </w:p>
    <w:p>
      <w:pPr>
        <w:spacing w:after="0" w:line="81" w:lineRule="exact"/>
        <w:rPr>
          <w:rFonts w:ascii="Arial" w:cs="Arial" w:eastAsia="Arial" w:hAnsi="Arial"/>
          <w:sz w:val="18"/>
          <w:szCs w:val="18"/>
          <w:color w:val="auto"/>
        </w:rPr>
      </w:pPr>
    </w:p>
    <w:p>
      <w:pPr>
        <w:ind w:left="2520" w:hanging="787"/>
        <w:spacing w:after="0"/>
        <w:tabs>
          <w:tab w:leader="none" w:pos="25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Executive agrees that the choice of law and choice of forum provisions in Section</w:t>
      </w:r>
    </w:p>
    <w:p>
      <w:pPr>
        <w:spacing w:after="0" w:line="21" w:lineRule="exact"/>
        <w:rPr>
          <w:sz w:val="20"/>
          <w:szCs w:val="20"/>
          <w:color w:val="auto"/>
        </w:rPr>
      </w:pPr>
    </w:p>
    <w:p>
      <w:pPr>
        <w:jc w:val="both"/>
        <w:ind w:right="80"/>
        <w:spacing w:after="0" w:line="251" w:lineRule="auto"/>
        <w:rPr>
          <w:sz w:val="20"/>
          <w:szCs w:val="20"/>
          <w:color w:val="auto"/>
        </w:rPr>
      </w:pPr>
      <w:r>
        <w:rPr>
          <w:rFonts w:ascii="Arial" w:cs="Arial" w:eastAsia="Arial" w:hAnsi="Arial"/>
          <w:sz w:val="19"/>
          <w:szCs w:val="19"/>
          <w:color w:val="auto"/>
        </w:rPr>
        <w:t>10.10 of the Confidentiality Agreement shall be amended to conform to the choice of law and choice of forum provisions in Section 8.11 of this Agreement. No other terms of the Confidentiality Agreement are amended by this Agreement, and the Confidentiality Agreement remains in full force and effect.</w:t>
      </w:r>
    </w:p>
    <w:p>
      <w:pPr>
        <w:spacing w:after="0" w:line="100" w:lineRule="exact"/>
        <w:rPr>
          <w:sz w:val="20"/>
          <w:szCs w:val="20"/>
          <w:color w:val="auto"/>
        </w:rPr>
      </w:pPr>
    </w:p>
    <w:p>
      <w:pPr>
        <w:ind w:right="100" w:firstLine="1733"/>
        <w:spacing w:after="0" w:line="283" w:lineRule="auto"/>
        <w:tabs>
          <w:tab w:leader="none" w:pos="2519"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Executive acknowledges and agrees that Executive’s obligations under this Section 5.5 are an 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82"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9"/>
          <w:szCs w:val="19"/>
          <w:b w:val="1"/>
          <w:bCs w:val="1"/>
          <w:color w:val="auto"/>
        </w:rPr>
        <w:t>5.6.</w:t>
      </w:r>
      <w:r>
        <w:rPr>
          <w:sz w:val="20"/>
          <w:szCs w:val="20"/>
          <w:color w:val="auto"/>
        </w:rPr>
        <w:tab/>
      </w:r>
      <w:r>
        <w:rPr>
          <w:rFonts w:ascii="Arial" w:cs="Arial" w:eastAsia="Arial" w:hAnsi="Arial"/>
          <w:sz w:val="17"/>
          <w:szCs w:val="17"/>
          <w:b w:val="1"/>
          <w:bCs w:val="1"/>
          <w:color w:val="auto"/>
        </w:rPr>
        <w:t>Parachute Payments</w:t>
      </w:r>
      <w:r>
        <w:rPr>
          <w:rFonts w:ascii="Arial" w:cs="Arial" w:eastAsia="Arial" w:hAnsi="Arial"/>
          <w:sz w:val="17"/>
          <w:szCs w:val="17"/>
          <w:color w:val="auto"/>
        </w:rPr>
        <w:t>.</w:t>
      </w:r>
    </w:p>
    <w:p>
      <w:pPr>
        <w:spacing w:after="0" w:line="163" w:lineRule="exact"/>
        <w:rPr>
          <w:sz w:val="20"/>
          <w:szCs w:val="20"/>
          <w:color w:val="auto"/>
        </w:rPr>
      </w:pPr>
    </w:p>
    <w:p>
      <w:pPr>
        <w:ind w:right="20" w:firstLine="1733"/>
        <w:spacing w:after="0" w:line="263" w:lineRule="auto"/>
        <w:tabs>
          <w:tab w:leader="none" w:pos="2509"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Parachute Payment Limitation</w:t>
      </w:r>
      <w:r>
        <w:rPr>
          <w:rFonts w:ascii="Arial" w:cs="Arial" w:eastAsia="Arial" w:hAnsi="Arial"/>
          <w:sz w:val="18"/>
          <w:szCs w:val="18"/>
          <w:color w:val="auto"/>
        </w:rPr>
        <w:t>. If any payment or benefit (including payments and benefits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would receive in connection with a Change in Control from the Company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paragraph,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Arial" w:cs="Arial" w:eastAsia="Arial" w:hAnsi="Arial"/>
          <w:sz w:val="18"/>
          <w:szCs w:val="18"/>
          <w:b w:val="1"/>
          <w:bCs w:val="1"/>
          <w:i w:val="1"/>
          <w:iCs w:val="1"/>
          <w:color w:val="auto"/>
        </w:rPr>
        <w:t>Full Payment</w:t>
      </w:r>
      <w:r>
        <w:rPr>
          <w:rFonts w:ascii="Arial" w:cs="Arial" w:eastAsia="Arial" w:hAnsi="Arial"/>
          <w:sz w:val="18"/>
          <w:szCs w:val="18"/>
          <w:color w:val="auto"/>
        </w:rPr>
        <w:t>”), or (B) payment of only a part of the Payment so that Executive receives the largest payment possible without the imposition of the Excise Tax (a “</w:t>
      </w:r>
      <w:r>
        <w:rPr>
          <w:rFonts w:ascii="Arial" w:cs="Arial" w:eastAsia="Arial" w:hAnsi="Arial"/>
          <w:sz w:val="18"/>
          <w:szCs w:val="18"/>
          <w:b w:val="1"/>
          <w:bCs w:val="1"/>
          <w:i w:val="1"/>
          <w:iCs w:val="1"/>
          <w:color w:val="auto"/>
        </w:rPr>
        <w:t>Reduced Payment</w:t>
      </w:r>
      <w:r>
        <w:rPr>
          <w:rFonts w:ascii="Arial" w:cs="Arial" w:eastAsia="Arial" w:hAnsi="Arial"/>
          <w:sz w:val="18"/>
          <w:szCs w:val="18"/>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Executive’s equity awards is to be reduced, such acceleration of vesting shall be canceled in the reverse order of the date of grant.</w:t>
      </w:r>
    </w:p>
    <w:p>
      <w:pPr>
        <w:spacing w:after="0" w:line="163" w:lineRule="exact"/>
        <w:rPr>
          <w:sz w:val="20"/>
          <w:szCs w:val="20"/>
          <w:color w:val="auto"/>
        </w:rPr>
      </w:pPr>
    </w:p>
    <w:p>
      <w:pPr>
        <w:ind w:firstLine="1733"/>
        <w:spacing w:after="0" w:line="251" w:lineRule="auto"/>
        <w:tabs>
          <w:tab w:leader="none" w:pos="251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27" w:lineRule="exact"/>
        <w:rPr>
          <w:rFonts w:ascii="Arial" w:cs="Arial" w:eastAsia="Arial" w:hAnsi="Arial"/>
          <w:sz w:val="19"/>
          <w:szCs w:val="19"/>
          <w:color w:val="auto"/>
        </w:rPr>
      </w:pPr>
    </w:p>
    <w:p>
      <w:pPr>
        <w:ind w:right="100" w:firstLine="1733"/>
        <w:spacing w:after="0" w:line="266" w:lineRule="auto"/>
        <w:tabs>
          <w:tab w:leader="none" w:pos="25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independent registered public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97" w:lineRule="exact"/>
        <w:rPr>
          <w:sz w:val="20"/>
          <w:szCs w:val="20"/>
          <w:color w:val="auto"/>
        </w:rPr>
      </w:pPr>
    </w:p>
    <w:p>
      <w:pPr>
        <w:ind w:right="40" w:firstLine="864"/>
        <w:spacing w:after="0" w:line="251" w:lineRule="auto"/>
        <w:rPr>
          <w:sz w:val="20"/>
          <w:szCs w:val="20"/>
          <w:color w:val="auto"/>
        </w:rPr>
      </w:pPr>
      <w:r>
        <w:rPr>
          <w:rFonts w:ascii="Arial" w:cs="Arial" w:eastAsia="Arial" w:hAnsi="Arial"/>
          <w:sz w:val="19"/>
          <w:szCs w:val="19"/>
          <w:b w:val="1"/>
          <w:bCs w:val="1"/>
          <w:color w:val="auto"/>
        </w:rPr>
        <w:t>5.7. Certain Reductions and Offsets</w:t>
      </w:r>
      <w:r>
        <w:rPr>
          <w:rFonts w:ascii="Arial" w:cs="Arial" w:eastAsia="Arial" w:hAnsi="Arial"/>
          <w:sz w:val="19"/>
          <w:szCs w:val="19"/>
          <w:color w:val="auto"/>
        </w:rPr>
        <w:t>. To the extent that any federal, state or local laws, including, without limitation,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Worker Adjustment and Retraining Notification Act or any other so- 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22" w:lineRule="exact"/>
        <w:rPr>
          <w:sz w:val="20"/>
          <w:szCs w:val="20"/>
          <w:color w:val="auto"/>
        </w:rPr>
      </w:pPr>
    </w:p>
    <w:p>
      <w:pPr>
        <w:ind w:firstLine="864"/>
        <w:spacing w:after="0" w:line="254" w:lineRule="auto"/>
        <w:rPr>
          <w:sz w:val="20"/>
          <w:szCs w:val="20"/>
          <w:color w:val="auto"/>
        </w:rPr>
      </w:pPr>
      <w:r>
        <w:rPr>
          <w:rFonts w:ascii="Arial" w:cs="Arial" w:eastAsia="Arial" w:hAnsi="Arial"/>
          <w:sz w:val="19"/>
          <w:szCs w:val="19"/>
          <w:b w:val="1"/>
          <w:bCs w:val="1"/>
          <w:color w:val="auto"/>
        </w:rPr>
        <w:t>5.8. Mitigation</w:t>
      </w:r>
      <w:r>
        <w:rPr>
          <w:rFonts w:ascii="Arial" w:cs="Arial" w:eastAsia="Arial" w:hAnsi="Arial"/>
          <w:sz w:val="19"/>
          <w:szCs w:val="19"/>
          <w:color w:val="auto"/>
        </w:rPr>
        <w:t>. Except as otherwise specifically provided herein, Executive shall not be required to mitigate damages</w:t>
      </w:r>
      <w:r>
        <w:rPr>
          <w:rFonts w:ascii="Arial" w:cs="Arial" w:eastAsia="Arial" w:hAnsi="Arial"/>
          <w:sz w:val="19"/>
          <w:szCs w:val="19"/>
          <w:b w:val="1"/>
          <w:bCs w:val="1"/>
          <w:color w:val="auto"/>
        </w:rPr>
        <w:t xml:space="preserve"> </w:t>
      </w:r>
      <w:r>
        <w:rPr>
          <w:rFonts w:ascii="Arial" w:cs="Arial" w:eastAsia="Arial" w:hAnsi="Arial"/>
          <w:sz w:val="19"/>
          <w:szCs w:val="19"/>
          <w:color w:val="auto"/>
        </w:rPr>
        <w:t>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224"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9"/>
          <w:szCs w:val="19"/>
          <w:b w:val="1"/>
          <w:bCs w:val="1"/>
          <w:color w:val="auto"/>
        </w:rPr>
        <w:t>5.9. Indebtedness of Executive</w:t>
      </w:r>
      <w:r>
        <w:rPr>
          <w:rFonts w:ascii="Arial" w:cs="Arial" w:eastAsia="Arial" w:hAnsi="Arial"/>
          <w:sz w:val="19"/>
          <w:szCs w:val="19"/>
          <w:color w:val="auto"/>
        </w:rPr>
        <w:t>. If Executive is indebted to the Company on the effective date of a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or Covered Termination, the Company reserves the right to offset any severance payments and benefits under this Agreement by the amount of such indebtedness.</w:t>
      </w:r>
    </w:p>
    <w:p>
      <w:pPr>
        <w:spacing w:after="0" w:line="83" w:lineRule="exact"/>
        <w:rPr>
          <w:sz w:val="20"/>
          <w:szCs w:val="20"/>
          <w:color w:val="auto"/>
        </w:rPr>
      </w:pPr>
    </w:p>
    <w:p>
      <w:pPr>
        <w:ind w:left="860"/>
        <w:spacing w:after="0"/>
        <w:tabs>
          <w:tab w:leader="none" w:pos="2500" w:val="left"/>
        </w:tabs>
        <w:rPr>
          <w:sz w:val="20"/>
          <w:szCs w:val="20"/>
          <w:color w:val="auto"/>
        </w:rPr>
      </w:pPr>
      <w:r>
        <w:rPr>
          <w:rFonts w:ascii="Arial" w:cs="Arial" w:eastAsia="Arial" w:hAnsi="Arial"/>
          <w:sz w:val="19"/>
          <w:szCs w:val="19"/>
          <w:b w:val="1"/>
          <w:bCs w:val="1"/>
          <w:color w:val="auto"/>
        </w:rPr>
        <w:t>5.10.</w:t>
      </w:r>
      <w:r>
        <w:rPr>
          <w:sz w:val="20"/>
          <w:szCs w:val="20"/>
          <w:color w:val="auto"/>
        </w:rPr>
        <w:tab/>
      </w:r>
      <w:r>
        <w:rPr>
          <w:rFonts w:ascii="Arial" w:cs="Arial" w:eastAsia="Arial" w:hAnsi="Arial"/>
          <w:sz w:val="17"/>
          <w:szCs w:val="17"/>
          <w:b w:val="1"/>
          <w:bCs w:val="1"/>
          <w:color w:val="auto"/>
        </w:rPr>
        <w:t>Application of Section 409A</w:t>
      </w:r>
      <w:r>
        <w:rPr>
          <w:rFonts w:ascii="Arial" w:cs="Arial" w:eastAsia="Arial" w:hAnsi="Arial"/>
          <w:sz w:val="17"/>
          <w:szCs w:val="17"/>
          <w:color w:val="auto"/>
        </w:rPr>
        <w:t>.</w:t>
      </w:r>
    </w:p>
    <w:p>
      <w:pPr>
        <w:spacing w:after="0" w:line="163" w:lineRule="exact"/>
        <w:rPr>
          <w:sz w:val="20"/>
          <w:szCs w:val="20"/>
          <w:color w:val="auto"/>
        </w:rPr>
      </w:pPr>
    </w:p>
    <w:p>
      <w:pPr>
        <w:jc w:val="both"/>
        <w:ind w:right="60" w:firstLine="1733"/>
        <w:spacing w:after="0" w:line="254" w:lineRule="auto"/>
        <w:tabs>
          <w:tab w:leader="none" w:pos="2509"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Separation from Service</w:t>
      </w:r>
      <w:r>
        <w:rPr>
          <w:rFonts w:ascii="Arial" w:cs="Arial" w:eastAsia="Arial" w:hAnsi="Arial"/>
          <w:sz w:val="19"/>
          <w:szCs w:val="19"/>
          <w:color w:val="auto"/>
        </w:rPr>
        <w:t>. Notwithstanding any provision to the contrary in this Agreement, no amount deemed</w:t>
      </w:r>
      <w:r>
        <w:rPr>
          <w:rFonts w:ascii="Arial" w:cs="Arial" w:eastAsia="Arial" w:hAnsi="Arial"/>
          <w:sz w:val="19"/>
          <w:szCs w:val="19"/>
          <w:b w:val="1"/>
          <w:bCs w:val="1"/>
          <w:color w:val="auto"/>
        </w:rPr>
        <w:t xml:space="preserve"> </w:t>
      </w:r>
      <w:r>
        <w:rPr>
          <w:rFonts w:ascii="Arial" w:cs="Arial" w:eastAsia="Arial" w:hAnsi="Arial"/>
          <w:sz w:val="19"/>
          <w:szCs w:val="19"/>
          <w:color w:val="auto"/>
        </w:rPr>
        <w:t>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25" w:name="page126"/>
    <w:bookmarkEnd w:id="125"/>
    <w:p>
      <w:pPr>
        <w:ind w:right="160"/>
        <w:spacing w:after="0" w:line="294" w:lineRule="auto"/>
        <w:rPr>
          <w:sz w:val="20"/>
          <w:szCs w:val="20"/>
          <w:color w:val="auto"/>
        </w:rPr>
      </w:pPr>
      <w:r>
        <w:rPr>
          <w:rFonts w:ascii="Arial" w:cs="Arial" w:eastAsia="Arial" w:hAnsi="Arial"/>
          <w:sz w:val="17"/>
          <w:szCs w:val="17"/>
          <w:color w:val="auto"/>
        </w:rPr>
        <w:t>payment, until the first regularly-scheduled payroll date occurring on or after the sixtieth (60</w:t>
      </w:r>
      <w:r>
        <w:rPr>
          <w:rFonts w:ascii="Arial" w:cs="Arial" w:eastAsia="Arial" w:hAnsi="Arial"/>
          <w:sz w:val="14"/>
          <w:szCs w:val="14"/>
          <w:color w:val="auto"/>
        </w:rPr>
        <w:t>th</w:t>
      </w:r>
      <w:r>
        <w:rPr>
          <w:rFonts w:ascii="Arial" w:cs="Arial" w:eastAsia="Arial" w:hAnsi="Arial"/>
          <w:sz w:val="17"/>
          <w:szCs w:val="17"/>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4"/>
          <w:szCs w:val="14"/>
          <w:color w:val="auto"/>
        </w:rPr>
        <w:t>th</w:t>
      </w:r>
      <w:r>
        <w:rPr>
          <w:rFonts w:ascii="Arial" w:cs="Arial" w:eastAsia="Arial" w:hAnsi="Arial"/>
          <w:sz w:val="17"/>
          <w:szCs w:val="17"/>
          <w:color w:val="auto"/>
        </w:rPr>
        <w:t>) day after Executive’s separation from service and the remaining payments shall be made as provided in this Agreement.</w:t>
      </w:r>
    </w:p>
    <w:p>
      <w:pPr>
        <w:spacing w:after="0" w:line="88" w:lineRule="exact"/>
        <w:rPr>
          <w:sz w:val="20"/>
          <w:szCs w:val="20"/>
          <w:color w:val="auto"/>
        </w:rPr>
      </w:pPr>
    </w:p>
    <w:p>
      <w:pPr>
        <w:ind w:right="60" w:firstLine="1733"/>
        <w:spacing w:after="0" w:line="278" w:lineRule="auto"/>
        <w:tabs>
          <w:tab w:leader="none" w:pos="2519"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Specified Executive</w:t>
      </w:r>
      <w:r>
        <w:rPr>
          <w:rFonts w:ascii="Arial" w:cs="Arial" w:eastAsia="Arial" w:hAnsi="Arial"/>
          <w:sz w:val="17"/>
          <w:szCs w:val="17"/>
          <w:color w:val="auto"/>
        </w:rPr>
        <w:t>. Notwithstanding any provision to the contrary in this Agreement, if Executive is deemed</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w:t>
      </w:r>
    </w:p>
    <w:p>
      <w:pPr>
        <w:spacing w:after="0" w:line="1" w:lineRule="exact"/>
        <w:rPr>
          <w:rFonts w:ascii="Arial" w:cs="Arial" w:eastAsia="Arial" w:hAnsi="Arial"/>
          <w:sz w:val="17"/>
          <w:szCs w:val="17"/>
          <w:color w:val="auto"/>
        </w:rPr>
      </w:pPr>
    </w:p>
    <w:p>
      <w:pPr>
        <w:ind w:right="360"/>
        <w:spacing w:after="0" w:line="257" w:lineRule="auto"/>
        <w:rPr>
          <w:rFonts w:ascii="Arial" w:cs="Arial" w:eastAsia="Arial" w:hAnsi="Arial"/>
          <w:sz w:val="17"/>
          <w:szCs w:val="17"/>
          <w:color w:val="auto"/>
        </w:rPr>
      </w:pPr>
      <w:r>
        <w:rPr>
          <w:rFonts w:ascii="Arial" w:cs="Arial" w:eastAsia="Arial" w:hAnsi="Arial"/>
          <w:sz w:val="19"/>
          <w:szCs w:val="19"/>
          <w:color w:val="auto"/>
        </w:rPr>
        <w:t>5.10(b) shall be paid in a lump sum to Executive, and any remaining payments due under this Agreement shall be paid as otherwise provided herein.</w:t>
      </w:r>
    </w:p>
    <w:p>
      <w:pPr>
        <w:spacing w:after="0" w:line="101" w:lineRule="exact"/>
        <w:rPr>
          <w:rFonts w:ascii="Arial" w:cs="Arial" w:eastAsia="Arial" w:hAnsi="Arial"/>
          <w:sz w:val="17"/>
          <w:szCs w:val="17"/>
          <w:color w:val="auto"/>
        </w:rPr>
      </w:pPr>
    </w:p>
    <w:p>
      <w:pPr>
        <w:ind w:firstLine="1733"/>
        <w:spacing w:after="0" w:line="254" w:lineRule="auto"/>
        <w:tabs>
          <w:tab w:leader="none" w:pos="2509" w:val="left"/>
        </w:tabs>
        <w:numPr>
          <w:ilvl w:val="0"/>
          <w:numId w:val="65"/>
        </w:numPr>
        <w:rPr>
          <w:rFonts w:ascii="Arial" w:cs="Arial" w:eastAsia="Arial" w:hAnsi="Arial"/>
          <w:sz w:val="19"/>
          <w:szCs w:val="19"/>
          <w:color w:val="auto"/>
        </w:rPr>
      </w:pPr>
      <w:r>
        <w:rPr>
          <w:rFonts w:ascii="Arial" w:cs="Arial" w:eastAsia="Arial" w:hAnsi="Arial"/>
          <w:sz w:val="19"/>
          <w:szCs w:val="19"/>
          <w:b w:val="1"/>
          <w:bCs w:val="1"/>
          <w:color w:val="auto"/>
        </w:rPr>
        <w:t>Expense Reimbursements</w:t>
      </w:r>
      <w:r>
        <w:rPr>
          <w:rFonts w:ascii="Arial" w:cs="Arial" w:eastAsia="Arial" w:hAnsi="Arial"/>
          <w:sz w:val="19"/>
          <w:szCs w:val="19"/>
          <w:color w:val="auto"/>
        </w:rPr>
        <w:t>. To the extent that any reimbursement payable pursuant to this Agreement is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18" w:lineRule="exact"/>
        <w:rPr>
          <w:rFonts w:ascii="Arial" w:cs="Arial" w:eastAsia="Arial" w:hAnsi="Arial"/>
          <w:sz w:val="19"/>
          <w:szCs w:val="19"/>
          <w:color w:val="auto"/>
        </w:rPr>
      </w:pPr>
    </w:p>
    <w:p>
      <w:pPr>
        <w:jc w:val="both"/>
        <w:ind w:right="40" w:firstLine="1733"/>
        <w:spacing w:after="0" w:line="257" w:lineRule="auto"/>
        <w:tabs>
          <w:tab w:leader="none" w:pos="2519" w:val="left"/>
        </w:tabs>
        <w:numPr>
          <w:ilvl w:val="0"/>
          <w:numId w:val="65"/>
        </w:numPr>
        <w:rPr>
          <w:rFonts w:ascii="Arial" w:cs="Arial" w:eastAsia="Arial" w:hAnsi="Arial"/>
          <w:sz w:val="19"/>
          <w:szCs w:val="19"/>
          <w:color w:val="auto"/>
        </w:rPr>
      </w:pPr>
      <w:r>
        <w:rPr>
          <w:rFonts w:ascii="Arial" w:cs="Arial" w:eastAsia="Arial" w:hAnsi="Arial"/>
          <w:sz w:val="19"/>
          <w:szCs w:val="19"/>
          <w:b w:val="1"/>
          <w:bCs w:val="1"/>
          <w:color w:val="auto"/>
        </w:rPr>
        <w:t>Installments</w:t>
      </w:r>
      <w:r>
        <w:rPr>
          <w:rFonts w:ascii="Arial" w:cs="Arial" w:eastAsia="Arial" w:hAnsi="Arial"/>
          <w:sz w:val="19"/>
          <w:szCs w:val="19"/>
          <w:color w:val="auto"/>
        </w:rPr>
        <w:t>. For purposes of Section 409A of the Code (including, without limitation, for purposes of Treasury</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80" w:type="dxa"/>
            <w:vAlign w:val="bottom"/>
          </w:tcPr>
          <w:p>
            <w:pPr>
              <w:ind w:left="860"/>
              <w:spacing w:after="0"/>
              <w:rPr>
                <w:sz w:val="20"/>
                <w:szCs w:val="20"/>
                <w:color w:val="auto"/>
              </w:rPr>
            </w:pPr>
            <w:r>
              <w:rPr>
                <w:rFonts w:ascii="Arial" w:cs="Arial" w:eastAsia="Arial" w:hAnsi="Arial"/>
                <w:sz w:val="19"/>
                <w:szCs w:val="19"/>
                <w:b w:val="1"/>
                <w:bCs w:val="1"/>
                <w:color w:val="auto"/>
              </w:rPr>
              <w:t>5.11.</w:t>
            </w:r>
          </w:p>
        </w:tc>
        <w:tc>
          <w:tcPr>
            <w:tcW w:w="9320" w:type="dxa"/>
            <w:vAlign w:val="bottom"/>
          </w:tcPr>
          <w:p>
            <w:pPr>
              <w:ind w:left="620"/>
              <w:spacing w:after="0"/>
              <w:rPr>
                <w:sz w:val="20"/>
                <w:szCs w:val="20"/>
                <w:color w:val="auto"/>
              </w:rPr>
            </w:pPr>
            <w:r>
              <w:rPr>
                <w:rFonts w:ascii="Arial" w:cs="Arial" w:eastAsia="Arial" w:hAnsi="Arial"/>
                <w:sz w:val="19"/>
                <w:szCs w:val="19"/>
                <w:b w:val="1"/>
                <w:bCs w:val="1"/>
                <w:color w:val="auto"/>
                <w:w w:val="96"/>
              </w:rPr>
              <w:t>Tax Withholding</w:t>
            </w:r>
            <w:r>
              <w:rPr>
                <w:rFonts w:ascii="Arial" w:cs="Arial" w:eastAsia="Arial" w:hAnsi="Arial"/>
                <w:sz w:val="19"/>
                <w:szCs w:val="19"/>
                <w:color w:val="auto"/>
                <w:w w:val="96"/>
              </w:rPr>
              <w:t>. All payments under this Agreement shall be subject to applicable withholding for federal,</w:t>
            </w:r>
          </w:p>
        </w:tc>
      </w:tr>
      <w:tr>
        <w:trPr>
          <w:trHeight w:val="246"/>
        </w:trPr>
        <w:tc>
          <w:tcPr>
            <w:tcW w:w="11200" w:type="dxa"/>
            <w:vAlign w:val="bottom"/>
            <w:gridSpan w:val="2"/>
          </w:tcPr>
          <w:p>
            <w:pPr>
              <w:spacing w:after="0"/>
              <w:rPr>
                <w:sz w:val="20"/>
                <w:szCs w:val="20"/>
                <w:color w:val="auto"/>
              </w:rPr>
            </w:pPr>
            <w:r>
              <w:rPr>
                <w:rFonts w:ascii="Arial" w:cs="Arial" w:eastAsia="Arial" w:hAnsi="Arial"/>
                <w:sz w:val="19"/>
                <w:szCs w:val="19"/>
                <w:color w:val="auto"/>
              </w:rPr>
              <w:t>state and local income and employment taxes.</w:t>
            </w:r>
          </w:p>
        </w:tc>
      </w:tr>
      <w:tr>
        <w:trPr>
          <w:trHeight w:val="375"/>
        </w:trPr>
        <w:tc>
          <w:tcPr>
            <w:tcW w:w="1880" w:type="dxa"/>
            <w:vAlign w:val="bottom"/>
          </w:tcPr>
          <w:p>
            <w:pPr>
              <w:ind w:left="860"/>
              <w:spacing w:after="0"/>
              <w:rPr>
                <w:sz w:val="20"/>
                <w:szCs w:val="20"/>
                <w:color w:val="auto"/>
              </w:rPr>
            </w:pPr>
            <w:r>
              <w:rPr>
                <w:rFonts w:ascii="Arial" w:cs="Arial" w:eastAsia="Arial" w:hAnsi="Arial"/>
                <w:sz w:val="19"/>
                <w:szCs w:val="19"/>
                <w:b w:val="1"/>
                <w:bCs w:val="1"/>
                <w:color w:val="auto"/>
              </w:rPr>
              <w:t>5.12.</w:t>
            </w:r>
          </w:p>
        </w:tc>
        <w:tc>
          <w:tcPr>
            <w:tcW w:w="9320" w:type="dxa"/>
            <w:vAlign w:val="bottom"/>
          </w:tcPr>
          <w:p>
            <w:pPr>
              <w:ind w:left="640"/>
              <w:spacing w:after="0"/>
              <w:rPr>
                <w:sz w:val="20"/>
                <w:szCs w:val="20"/>
                <w:color w:val="auto"/>
              </w:rPr>
            </w:pPr>
            <w:r>
              <w:rPr>
                <w:rFonts w:ascii="Arial" w:cs="Arial" w:eastAsia="Arial" w:hAnsi="Arial"/>
                <w:sz w:val="19"/>
                <w:szCs w:val="19"/>
                <w:b w:val="1"/>
                <w:bCs w:val="1"/>
                <w:color w:val="auto"/>
                <w:w w:val="91"/>
              </w:rPr>
              <w:t xml:space="preserve">No Duplication of Severance Benefits. </w:t>
            </w:r>
            <w:r>
              <w:rPr>
                <w:rFonts w:ascii="Arial" w:cs="Arial" w:eastAsia="Arial" w:hAnsi="Arial"/>
                <w:sz w:val="19"/>
                <w:szCs w:val="19"/>
                <w:color w:val="auto"/>
                <w:w w:val="91"/>
              </w:rPr>
              <w:t>The severance and other benefits provided in Article 3 and Article 4 are</w:t>
            </w:r>
          </w:p>
        </w:tc>
      </w:tr>
    </w:tbl>
    <w:p>
      <w:pPr>
        <w:jc w:val="center"/>
        <w:ind w:right="80"/>
        <w:spacing w:after="0"/>
        <w:rPr>
          <w:sz w:val="20"/>
          <w:szCs w:val="20"/>
          <w:color w:val="auto"/>
        </w:rPr>
      </w:pPr>
      <w:r>
        <w:rPr>
          <w:rFonts w:ascii="Arial" w:cs="Arial" w:eastAsia="Arial" w:hAnsi="Arial"/>
          <w:sz w:val="17"/>
          <w:szCs w:val="17"/>
          <w:color w:val="auto"/>
        </w:rPr>
        <w:t>mutually exclusive of each other, and in no event shall Executive receive any severance or other benefits pursuant to both Article 3 and Article 4.</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6</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TERMINATION WITH CAUSE OR BY VOLUNTARY RESIGNATION; OTHER RIGHTS AND BENEFITS</w:t>
      </w:r>
    </w:p>
    <w:p>
      <w:pPr>
        <w:spacing w:after="0" w:line="150" w:lineRule="exact"/>
        <w:rPr>
          <w:sz w:val="20"/>
          <w:szCs w:val="20"/>
          <w:color w:val="auto"/>
        </w:rPr>
      </w:pPr>
    </w:p>
    <w:p>
      <w:pPr>
        <w:ind w:right="40" w:firstLine="864"/>
        <w:spacing w:after="0" w:line="252" w:lineRule="auto"/>
        <w:rPr>
          <w:sz w:val="20"/>
          <w:szCs w:val="20"/>
          <w:color w:val="auto"/>
        </w:rPr>
      </w:pPr>
      <w:r>
        <w:rPr>
          <w:rFonts w:ascii="Arial" w:cs="Arial" w:eastAsia="Arial" w:hAnsi="Arial"/>
          <w:sz w:val="19"/>
          <w:szCs w:val="19"/>
          <w:b w:val="1"/>
          <w:bCs w:val="1"/>
          <w:color w:val="auto"/>
        </w:rPr>
        <w:t>6.1. Termination for Cause by the Company</w:t>
      </w:r>
      <w:r>
        <w:rPr>
          <w:rFonts w:ascii="Arial" w:cs="Arial" w:eastAsia="Arial" w:hAnsi="Arial"/>
          <w:sz w:val="19"/>
          <w:szCs w:val="19"/>
          <w:color w:val="auto"/>
        </w:rPr>
        <w:t>. If the Company shall terminate the Executive’s employment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Cause, then upon such termination, the Company shall have no further obligation to Executive hereunder except for the payment or provision, as applicable, of (i) the portion of the Annual Base Salary for the period prior to the effective date of termination earned but unpaid (if any), (ii) all unreimbursed expenses (if any), subject to Sections 2.4 and 5.10(c), and (iii) other payments, entitlements or benefits, if any, in accordance with terms of the applicable plans, programs, arrangements or other agreements of the Company (other than any severance plan or policy) 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26" w:name="page127"/>
    <w:bookmarkEnd w:id="126"/>
    <w:p>
      <w:pPr>
        <w:jc w:val="both"/>
        <w:ind w:right="240"/>
        <w:spacing w:after="0" w:line="305" w:lineRule="auto"/>
        <w:rPr>
          <w:sz w:val="20"/>
          <w:szCs w:val="20"/>
          <w:color w:val="auto"/>
        </w:rPr>
      </w:pPr>
      <w:r>
        <w:rPr>
          <w:rFonts w:ascii="Arial" w:cs="Arial" w:eastAsia="Arial" w:hAnsi="Arial"/>
          <w:sz w:val="17"/>
          <w:szCs w:val="17"/>
          <w:color w:val="auto"/>
        </w:rPr>
        <w:t>to which the Executive held rights to such payments, entitlements or benefits, whether as a participant, beneficiary or otherwise on the date of termination (“</w:t>
      </w:r>
      <w:r>
        <w:rPr>
          <w:rFonts w:ascii="Arial" w:cs="Arial" w:eastAsia="Arial" w:hAnsi="Arial"/>
          <w:sz w:val="17"/>
          <w:szCs w:val="17"/>
          <w:b w:val="1"/>
          <w:bCs w:val="1"/>
          <w:i w:val="1"/>
          <w:iCs w:val="1"/>
          <w:color w:val="auto"/>
        </w:rPr>
        <w:t>Other Benefits</w:t>
      </w:r>
      <w:r>
        <w:rPr>
          <w:rFonts w:ascii="Arial" w:cs="Arial" w:eastAsia="Arial" w:hAnsi="Arial"/>
          <w:sz w:val="17"/>
          <w:szCs w:val="17"/>
          <w:color w:val="auto"/>
        </w:rPr>
        <w:t>”). For the avoidance of doubt, Executive shall have no right to receive (and Other Benefits shall not include) any amounts under any Company severance plan or policy or pursuant to Article 3 or Article 4 upon Executive’s termination for Cause.</w:t>
      </w:r>
    </w:p>
    <w:p>
      <w:pPr>
        <w:spacing w:after="0" w:line="77"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7"/>
          <w:szCs w:val="17"/>
          <w:b w:val="1"/>
          <w:bCs w:val="1"/>
          <w:color w:val="auto"/>
        </w:rPr>
        <w:t>Termination by Voluntary Resignation by the Executive (other than Resignation for Good Reason)</w:t>
      </w:r>
      <w:r>
        <w:rPr>
          <w:rFonts w:ascii="Arial" w:cs="Arial" w:eastAsia="Arial" w:hAnsi="Arial"/>
          <w:sz w:val="17"/>
          <w:szCs w:val="17"/>
          <w:color w:val="auto"/>
        </w:rPr>
        <w:t>. Upon</w:t>
      </w:r>
    </w:p>
    <w:p>
      <w:pPr>
        <w:spacing w:after="0" w:line="27"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any voluntary resignation by Executive that is not a Resignation for Good Reason, the Company shall have no further obligation to the Executive hereunder except for the payment of (i) the portion of the Annual Base Salary for the period prior to the effective date of termination earned but unpaid (if any), (ii) all unreimbursed expenses (if any), subject to Section 2.4 and Section 5.10(c), and (iii) 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101" w:lineRule="exact"/>
        <w:rPr>
          <w:sz w:val="20"/>
          <w:szCs w:val="20"/>
          <w:color w:val="auto"/>
        </w:rPr>
      </w:pPr>
    </w:p>
    <w:p>
      <w:pPr>
        <w:ind w:right="160" w:firstLine="864"/>
        <w:spacing w:after="0" w:line="269" w:lineRule="auto"/>
        <w:rPr>
          <w:sz w:val="20"/>
          <w:szCs w:val="20"/>
          <w:color w:val="auto"/>
        </w:rPr>
      </w:pPr>
      <w:r>
        <w:rPr>
          <w:rFonts w:ascii="Arial" w:cs="Arial" w:eastAsia="Arial" w:hAnsi="Arial"/>
          <w:sz w:val="18"/>
          <w:szCs w:val="18"/>
          <w:b w:val="1"/>
          <w:bCs w:val="1"/>
          <w:color w:val="auto"/>
        </w:rPr>
        <w:t xml:space="preserve">6.3. Other Rights and Benefits. </w:t>
      </w:r>
      <w:r>
        <w:rPr>
          <w:rFonts w:ascii="Arial" w:cs="Arial" w:eastAsia="Arial" w:hAnsi="Arial"/>
          <w:sz w:val="18"/>
          <w:szCs w:val="18"/>
          <w:color w:val="auto"/>
        </w:rPr>
        <w:t>Nothing in this Agreement shall prevent or limit Executive’s continuing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1,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9220" w:type="dxa"/>
            <w:vAlign w:val="bottom"/>
          </w:tcPr>
          <w:p>
            <w:pPr>
              <w:jc w:val="center"/>
              <w:ind w:right="1424"/>
              <w:spacing w:after="0"/>
              <w:rPr>
                <w:sz w:val="20"/>
                <w:szCs w:val="20"/>
                <w:color w:val="auto"/>
              </w:rPr>
            </w:pPr>
            <w:r>
              <w:rPr>
                <w:rFonts w:ascii="Arial" w:cs="Arial" w:eastAsia="Arial" w:hAnsi="Arial"/>
                <w:sz w:val="19"/>
                <w:szCs w:val="19"/>
                <w:b w:val="1"/>
                <w:bCs w:val="1"/>
                <w:color w:val="auto"/>
              </w:rPr>
              <w:t>ARTICLE 7</w:t>
            </w:r>
          </w:p>
        </w:tc>
      </w:tr>
      <w:tr>
        <w:trPr>
          <w:trHeight w:val="229"/>
        </w:trPr>
        <w:tc>
          <w:tcPr>
            <w:tcW w:w="1780" w:type="dxa"/>
            <w:vAlign w:val="bottom"/>
          </w:tcPr>
          <w:p>
            <w:pPr>
              <w:spacing w:after="0"/>
              <w:rPr>
                <w:sz w:val="19"/>
                <w:szCs w:val="19"/>
                <w:color w:val="auto"/>
              </w:rPr>
            </w:pPr>
          </w:p>
        </w:tc>
        <w:tc>
          <w:tcPr>
            <w:tcW w:w="9220" w:type="dxa"/>
            <w:vAlign w:val="bottom"/>
          </w:tcPr>
          <w:p>
            <w:pPr>
              <w:jc w:val="center"/>
              <w:ind w:right="1444"/>
              <w:spacing w:after="0"/>
              <w:rPr>
                <w:sz w:val="20"/>
                <w:szCs w:val="20"/>
                <w:color w:val="auto"/>
              </w:rPr>
            </w:pPr>
            <w:r>
              <w:rPr>
                <w:rFonts w:ascii="Arial" w:cs="Arial" w:eastAsia="Arial" w:hAnsi="Arial"/>
                <w:sz w:val="19"/>
                <w:szCs w:val="19"/>
                <w:b w:val="1"/>
                <w:bCs w:val="1"/>
                <w:color w:val="auto"/>
              </w:rPr>
              <w:t>DEFINITIONS</w:t>
            </w:r>
          </w:p>
        </w:tc>
      </w:tr>
      <w:tr>
        <w:trPr>
          <w:trHeight w:val="246"/>
        </w:trPr>
        <w:tc>
          <w:tcPr>
            <w:tcW w:w="11000" w:type="dxa"/>
            <w:vAlign w:val="bottom"/>
            <w:gridSpan w:val="2"/>
          </w:tcPr>
          <w:p>
            <w:pPr>
              <w:spacing w:after="0"/>
              <w:rPr>
                <w:sz w:val="20"/>
                <w:szCs w:val="20"/>
                <w:color w:val="auto"/>
              </w:rPr>
            </w:pPr>
            <w:r>
              <w:rPr>
                <w:rFonts w:ascii="Arial" w:cs="Arial" w:eastAsia="Arial" w:hAnsi="Arial"/>
                <w:sz w:val="19"/>
                <w:szCs w:val="19"/>
                <w:color w:val="auto"/>
              </w:rPr>
              <w:t>Unless otherwise provided, for purposes of this Agreement, the following definitions shall apply:</w:t>
            </w:r>
          </w:p>
        </w:tc>
      </w:tr>
      <w:tr>
        <w:trPr>
          <w:trHeight w:val="355"/>
        </w:trPr>
        <w:tc>
          <w:tcPr>
            <w:tcW w:w="1780" w:type="dxa"/>
            <w:vAlign w:val="bottom"/>
          </w:tcPr>
          <w:p>
            <w:pPr>
              <w:jc w:val="right"/>
              <w:ind w:right="524"/>
              <w:spacing w:after="0"/>
              <w:rPr>
                <w:sz w:val="20"/>
                <w:szCs w:val="20"/>
                <w:color w:val="auto"/>
              </w:rPr>
            </w:pPr>
            <w:r>
              <w:rPr>
                <w:rFonts w:ascii="Arial" w:cs="Arial" w:eastAsia="Arial" w:hAnsi="Arial"/>
                <w:sz w:val="19"/>
                <w:szCs w:val="19"/>
                <w:b w:val="1"/>
                <w:bCs w:val="1"/>
                <w:color w:val="auto"/>
              </w:rPr>
              <w:t>7.1.</w:t>
            </w:r>
          </w:p>
        </w:tc>
        <w:tc>
          <w:tcPr>
            <w:tcW w:w="9220" w:type="dxa"/>
            <w:vAlign w:val="bottom"/>
          </w:tcPr>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tc>
      </w:tr>
      <w:tr>
        <w:trPr>
          <w:trHeight w:val="362"/>
        </w:trPr>
        <w:tc>
          <w:tcPr>
            <w:tcW w:w="1780" w:type="dxa"/>
            <w:vAlign w:val="bottom"/>
          </w:tcPr>
          <w:p>
            <w:pPr>
              <w:jc w:val="right"/>
              <w:ind w:right="524"/>
              <w:spacing w:after="0"/>
              <w:rPr>
                <w:sz w:val="20"/>
                <w:szCs w:val="20"/>
                <w:color w:val="auto"/>
              </w:rPr>
            </w:pPr>
            <w:r>
              <w:rPr>
                <w:rFonts w:ascii="Arial" w:cs="Arial" w:eastAsia="Arial" w:hAnsi="Arial"/>
                <w:sz w:val="19"/>
                <w:szCs w:val="19"/>
                <w:b w:val="1"/>
                <w:bCs w:val="1"/>
                <w:color w:val="auto"/>
              </w:rPr>
              <w:t>7.2.</w:t>
            </w:r>
          </w:p>
        </w:tc>
        <w:tc>
          <w:tcPr>
            <w:tcW w:w="9220" w:type="dxa"/>
            <w:vAlign w:val="bottom"/>
          </w:tcPr>
          <w:p>
            <w:pPr>
              <w:ind w:left="640"/>
              <w:spacing w:after="0"/>
              <w:rPr>
                <w:sz w:val="20"/>
                <w:szCs w:val="20"/>
                <w:color w:val="auto"/>
              </w:rPr>
            </w:pPr>
            <w:r>
              <w:rPr>
                <w:rFonts w:ascii="Arial" w:cs="Arial" w:eastAsia="Arial" w:hAnsi="Arial"/>
                <w:sz w:val="19"/>
                <w:szCs w:val="19"/>
                <w:color w:val="auto"/>
                <w:w w:val="90"/>
              </w:rPr>
              <w:t>“</w:t>
            </w:r>
            <w:r>
              <w:rPr>
                <w:rFonts w:ascii="Arial" w:cs="Arial" w:eastAsia="Arial" w:hAnsi="Arial"/>
                <w:sz w:val="19"/>
                <w:szCs w:val="19"/>
                <w:b w:val="1"/>
                <w:bCs w:val="1"/>
                <w:i w:val="1"/>
                <w:iCs w:val="1"/>
                <w:color w:val="auto"/>
                <w:w w:val="90"/>
              </w:rPr>
              <w:t>Cause</w:t>
            </w:r>
            <w:r>
              <w:rPr>
                <w:rFonts w:ascii="Arial" w:cs="Arial" w:eastAsia="Arial" w:hAnsi="Arial"/>
                <w:sz w:val="19"/>
                <w:szCs w:val="19"/>
                <w:color w:val="auto"/>
                <w:w w:val="90"/>
              </w:rPr>
              <w:t>” means, upon a reasonable determination by the Company, Executive’s: (i) dishonest statements or acts</w:t>
            </w:r>
          </w:p>
        </w:tc>
      </w:tr>
    </w:tbl>
    <w:p>
      <w:pPr>
        <w:ind w:right="20"/>
        <w:spacing w:after="0" w:line="258" w:lineRule="auto"/>
        <w:rPr>
          <w:sz w:val="20"/>
          <w:szCs w:val="20"/>
          <w:color w:val="auto"/>
        </w:rPr>
      </w:pPr>
      <w:r>
        <w:rPr>
          <w:rFonts w:ascii="Arial" w:cs="Arial" w:eastAsia="Arial" w:hAnsi="Arial"/>
          <w:sz w:val="17"/>
          <w:szCs w:val="17"/>
          <w:color w:val="auto"/>
        </w:rPr>
        <w:t>with respect to the Company, any subsidiary or any affiliate of the Company, which has the effect of materially injuring (whether financially or otherwise) the business or reputation of the Company; (ii) conviction of or indictment for (A) a felony or (B) 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w:t>
      </w:r>
    </w:p>
    <w:p>
      <w:pPr>
        <w:spacing w:after="0" w:line="1" w:lineRule="exact"/>
        <w:rPr>
          <w:sz w:val="20"/>
          <w:szCs w:val="20"/>
          <w:color w:val="auto"/>
        </w:rPr>
      </w:pPr>
    </w:p>
    <w:p>
      <w:pPr>
        <w:ind w:left="340" w:hanging="335"/>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gross negligence, willful misconduct or insubordination with respect to the Company or any subsidiary or any affiliate of the Company; or</w:t>
      </w:r>
    </w:p>
    <w:p>
      <w:pPr>
        <w:spacing w:after="0" w:line="3" w:lineRule="exact"/>
        <w:rPr>
          <w:rFonts w:ascii="Arial" w:cs="Arial" w:eastAsia="Arial" w:hAnsi="Arial"/>
          <w:sz w:val="18"/>
          <w:szCs w:val="18"/>
          <w:color w:val="auto"/>
        </w:rPr>
      </w:pPr>
    </w:p>
    <w:p>
      <w:pPr>
        <w:jc w:val="both"/>
        <w:ind w:right="220" w:firstLine="5"/>
        <w:spacing w:after="0" w:line="236" w:lineRule="auto"/>
        <w:tabs>
          <w:tab w:leader="none" w:pos="326" w:val="left"/>
        </w:tabs>
        <w:numPr>
          <w:ilvl w:val="0"/>
          <w:numId w:val="66"/>
        </w:numPr>
        <w:rPr>
          <w:rFonts w:ascii="Arial" w:cs="Arial" w:eastAsia="Arial" w:hAnsi="Arial"/>
          <w:sz w:val="19"/>
          <w:szCs w:val="19"/>
          <w:color w:val="auto"/>
        </w:rPr>
      </w:pPr>
      <w:r>
        <w:rPr>
          <w:rFonts w:ascii="Arial" w:cs="Arial" w:eastAsia="Arial" w:hAnsi="Arial"/>
          <w:sz w:val="19"/>
          <w:szCs w:val="19"/>
          <w:color w:val="auto"/>
        </w:rPr>
        <w:t>material breach of any of Executive’s obligations under any agreement to which Executive and the Company or any subsidiary are a party. With respect to clause (iv),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spacing w:after="0" w:line="104" w:lineRule="exact"/>
        <w:rPr>
          <w:sz w:val="20"/>
          <w:szCs w:val="20"/>
          <w:color w:val="auto"/>
        </w:rPr>
      </w:pPr>
    </w:p>
    <w:p>
      <w:pPr>
        <w:ind w:firstLine="864"/>
        <w:spacing w:after="0" w:line="281" w:lineRule="auto"/>
        <w:rPr>
          <w:sz w:val="20"/>
          <w:szCs w:val="20"/>
          <w:color w:val="auto"/>
        </w:rPr>
      </w:pPr>
      <w:r>
        <w:rPr>
          <w:rFonts w:ascii="Arial" w:cs="Arial" w:eastAsia="Arial" w:hAnsi="Arial"/>
          <w:sz w:val="19"/>
          <w:szCs w:val="19"/>
          <w:b w:val="1"/>
          <w:bCs w:val="1"/>
          <w:color w:val="auto"/>
        </w:rPr>
        <w:t xml:space="preserve">7.3. </w:t>
      </w: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occurrence, in a single transaction or in a series of related transactions, of any one</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of the following events:</w:t>
      </w:r>
    </w:p>
    <w:p>
      <w:pPr>
        <w:spacing w:after="0" w:line="99" w:lineRule="exact"/>
        <w:rPr>
          <w:sz w:val="20"/>
          <w:szCs w:val="20"/>
          <w:color w:val="auto"/>
        </w:rPr>
      </w:pPr>
    </w:p>
    <w:p>
      <w:pPr>
        <w:ind w:right="60" w:firstLine="1733"/>
        <w:spacing w:after="0" w:line="275" w:lineRule="auto"/>
        <w:tabs>
          <w:tab w:leader="none" w:pos="25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natural person, entity or group within the meaning of Section 13(d) or 14(d) of the Securities Exchange Act of 1934, as amended (“</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becomes the owner,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directly or indirectly, of securities of the Company representing more than fifty percent (50%) of the combined voting power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then outstanding securities other than by virtue of a merger, consolidation or similar transaction. Notwithstanding the foregoing, a Change 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Control shall not be deemed to occur (i) on account of the acquisition of securities of the Company by any institutional investor, any affiliate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thereof or any other Exchange Act Person that acquires the Company’s securities in a transaction or series of related transactions that are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primarily a private financing transaction for the Company or (ii) solely because the level of ownership held by any Exchange Act Person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of voting securities by the Company reducing the number of shares outstanding, provided that if a Change in Control would occur (but for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operation of this sentence) as a result of the acquisition of voting securities by the Company, and after such share acquisition, the Subject Person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becomes the owner of any additional voting securities that, assuming the repurchase or other acquisition had not occurred, increases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percentage of the then outstanding voting securities owned by the Subject Person over the designated percentage threshold, then a Change in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Control shall be deemed to occur;</w:t>
      </w:r>
    </w:p>
    <w:p>
      <w:pPr>
        <w:spacing w:after="0" w:line="147" w:lineRule="exact"/>
        <w:rPr>
          <w:sz w:val="20"/>
          <w:szCs w:val="20"/>
          <w:color w:val="auto"/>
        </w:rPr>
      </w:pPr>
    </w:p>
    <w:p>
      <w:pPr>
        <w:ind w:right="100" w:firstLine="1733"/>
        <w:spacing w:after="0" w:line="289" w:lineRule="auto"/>
        <w:tabs>
          <w:tab w:leader="none" w:pos="251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98" w:lineRule="exact"/>
        <w:rPr>
          <w:rFonts w:ascii="Arial" w:cs="Arial" w:eastAsia="Arial" w:hAnsi="Arial"/>
          <w:sz w:val="17"/>
          <w:szCs w:val="17"/>
          <w:color w:val="auto"/>
        </w:rPr>
      </w:pPr>
    </w:p>
    <w:p>
      <w:pPr>
        <w:ind w:firstLine="1733"/>
        <w:spacing w:after="0" w:line="275" w:lineRule="auto"/>
        <w:tabs>
          <w:tab w:leader="none" w:pos="2509"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stockholders of the Company approve or the Board approves a plan of complete dissolution or liquidation of the Company, or a complete dissolution or liquidation of the Company shall otherwise occur; or</w:t>
      </w:r>
    </w:p>
    <w:p>
      <w:pPr>
        <w:spacing w:after="0" w:line="103" w:lineRule="exact"/>
        <w:rPr>
          <w:rFonts w:ascii="Arial" w:cs="Arial" w:eastAsia="Arial" w:hAnsi="Arial"/>
          <w:sz w:val="19"/>
          <w:szCs w:val="19"/>
          <w:color w:val="auto"/>
        </w:rPr>
      </w:pPr>
    </w:p>
    <w:p>
      <w:pPr>
        <w:ind w:right="40" w:firstLine="1733"/>
        <w:spacing w:after="0" w:line="252" w:lineRule="auto"/>
        <w:tabs>
          <w:tab w:leader="none" w:pos="2519"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15" w:lineRule="exact"/>
        <w:rPr>
          <w:sz w:val="20"/>
          <w:szCs w:val="20"/>
          <w:color w:val="auto"/>
        </w:rPr>
      </w:pPr>
    </w:p>
    <w:p>
      <w:pPr>
        <w:ind w:right="120" w:firstLine="973"/>
        <w:spacing w:after="0" w:line="289" w:lineRule="auto"/>
        <w:rPr>
          <w:sz w:val="20"/>
          <w:szCs w:val="20"/>
          <w:color w:val="auto"/>
        </w:rPr>
      </w:pPr>
      <w:r>
        <w:rPr>
          <w:rFonts w:ascii="Arial" w:cs="Arial" w:eastAsia="Arial" w:hAnsi="Arial"/>
          <w:sz w:val="17"/>
          <w:szCs w:val="17"/>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ectPr>
          <w:pgSz w:w="11900" w:h="16838" w:orient="portrait"/>
          <w:cols w:equalWidth="0" w:num="1">
            <w:col w:w="11240"/>
          </w:cols>
          <w:pgMar w:left="320" w:top="504" w:right="339" w:bottom="1440" w:gutter="0" w:footer="0" w:header="0"/>
        </w:sectPr>
      </w:pPr>
    </w:p>
    <w:p>
      <w:pPr>
        <w:spacing w:after="0" w:line="92"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7.4.</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 Benefits Period</w:t>
      </w:r>
      <w:r>
        <w:rPr>
          <w:rFonts w:ascii="Arial" w:cs="Arial" w:eastAsia="Arial" w:hAnsi="Arial"/>
          <w:sz w:val="17"/>
          <w:szCs w:val="17"/>
          <w:color w:val="auto"/>
        </w:rPr>
        <w:t>” means the period of eighteen (18) months commencing on the Termination</w:t>
      </w:r>
    </w:p>
    <w:p>
      <w:pPr>
        <w:spacing w:after="0" w:line="50" w:lineRule="exact"/>
        <w:rPr>
          <w:sz w:val="20"/>
          <w:szCs w:val="20"/>
          <w:color w:val="auto"/>
        </w:rPr>
      </w:pPr>
    </w:p>
    <w:p>
      <w:pPr>
        <w:sectPr>
          <w:pgSz w:w="11900" w:h="16838" w:orient="portrait"/>
          <w:cols w:equalWidth="0" w:num="2">
            <w:col w:w="1700" w:space="720"/>
            <w:col w:w="8820"/>
          </w:cols>
          <w:pgMar w:left="320" w:top="504" w:right="339" w:bottom="1440" w:gutter="0" w:footer="0" w:header="0"/>
          <w:type w:val="continuous"/>
        </w:sectPr>
      </w:pPr>
    </w:p>
    <w:p>
      <w:pPr>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1240"/>
          </w:cols>
          <w:pgMar w:left="320" w:top="504" w:right="339" w:bottom="1440" w:gutter="0" w:footer="0" w:header="0"/>
          <w:type w:val="continuous"/>
        </w:sectPr>
      </w:pPr>
    </w:p>
    <w:p>
      <w:pPr>
        <w:spacing w:after="0" w:line="15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7.5.</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Termination Date.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 Severance Period</w:t>
      </w:r>
      <w:r>
        <w:rPr>
          <w:rFonts w:ascii="Arial" w:cs="Arial" w:eastAsia="Arial" w:hAnsi="Arial"/>
          <w:sz w:val="17"/>
          <w:szCs w:val="17"/>
          <w:color w:val="auto"/>
        </w:rPr>
        <w:t>” means the period of eighteen (18) months commencing on the</w:t>
      </w:r>
    </w:p>
    <w:p>
      <w:pPr>
        <w:spacing w:after="0" w:line="376" w:lineRule="exact"/>
        <w:rPr>
          <w:sz w:val="20"/>
          <w:szCs w:val="20"/>
          <w:color w:val="auto"/>
        </w:rPr>
      </w:pPr>
    </w:p>
    <w:p>
      <w:pPr>
        <w:sectPr>
          <w:pgSz w:w="11900" w:h="16838" w:orient="portrait"/>
          <w:cols w:equalWidth="0" w:num="2">
            <w:col w:w="1700" w:space="720"/>
            <w:col w:w="8820"/>
          </w:cols>
          <w:pgMar w:left="320" w:top="504" w:right="339" w:bottom="1440" w:gutter="0" w:footer="0" w:header="0"/>
          <w:type w:val="continuous"/>
        </w:sectPr>
      </w:pPr>
    </w:p>
    <w:p>
      <w:pPr>
        <w:ind w:right="20" w:firstLine="864"/>
        <w:spacing w:after="0" w:line="284"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Termination</w:t>
      </w:r>
      <w:r>
        <w:rPr>
          <w:rFonts w:ascii="Arial" w:cs="Arial" w:eastAsia="Arial" w:hAnsi="Arial"/>
          <w:sz w:val="18"/>
          <w:szCs w:val="18"/>
          <w:color w:val="auto"/>
        </w:rPr>
        <w:t>” means an “</w:t>
      </w:r>
      <w:r>
        <w:rPr>
          <w:rFonts w:ascii="Arial" w:cs="Arial" w:eastAsia="Arial" w:hAnsi="Arial"/>
          <w:sz w:val="18"/>
          <w:szCs w:val="18"/>
          <w:b w:val="1"/>
          <w:bCs w:val="1"/>
          <w:i w:val="1"/>
          <w:iCs w:val="1"/>
          <w:color w:val="auto"/>
        </w:rPr>
        <w:t>Involuntary Termination Without Cause</w:t>
      </w:r>
      <w:r>
        <w:rPr>
          <w:rFonts w:ascii="Arial" w:cs="Arial" w:eastAsia="Arial" w:hAnsi="Arial"/>
          <w:sz w:val="18"/>
          <w:szCs w:val="18"/>
          <w:color w:val="auto"/>
        </w:rPr>
        <w:t>” or “</w:t>
      </w:r>
      <w:r>
        <w:rPr>
          <w:rFonts w:ascii="Arial" w:cs="Arial" w:eastAsia="Arial" w:hAnsi="Arial"/>
          <w:sz w:val="18"/>
          <w:szCs w:val="18"/>
          <w:b w:val="1"/>
          <w:bCs w:val="1"/>
          <w:i w:val="1"/>
          <w:iCs w:val="1"/>
          <w:color w:val="auto"/>
        </w:rPr>
        <w:t>Resignation for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w:t>
      </w:r>
      <w:r>
        <w:rPr>
          <w:rFonts w:ascii="Arial" w:cs="Arial" w:eastAsia="Arial" w:hAnsi="Arial"/>
          <w:sz w:val="18"/>
          <w:szCs w:val="18"/>
          <w:color w:val="auto"/>
        </w:rPr>
        <w:t>” either of which occurs on, or within three (3) months prior to, or within twelve (12) months following, the effective date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provided that any such termination is a “separation from service” within the meaning of Treasury Regulation Section 1.409A-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9"/>
          <w:szCs w:val="19"/>
          <w:color w:val="auto"/>
        </w:rPr>
        <w:t>1(h). Death and disability shall not be deemed Change in Control Terminations.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252"/>
        </w:trPr>
        <w:tc>
          <w:tcPr>
            <w:tcW w:w="920" w:type="dxa"/>
            <w:vAlign w:val="bottom"/>
          </w:tcPr>
          <w:p>
            <w:pPr>
              <w:jc w:val="right"/>
              <w:ind w:right="524"/>
              <w:spacing w:after="0"/>
              <w:rPr>
                <w:sz w:val="20"/>
                <w:szCs w:val="20"/>
                <w:color w:val="auto"/>
              </w:rPr>
            </w:pPr>
            <w:r>
              <w:rPr>
                <w:rFonts w:ascii="Arial" w:cs="Arial" w:eastAsia="Arial" w:hAnsi="Arial"/>
                <w:sz w:val="19"/>
                <w:szCs w:val="19"/>
                <w:b w:val="1"/>
                <w:bCs w:val="1"/>
                <w:color w:val="auto"/>
                <w:w w:val="88"/>
              </w:rPr>
              <w:t>7.7.</w:t>
            </w:r>
          </w:p>
        </w:tc>
        <w:tc>
          <w:tcPr>
            <w:tcW w:w="9380" w:type="dxa"/>
            <w:vAlign w:val="bottom"/>
          </w:tcPr>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means the Consolidated Omnibus Budget Reconciliation Act of 1985, as amended.</w:t>
            </w:r>
          </w:p>
        </w:tc>
      </w:tr>
      <w:tr>
        <w:trPr>
          <w:trHeight w:val="381"/>
        </w:trPr>
        <w:tc>
          <w:tcPr>
            <w:tcW w:w="920" w:type="dxa"/>
            <w:vAlign w:val="bottom"/>
          </w:tcPr>
          <w:p>
            <w:pPr>
              <w:jc w:val="right"/>
              <w:ind w:right="524"/>
              <w:spacing w:after="0"/>
              <w:rPr>
                <w:sz w:val="20"/>
                <w:szCs w:val="20"/>
                <w:color w:val="auto"/>
              </w:rPr>
            </w:pPr>
            <w:r>
              <w:rPr>
                <w:rFonts w:ascii="Arial" w:cs="Arial" w:eastAsia="Arial" w:hAnsi="Arial"/>
                <w:sz w:val="19"/>
                <w:szCs w:val="19"/>
                <w:b w:val="1"/>
                <w:bCs w:val="1"/>
                <w:color w:val="auto"/>
                <w:w w:val="88"/>
              </w:rPr>
              <w:t>7.8.</w:t>
            </w:r>
          </w:p>
        </w:tc>
        <w:tc>
          <w:tcPr>
            <w:tcW w:w="9380" w:type="dxa"/>
            <w:vAlign w:val="bottom"/>
          </w:tcPr>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w:t>
            </w:r>
          </w:p>
        </w:tc>
      </w:tr>
      <w:tr>
        <w:trPr>
          <w:trHeight w:val="375"/>
        </w:trPr>
        <w:tc>
          <w:tcPr>
            <w:tcW w:w="920" w:type="dxa"/>
            <w:vAlign w:val="bottom"/>
          </w:tcPr>
          <w:p>
            <w:pPr>
              <w:jc w:val="right"/>
              <w:ind w:right="524"/>
              <w:spacing w:after="0"/>
              <w:rPr>
                <w:sz w:val="20"/>
                <w:szCs w:val="20"/>
                <w:color w:val="auto"/>
              </w:rPr>
            </w:pPr>
            <w:r>
              <w:rPr>
                <w:rFonts w:ascii="Arial" w:cs="Arial" w:eastAsia="Arial" w:hAnsi="Arial"/>
                <w:sz w:val="19"/>
                <w:szCs w:val="19"/>
                <w:b w:val="1"/>
                <w:bCs w:val="1"/>
                <w:color w:val="auto"/>
                <w:w w:val="88"/>
              </w:rPr>
              <w:t>7.9.</w:t>
            </w:r>
          </w:p>
        </w:tc>
        <w:tc>
          <w:tcPr>
            <w:tcW w:w="9380" w:type="dxa"/>
            <w:vAlign w:val="bottom"/>
          </w:tcPr>
          <w:p>
            <w:pPr>
              <w:ind w:left="640"/>
              <w:spacing w:after="0"/>
              <w:rPr>
                <w:sz w:val="20"/>
                <w:szCs w:val="20"/>
                <w:color w:val="auto"/>
              </w:rPr>
            </w:pPr>
            <w:r>
              <w:rPr>
                <w:rFonts w:ascii="Arial" w:cs="Arial" w:eastAsia="Arial" w:hAnsi="Arial"/>
                <w:sz w:val="19"/>
                <w:szCs w:val="19"/>
                <w:color w:val="auto"/>
                <w:w w:val="92"/>
              </w:rPr>
              <w:t>“</w:t>
            </w:r>
            <w:r>
              <w:rPr>
                <w:rFonts w:ascii="Arial" w:cs="Arial" w:eastAsia="Arial" w:hAnsi="Arial"/>
                <w:sz w:val="19"/>
                <w:szCs w:val="19"/>
                <w:b w:val="1"/>
                <w:bCs w:val="1"/>
                <w:i w:val="1"/>
                <w:iCs w:val="1"/>
                <w:color w:val="auto"/>
                <w:w w:val="92"/>
              </w:rPr>
              <w:t>Company</w:t>
            </w:r>
            <w:r>
              <w:rPr>
                <w:rFonts w:ascii="Arial" w:cs="Arial" w:eastAsia="Arial" w:hAnsi="Arial"/>
                <w:sz w:val="19"/>
                <w:szCs w:val="19"/>
                <w:color w:val="auto"/>
                <w:w w:val="92"/>
              </w:rPr>
              <w:t>” means Syndax Pharmaceuticals, Inc. or, following a Change in Control, the surviving entity resulting</w:t>
            </w:r>
          </w:p>
        </w:tc>
      </w:tr>
    </w:tbl>
    <w:p>
      <w:pPr>
        <w:spacing w:after="0"/>
        <w:rPr>
          <w:sz w:val="20"/>
          <w:szCs w:val="20"/>
          <w:color w:val="auto"/>
        </w:rPr>
      </w:pPr>
      <w:r>
        <w:rPr>
          <w:rFonts w:ascii="Arial" w:cs="Arial" w:eastAsia="Arial" w:hAnsi="Arial"/>
          <w:sz w:val="19"/>
          <w:szCs w:val="19"/>
          <w:color w:val="auto"/>
        </w:rPr>
        <w:t>from such transaction, or any subsequent surviving entity resulting from any subsequent Change in Control.</w:t>
      </w:r>
    </w:p>
    <w:p>
      <w:pPr>
        <w:spacing w:after="0" w:line="141" w:lineRule="exact"/>
        <w:rPr>
          <w:sz w:val="20"/>
          <w:szCs w:val="20"/>
          <w:color w:val="auto"/>
        </w:rPr>
      </w:pPr>
    </w:p>
    <w:p>
      <w:pPr>
        <w:ind w:firstLine="864"/>
        <w:spacing w:after="0" w:line="281" w:lineRule="auto"/>
        <w:rPr>
          <w:sz w:val="20"/>
          <w:szCs w:val="20"/>
          <w:color w:val="auto"/>
        </w:rPr>
      </w:pPr>
      <w:r>
        <w:rPr>
          <w:rFonts w:ascii="Arial" w:cs="Arial" w:eastAsia="Arial" w:hAnsi="Arial"/>
          <w:sz w:val="19"/>
          <w:szCs w:val="19"/>
          <w:b w:val="1"/>
          <w:bCs w:val="1"/>
          <w:color w:val="auto"/>
        </w:rPr>
        <w:t xml:space="preserve">7.10. </w:t>
      </w: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 means Executive’s Assignment of Developments, Non- Disclosure and Non-Solicitation Agreement with the Company, dated June 22, 2015 (or any successor agreement thereto).</w:t>
      </w:r>
    </w:p>
    <w:p>
      <w:pPr>
        <w:spacing w:after="0" w:line="67" w:lineRule="exact"/>
        <w:rPr>
          <w:sz w:val="20"/>
          <w:szCs w:val="20"/>
          <w:color w:val="auto"/>
        </w:rPr>
      </w:pPr>
    </w:p>
    <w:p>
      <w:pPr>
        <w:ind w:right="220" w:firstLine="864"/>
        <w:spacing w:after="0" w:line="257" w:lineRule="auto"/>
        <w:rPr>
          <w:sz w:val="20"/>
          <w:szCs w:val="20"/>
          <w:color w:val="auto"/>
        </w:rPr>
      </w:pPr>
      <w:r>
        <w:rPr>
          <w:rFonts w:ascii="Arial" w:cs="Arial" w:eastAsia="Arial" w:hAnsi="Arial"/>
          <w:sz w:val="19"/>
          <w:szCs w:val="19"/>
          <w:b w:val="1"/>
          <w:bCs w:val="1"/>
          <w:color w:val="auto"/>
        </w:rPr>
        <w:t xml:space="preserve">7.11. </w:t>
      </w: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w:t>
      </w:r>
      <w:r>
        <w:rPr>
          <w:rFonts w:ascii="Arial" w:cs="Arial" w:eastAsia="Arial" w:hAnsi="Arial"/>
          <w:sz w:val="19"/>
          <w:szCs w:val="19"/>
          <w:color w:val="auto"/>
        </w:rPr>
        <w:t>” means an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or “</w:t>
      </w:r>
      <w:r>
        <w:rPr>
          <w:rFonts w:ascii="Arial" w:cs="Arial" w:eastAsia="Arial" w:hAnsi="Arial"/>
          <w:sz w:val="19"/>
          <w:szCs w:val="19"/>
          <w:b w:val="1"/>
          <w:bCs w:val="1"/>
          <w:i w:val="1"/>
          <w:iCs w:val="1"/>
          <w:color w:val="auto"/>
        </w:rPr>
        <w:t>Resignation for Good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Reason</w:t>
      </w:r>
      <w:r>
        <w:rPr>
          <w:rFonts w:ascii="Arial" w:cs="Arial" w:eastAsia="Arial" w:hAnsi="Arial"/>
          <w:sz w:val="19"/>
          <w:szCs w:val="19"/>
          <w:i w:val="1"/>
          <w:iCs w:val="1"/>
          <w:color w:val="auto"/>
        </w:rPr>
        <w:t>,</w:t>
      </w:r>
      <w:r>
        <w:rPr>
          <w:rFonts w:ascii="Arial" w:cs="Arial" w:eastAsia="Arial" w:hAnsi="Arial"/>
          <w:sz w:val="19"/>
          <w:szCs w:val="19"/>
          <w:color w:val="auto"/>
        </w:rPr>
        <w:t>” provided that any such termination is a “separation from service” within the meaning of Treasury Regulation Section 1.409A-1(h).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Death and disability shall not be deemed Covered Terminations. If an Involuntary Termination Without Cause or Resignation for Good Reason qualifies as a Change in Control Termination, it shall not constitute a Covered Termination.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Pr>
          <w:p>
            <w:pPr>
              <w:jc w:val="right"/>
              <w:ind w:right="604"/>
              <w:spacing w:after="0"/>
              <w:rPr>
                <w:sz w:val="20"/>
                <w:szCs w:val="20"/>
                <w:color w:val="auto"/>
              </w:rPr>
            </w:pPr>
            <w:r>
              <w:rPr>
                <w:rFonts w:ascii="Arial" w:cs="Arial" w:eastAsia="Arial" w:hAnsi="Arial"/>
                <w:sz w:val="19"/>
                <w:szCs w:val="19"/>
                <w:b w:val="1"/>
                <w:bCs w:val="1"/>
                <w:color w:val="auto"/>
              </w:rPr>
              <w:t>7.12.</w:t>
            </w:r>
          </w:p>
        </w:tc>
        <w:tc>
          <w:tcPr>
            <w:tcW w:w="9020" w:type="dxa"/>
            <w:vAlign w:val="bottom"/>
          </w:tcPr>
          <w:p>
            <w:pPr>
              <w:ind w:left="56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i w:val="1"/>
                <w:iCs w:val="1"/>
                <w:color w:val="auto"/>
                <w:w w:val="96"/>
              </w:rPr>
              <w:t>Covered Termination Benefits Period</w:t>
            </w:r>
            <w:r>
              <w:rPr>
                <w:rFonts w:ascii="Arial" w:cs="Arial" w:eastAsia="Arial" w:hAnsi="Arial"/>
                <w:sz w:val="19"/>
                <w:szCs w:val="19"/>
                <w:color w:val="auto"/>
                <w:w w:val="96"/>
              </w:rPr>
              <w:t>” means the period of eighteen (18) months commencing on the</w:t>
            </w:r>
          </w:p>
        </w:tc>
      </w:tr>
      <w:tr>
        <w:trPr>
          <w:trHeight w:val="246"/>
        </w:trPr>
        <w:tc>
          <w:tcPr>
            <w:tcW w:w="1960" w:type="dxa"/>
            <w:vAlign w:val="bottom"/>
          </w:tcPr>
          <w:p>
            <w:pPr>
              <w:spacing w:after="0"/>
              <w:rPr>
                <w:sz w:val="20"/>
                <w:szCs w:val="20"/>
                <w:color w:val="auto"/>
              </w:rPr>
            </w:pPr>
            <w:r>
              <w:rPr>
                <w:rFonts w:ascii="Arial" w:cs="Arial" w:eastAsia="Arial" w:hAnsi="Arial"/>
                <w:sz w:val="19"/>
                <w:szCs w:val="19"/>
                <w:color w:val="auto"/>
              </w:rPr>
              <w:t>Termination Date.</w:t>
            </w:r>
          </w:p>
        </w:tc>
        <w:tc>
          <w:tcPr>
            <w:tcW w:w="9020" w:type="dxa"/>
            <w:vAlign w:val="bottom"/>
          </w:tcPr>
          <w:p>
            <w:pPr>
              <w:spacing w:after="0"/>
              <w:rPr>
                <w:sz w:val="21"/>
                <w:szCs w:val="21"/>
                <w:color w:val="auto"/>
              </w:rPr>
            </w:pPr>
          </w:p>
        </w:tc>
      </w:tr>
      <w:tr>
        <w:trPr>
          <w:trHeight w:val="359"/>
        </w:trPr>
        <w:tc>
          <w:tcPr>
            <w:tcW w:w="1960" w:type="dxa"/>
            <w:vAlign w:val="bottom"/>
          </w:tcPr>
          <w:p>
            <w:pPr>
              <w:jc w:val="right"/>
              <w:ind w:right="604"/>
              <w:spacing w:after="0"/>
              <w:rPr>
                <w:sz w:val="20"/>
                <w:szCs w:val="20"/>
                <w:color w:val="auto"/>
              </w:rPr>
            </w:pPr>
            <w:r>
              <w:rPr>
                <w:rFonts w:ascii="Arial" w:cs="Arial" w:eastAsia="Arial" w:hAnsi="Arial"/>
                <w:sz w:val="19"/>
                <w:szCs w:val="19"/>
                <w:b w:val="1"/>
                <w:bCs w:val="1"/>
                <w:color w:val="auto"/>
              </w:rPr>
              <w:t>7.13.</w:t>
            </w:r>
          </w:p>
        </w:tc>
        <w:tc>
          <w:tcPr>
            <w:tcW w:w="9020" w:type="dxa"/>
            <w:vAlign w:val="bottom"/>
          </w:tcPr>
          <w:p>
            <w:pPr>
              <w:ind w:left="56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i w:val="1"/>
                <w:iCs w:val="1"/>
                <w:color w:val="auto"/>
                <w:w w:val="96"/>
              </w:rPr>
              <w:t>Covered Termination Severance Period</w:t>
            </w:r>
            <w:r>
              <w:rPr>
                <w:rFonts w:ascii="Arial" w:cs="Arial" w:eastAsia="Arial" w:hAnsi="Arial"/>
                <w:sz w:val="19"/>
                <w:szCs w:val="19"/>
                <w:color w:val="auto"/>
                <w:w w:val="96"/>
              </w:rPr>
              <w:t>” means the period of twelve (12) months commencing on the</w:t>
            </w:r>
          </w:p>
        </w:tc>
      </w:tr>
      <w:tr>
        <w:trPr>
          <w:trHeight w:val="246"/>
        </w:trPr>
        <w:tc>
          <w:tcPr>
            <w:tcW w:w="1960" w:type="dxa"/>
            <w:vAlign w:val="bottom"/>
          </w:tcPr>
          <w:p>
            <w:pPr>
              <w:spacing w:after="0"/>
              <w:rPr>
                <w:sz w:val="20"/>
                <w:szCs w:val="20"/>
                <w:color w:val="auto"/>
              </w:rPr>
            </w:pPr>
            <w:r>
              <w:rPr>
                <w:rFonts w:ascii="Arial" w:cs="Arial" w:eastAsia="Arial" w:hAnsi="Arial"/>
                <w:sz w:val="19"/>
                <w:szCs w:val="19"/>
                <w:color w:val="auto"/>
              </w:rPr>
              <w:t>Termination Date.</w:t>
            </w:r>
          </w:p>
        </w:tc>
        <w:tc>
          <w:tcPr>
            <w:tcW w:w="9020" w:type="dxa"/>
            <w:vAlign w:val="bottom"/>
          </w:tcPr>
          <w:p>
            <w:pPr>
              <w:spacing w:after="0"/>
              <w:rPr>
                <w:sz w:val="21"/>
                <w:szCs w:val="21"/>
                <w:color w:val="auto"/>
              </w:rPr>
            </w:pPr>
          </w:p>
        </w:tc>
      </w:tr>
      <w:tr>
        <w:trPr>
          <w:trHeight w:val="359"/>
        </w:trPr>
        <w:tc>
          <w:tcPr>
            <w:tcW w:w="1960" w:type="dxa"/>
            <w:vAlign w:val="bottom"/>
          </w:tcPr>
          <w:p>
            <w:pPr>
              <w:jc w:val="right"/>
              <w:ind w:right="604"/>
              <w:spacing w:after="0"/>
              <w:rPr>
                <w:sz w:val="20"/>
                <w:szCs w:val="20"/>
                <w:color w:val="auto"/>
              </w:rPr>
            </w:pPr>
            <w:r>
              <w:rPr>
                <w:rFonts w:ascii="Arial" w:cs="Arial" w:eastAsia="Arial" w:hAnsi="Arial"/>
                <w:sz w:val="19"/>
                <w:szCs w:val="19"/>
                <w:b w:val="1"/>
                <w:bCs w:val="1"/>
                <w:color w:val="auto"/>
              </w:rPr>
              <w:t>7.14.</w:t>
            </w:r>
          </w:p>
        </w:tc>
        <w:tc>
          <w:tcPr>
            <w:tcW w:w="9020" w:type="dxa"/>
            <w:vAlign w:val="bottom"/>
          </w:tcPr>
          <w:p>
            <w:pPr>
              <w:ind w:left="600"/>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i w:val="1"/>
                <w:iCs w:val="1"/>
                <w:color w:val="auto"/>
                <w:w w:val="93"/>
              </w:rPr>
              <w:t>Involuntary Termination Without Cause</w:t>
            </w:r>
            <w:r>
              <w:rPr>
                <w:rFonts w:ascii="Arial" w:cs="Arial" w:eastAsia="Arial" w:hAnsi="Arial"/>
                <w:sz w:val="19"/>
                <w:szCs w:val="19"/>
                <w:color w:val="auto"/>
                <w:w w:val="93"/>
              </w:rPr>
              <w:t>” means Executive’s dismissal or discharge by the Company for</w:t>
            </w:r>
          </w:p>
        </w:tc>
      </w:tr>
      <w:tr>
        <w:trPr>
          <w:trHeight w:val="246"/>
        </w:trPr>
        <w:tc>
          <w:tcPr>
            <w:tcW w:w="10980" w:type="dxa"/>
            <w:vAlign w:val="bottom"/>
            <w:gridSpan w:val="2"/>
          </w:tcPr>
          <w:p>
            <w:pPr>
              <w:spacing w:after="0"/>
              <w:rPr>
                <w:sz w:val="20"/>
                <w:szCs w:val="20"/>
                <w:color w:val="auto"/>
              </w:rPr>
            </w:pPr>
            <w:r>
              <w:rPr>
                <w:rFonts w:ascii="Arial" w:cs="Arial" w:eastAsia="Arial" w:hAnsi="Arial"/>
                <w:sz w:val="19"/>
                <w:szCs w:val="19"/>
                <w:color w:val="auto"/>
              </w:rPr>
              <w:t>reasons other than Cause and other than as a result of death or disability.</w:t>
            </w:r>
          </w:p>
        </w:tc>
      </w:tr>
      <w:tr>
        <w:trPr>
          <w:trHeight w:val="375"/>
        </w:trPr>
        <w:tc>
          <w:tcPr>
            <w:tcW w:w="1960" w:type="dxa"/>
            <w:vAlign w:val="bottom"/>
          </w:tcPr>
          <w:p>
            <w:pPr>
              <w:jc w:val="right"/>
              <w:ind w:right="604"/>
              <w:spacing w:after="0"/>
              <w:rPr>
                <w:sz w:val="20"/>
                <w:szCs w:val="20"/>
                <w:color w:val="auto"/>
              </w:rPr>
            </w:pPr>
            <w:r>
              <w:rPr>
                <w:rFonts w:ascii="Arial" w:cs="Arial" w:eastAsia="Arial" w:hAnsi="Arial"/>
                <w:sz w:val="19"/>
                <w:szCs w:val="19"/>
                <w:b w:val="1"/>
                <w:bCs w:val="1"/>
                <w:color w:val="auto"/>
              </w:rPr>
              <w:t>7.15.</w:t>
            </w:r>
          </w:p>
        </w:tc>
        <w:tc>
          <w:tcPr>
            <w:tcW w:w="9020" w:type="dxa"/>
            <w:vAlign w:val="bottom"/>
          </w:tcPr>
          <w:p>
            <w:pPr>
              <w:ind w:left="600"/>
              <w:spacing w:after="0"/>
              <w:rPr>
                <w:sz w:val="20"/>
                <w:szCs w:val="20"/>
                <w:color w:val="auto"/>
              </w:rPr>
            </w:pPr>
            <w:r>
              <w:rPr>
                <w:rFonts w:ascii="Arial" w:cs="Arial" w:eastAsia="Arial" w:hAnsi="Arial"/>
                <w:sz w:val="19"/>
                <w:szCs w:val="19"/>
                <w:color w:val="auto"/>
                <w:w w:val="91"/>
              </w:rPr>
              <w:t>“</w:t>
            </w:r>
            <w:r>
              <w:rPr>
                <w:rFonts w:ascii="Arial" w:cs="Arial" w:eastAsia="Arial" w:hAnsi="Arial"/>
                <w:sz w:val="19"/>
                <w:szCs w:val="19"/>
                <w:b w:val="1"/>
                <w:bCs w:val="1"/>
                <w:i w:val="1"/>
                <w:iCs w:val="1"/>
                <w:color w:val="auto"/>
                <w:w w:val="91"/>
              </w:rPr>
              <w:t>Monthly Base Salary</w:t>
            </w:r>
            <w:r>
              <w:rPr>
                <w:rFonts w:ascii="Arial" w:cs="Arial" w:eastAsia="Arial" w:hAnsi="Arial"/>
                <w:sz w:val="19"/>
                <w:szCs w:val="19"/>
                <w:color w:val="auto"/>
                <w:w w:val="91"/>
              </w:rPr>
              <w:t>” means 1/12</w:t>
            </w:r>
            <w:r>
              <w:rPr>
                <w:rFonts w:ascii="Arial" w:cs="Arial" w:eastAsia="Arial" w:hAnsi="Arial"/>
                <w:sz w:val="16"/>
                <w:szCs w:val="16"/>
                <w:color w:val="auto"/>
                <w:w w:val="91"/>
              </w:rPr>
              <w:t>th</w:t>
            </w:r>
            <w:r>
              <w:rPr>
                <w:rFonts w:ascii="Arial" w:cs="Arial" w:eastAsia="Arial" w:hAnsi="Arial"/>
                <w:sz w:val="19"/>
                <w:szCs w:val="19"/>
                <w:color w:val="auto"/>
                <w:w w:val="91"/>
              </w:rPr>
              <w:t xml:space="preserve"> of the greater of (i) Executive’s annual base salary (excluding incentive</w:t>
            </w:r>
          </w:p>
        </w:tc>
      </w:tr>
    </w:tbl>
    <w:p>
      <w:pPr>
        <w:ind w:right="180"/>
        <w:spacing w:after="0" w:line="249" w:lineRule="auto"/>
        <w:rPr>
          <w:sz w:val="20"/>
          <w:szCs w:val="20"/>
          <w:color w:val="auto"/>
        </w:rPr>
      </w:pPr>
      <w:r>
        <w:rPr>
          <w:rFonts w:ascii="Arial" w:cs="Arial" w:eastAsia="Arial" w:hAnsi="Arial"/>
          <w:sz w:val="19"/>
          <w:szCs w:val="19"/>
          <w:color w:val="auto"/>
        </w:rPr>
        <w:t>pay, premium pay, commissions, 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80" w:type="dxa"/>
            <w:vAlign w:val="bottom"/>
          </w:tcPr>
          <w:p>
            <w:pPr>
              <w:jc w:val="right"/>
              <w:ind w:right="524"/>
              <w:spacing w:after="0"/>
              <w:rPr>
                <w:sz w:val="20"/>
                <w:szCs w:val="20"/>
                <w:color w:val="auto"/>
              </w:rPr>
            </w:pPr>
            <w:r>
              <w:rPr>
                <w:rFonts w:ascii="Arial" w:cs="Arial" w:eastAsia="Arial" w:hAnsi="Arial"/>
                <w:sz w:val="19"/>
                <w:szCs w:val="19"/>
                <w:b w:val="1"/>
                <w:bCs w:val="1"/>
                <w:color w:val="auto"/>
              </w:rPr>
              <w:t>7.16.</w:t>
            </w:r>
          </w:p>
        </w:tc>
        <w:tc>
          <w:tcPr>
            <w:tcW w:w="9340" w:type="dxa"/>
            <w:vAlign w:val="bottom"/>
          </w:tcPr>
          <w:p>
            <w:pPr>
              <w:ind w:left="640"/>
              <w:spacing w:after="0"/>
              <w:rPr>
                <w:sz w:val="20"/>
                <w:szCs w:val="20"/>
                <w:color w:val="auto"/>
              </w:rPr>
            </w:pPr>
            <w:r>
              <w:rPr>
                <w:rFonts w:ascii="Arial" w:cs="Arial" w:eastAsia="Arial" w:hAnsi="Arial"/>
                <w:sz w:val="19"/>
                <w:szCs w:val="19"/>
                <w:color w:val="auto"/>
                <w:w w:val="90"/>
              </w:rPr>
              <w:t>“</w:t>
            </w:r>
            <w:r>
              <w:rPr>
                <w:rFonts w:ascii="Arial" w:cs="Arial" w:eastAsia="Arial" w:hAnsi="Arial"/>
                <w:sz w:val="19"/>
                <w:szCs w:val="19"/>
                <w:b w:val="1"/>
                <w:bCs w:val="1"/>
                <w:i w:val="1"/>
                <w:iCs w:val="1"/>
                <w:color w:val="auto"/>
                <w:w w:val="90"/>
              </w:rPr>
              <w:t>Prior Employment Agreement</w:t>
            </w:r>
            <w:r>
              <w:rPr>
                <w:rFonts w:ascii="Arial" w:cs="Arial" w:eastAsia="Arial" w:hAnsi="Arial"/>
                <w:sz w:val="19"/>
                <w:szCs w:val="19"/>
                <w:color w:val="auto"/>
                <w:w w:val="90"/>
              </w:rPr>
              <w:t>” means that certain offer letter agreement, between the Company and Executive,</w:t>
            </w:r>
          </w:p>
        </w:tc>
      </w:tr>
      <w:tr>
        <w:trPr>
          <w:trHeight w:val="246"/>
        </w:trPr>
        <w:tc>
          <w:tcPr>
            <w:tcW w:w="11220" w:type="dxa"/>
            <w:vAlign w:val="bottom"/>
            <w:gridSpan w:val="2"/>
          </w:tcPr>
          <w:p>
            <w:pPr>
              <w:spacing w:after="0"/>
              <w:rPr>
                <w:sz w:val="20"/>
                <w:szCs w:val="20"/>
                <w:color w:val="auto"/>
              </w:rPr>
            </w:pPr>
            <w:r>
              <w:rPr>
                <w:rFonts w:ascii="Arial" w:cs="Arial" w:eastAsia="Arial" w:hAnsi="Arial"/>
                <w:sz w:val="19"/>
                <w:szCs w:val="19"/>
                <w:color w:val="auto"/>
              </w:rPr>
              <w:t>dated September 30, 2015, as previously amended and restated on April 27, 2020.</w:t>
            </w:r>
          </w:p>
        </w:tc>
      </w:tr>
      <w:tr>
        <w:trPr>
          <w:trHeight w:val="375"/>
        </w:trPr>
        <w:tc>
          <w:tcPr>
            <w:tcW w:w="1880" w:type="dxa"/>
            <w:vAlign w:val="bottom"/>
          </w:tcPr>
          <w:p>
            <w:pPr>
              <w:jc w:val="right"/>
              <w:ind w:right="524"/>
              <w:spacing w:after="0"/>
              <w:rPr>
                <w:sz w:val="20"/>
                <w:szCs w:val="20"/>
                <w:color w:val="auto"/>
              </w:rPr>
            </w:pPr>
            <w:r>
              <w:rPr>
                <w:rFonts w:ascii="Arial" w:cs="Arial" w:eastAsia="Arial" w:hAnsi="Arial"/>
                <w:sz w:val="19"/>
                <w:szCs w:val="19"/>
                <w:b w:val="1"/>
                <w:bCs w:val="1"/>
                <w:color w:val="auto"/>
              </w:rPr>
              <w:t>7.17.</w:t>
            </w:r>
          </w:p>
        </w:tc>
        <w:tc>
          <w:tcPr>
            <w:tcW w:w="9340" w:type="dxa"/>
            <w:vAlign w:val="bottom"/>
          </w:tcPr>
          <w:p>
            <w:pPr>
              <w:ind w:left="640"/>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i w:val="1"/>
                <w:iCs w:val="1"/>
                <w:color w:val="auto"/>
                <w:w w:val="93"/>
              </w:rPr>
              <w:t>Pro-Rata Bonus</w:t>
            </w:r>
            <w:r>
              <w:rPr>
                <w:rFonts w:ascii="Arial" w:cs="Arial" w:eastAsia="Arial" w:hAnsi="Arial"/>
                <w:sz w:val="19"/>
                <w:szCs w:val="19"/>
                <w:color w:val="auto"/>
                <w:w w:val="93"/>
              </w:rPr>
              <w:t>” means 1/12</w:t>
            </w:r>
            <w:r>
              <w:rPr>
                <w:rFonts w:ascii="Arial" w:cs="Arial" w:eastAsia="Arial" w:hAnsi="Arial"/>
                <w:sz w:val="16"/>
                <w:szCs w:val="16"/>
                <w:color w:val="auto"/>
                <w:w w:val="93"/>
              </w:rPr>
              <w:t>th</w:t>
            </w:r>
            <w:r>
              <w:rPr>
                <w:rFonts w:ascii="Arial" w:cs="Arial" w:eastAsia="Arial" w:hAnsi="Arial"/>
                <w:sz w:val="19"/>
                <w:szCs w:val="19"/>
                <w:color w:val="auto"/>
                <w:w w:val="93"/>
              </w:rPr>
              <w:t xml:space="preserve"> of the greater of (i) the average Target Performance Bonus paid to Executive</w:t>
            </w:r>
          </w:p>
        </w:tc>
      </w:tr>
    </w:tbl>
    <w:p>
      <w:pPr>
        <w:ind w:right="540"/>
        <w:spacing w:after="0" w:line="285" w:lineRule="auto"/>
        <w:rPr>
          <w:sz w:val="20"/>
          <w:szCs w:val="20"/>
          <w:color w:val="auto"/>
        </w:rPr>
      </w:pPr>
      <w:r>
        <w:rPr>
          <w:rFonts w:ascii="Arial" w:cs="Arial" w:eastAsia="Arial" w:hAnsi="Arial"/>
          <w:sz w:val="18"/>
          <w:szCs w:val="18"/>
          <w:color w:val="auto"/>
        </w:rPr>
        <w:t>for the three years preceding the date of a Change in Control Termination (or such lesser number of years during which Executive has been employed by the Company), or (ii) the Target Performance Bonus, as in effect on the date of a Change in Control Termination.</w:t>
      </w:r>
    </w:p>
    <w:p>
      <w:pPr>
        <w:spacing w:after="0" w:line="78" w:lineRule="exact"/>
        <w:rPr>
          <w:sz w:val="20"/>
          <w:szCs w:val="20"/>
          <w:color w:val="auto"/>
        </w:rPr>
      </w:pPr>
    </w:p>
    <w:p>
      <w:pPr>
        <w:ind w:right="60" w:firstLine="864"/>
        <w:spacing w:after="0" w:line="257" w:lineRule="auto"/>
        <w:rPr>
          <w:sz w:val="20"/>
          <w:szCs w:val="20"/>
          <w:color w:val="auto"/>
        </w:rPr>
      </w:pPr>
      <w:r>
        <w:rPr>
          <w:rFonts w:ascii="Arial" w:cs="Arial" w:eastAsia="Arial" w:hAnsi="Arial"/>
          <w:sz w:val="19"/>
          <w:szCs w:val="19"/>
          <w:b w:val="1"/>
          <w:bCs w:val="1"/>
          <w:color w:val="auto"/>
        </w:rPr>
        <w:t xml:space="preserve">7.18. </w:t>
      </w:r>
      <w:r>
        <w:rPr>
          <w:rFonts w:ascii="Arial" w:cs="Arial" w:eastAsia="Arial" w:hAnsi="Arial"/>
          <w:sz w:val="19"/>
          <w:szCs w:val="19"/>
          <w:color w:val="auto"/>
        </w:rPr>
        <w:t>“</w:t>
      </w:r>
      <w:r>
        <w:rPr>
          <w:rFonts w:ascii="Arial" w:cs="Arial" w:eastAsia="Arial" w:hAnsi="Arial"/>
          <w:sz w:val="19"/>
          <w:szCs w:val="19"/>
          <w:b w:val="1"/>
          <w:bCs w:val="1"/>
          <w:i w:val="1"/>
          <w:iCs w:val="1"/>
          <w:color w:val="auto"/>
        </w:rPr>
        <w:t>Resignation for Good Reason</w:t>
      </w:r>
      <w:r>
        <w:rPr>
          <w:rFonts w:ascii="Arial" w:cs="Arial" w:eastAsia="Arial" w:hAnsi="Arial"/>
          <w:sz w:val="19"/>
          <w:szCs w:val="19"/>
          <w:color w:val="auto"/>
        </w:rPr>
        <w:t>” means Executive’s resignation from all employee positions Executive then</w:t>
      </w:r>
      <w:r>
        <w:rPr>
          <w:rFonts w:ascii="Arial" w:cs="Arial" w:eastAsia="Arial" w:hAnsi="Arial"/>
          <w:sz w:val="19"/>
          <w:szCs w:val="19"/>
          <w:b w:val="1"/>
          <w:bCs w:val="1"/>
          <w:color w:val="auto"/>
        </w:rPr>
        <w:t xml:space="preserve"> </w:t>
      </w:r>
      <w:r>
        <w:rPr>
          <w:rFonts w:ascii="Arial" w:cs="Arial" w:eastAsia="Arial" w:hAnsi="Arial"/>
          <w:sz w:val="19"/>
          <w:szCs w:val="19"/>
          <w:color w:val="auto"/>
        </w:rPr>
        <w:t>holds 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22" w:lineRule="exact"/>
        <w:rPr>
          <w:sz w:val="20"/>
          <w:szCs w:val="20"/>
          <w:color w:val="auto"/>
        </w:rPr>
      </w:pPr>
    </w:p>
    <w:p>
      <w:pPr>
        <w:ind w:right="380" w:firstLine="1733"/>
        <w:spacing w:after="0" w:line="275" w:lineRule="auto"/>
        <w:tabs>
          <w:tab w:leader="none" w:pos="25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A decrease in Executive’s total target cash compensation (base and bonus) of more than 10% (i.e., a material reduction in Executive’s base compensation and a material breach by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29" w:name="page130"/>
    <w:bookmarkEnd w:id="129"/>
    <w:p>
      <w:pPr>
        <w:ind w:right="340"/>
        <w:spacing w:after="0" w:line="275" w:lineRule="auto"/>
        <w:rPr>
          <w:sz w:val="20"/>
          <w:szCs w:val="20"/>
          <w:color w:val="auto"/>
        </w:rPr>
      </w:pPr>
      <w:r>
        <w:rPr>
          <w:rFonts w:ascii="Arial" w:cs="Arial" w:eastAsia="Arial" w:hAnsi="Arial"/>
          <w:sz w:val="19"/>
          <w:szCs w:val="19"/>
          <w:color w:val="auto"/>
        </w:rPr>
        <w:t>Company of Executive’s employment terms with the Company), other than in connection with a comparable decrease in compensation for all comparable executives of the Company;</w:t>
      </w:r>
    </w:p>
    <w:p>
      <w:pPr>
        <w:spacing w:after="0" w:line="104" w:lineRule="exact"/>
        <w:rPr>
          <w:sz w:val="20"/>
          <w:szCs w:val="20"/>
          <w:color w:val="auto"/>
        </w:rPr>
      </w:pPr>
    </w:p>
    <w:p>
      <w:pPr>
        <w:ind w:left="2520" w:hanging="787"/>
        <w:spacing w:after="0"/>
        <w:tabs>
          <w:tab w:leader="none" w:pos="25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Executive’s duties, authority or responsibilities are materially diminished (not simply a change in title or</w:t>
      </w:r>
    </w:p>
    <w:p>
      <w:pPr>
        <w:spacing w:after="0" w:line="2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reporting relationships);</w:t>
      </w:r>
    </w:p>
    <w:p>
      <w:pPr>
        <w:spacing w:after="0" w:line="146" w:lineRule="exact"/>
        <w:rPr>
          <w:rFonts w:ascii="Arial" w:cs="Arial" w:eastAsia="Arial" w:hAnsi="Arial"/>
          <w:sz w:val="19"/>
          <w:szCs w:val="19"/>
          <w:color w:val="auto"/>
        </w:rPr>
      </w:pPr>
    </w:p>
    <w:p>
      <w:pPr>
        <w:ind w:left="2520" w:hanging="787"/>
        <w:spacing w:after="0"/>
        <w:tabs>
          <w:tab w:leader="none" w:pos="25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 material breach by the Company of the terms of the Agreement;</w:t>
      </w:r>
    </w:p>
    <w:p>
      <w:pPr>
        <w:spacing w:after="0" w:line="149" w:lineRule="exact"/>
        <w:rPr>
          <w:rFonts w:ascii="Arial" w:cs="Arial" w:eastAsia="Arial" w:hAnsi="Arial"/>
          <w:sz w:val="19"/>
          <w:szCs w:val="19"/>
          <w:color w:val="auto"/>
        </w:rPr>
      </w:pPr>
    </w:p>
    <w:p>
      <w:pPr>
        <w:ind w:right="20" w:firstLine="1733"/>
        <w:spacing w:after="0" w:line="284" w:lineRule="auto"/>
        <w:tabs>
          <w:tab w:leader="none" w:pos="2519" w:val="left"/>
        </w:tabs>
        <w:numPr>
          <w:ilvl w:val="0"/>
          <w:numId w:val="70"/>
        </w:numPr>
        <w:rPr>
          <w:rFonts w:ascii="Arial" w:cs="Arial" w:eastAsia="Arial" w:hAnsi="Arial"/>
          <w:sz w:val="17"/>
          <w:szCs w:val="17"/>
          <w:color w:val="auto"/>
        </w:rPr>
      </w:pPr>
      <w:r>
        <w:rPr>
          <w:rFonts w:ascii="Arial" w:cs="Arial" w:eastAsia="Arial" w:hAnsi="Arial"/>
          <w:sz w:val="17"/>
          <w:szCs w:val="17"/>
          <w:color w:val="auto"/>
        </w:rPr>
        <w:t>Either (i) Executive is required to establish residence in a location more than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7"/>
          <w:szCs w:val="17"/>
          <w:b w:val="1"/>
          <w:bCs w:val="1"/>
          <w:i w:val="1"/>
          <w:iCs w:val="1"/>
          <w:color w:val="auto"/>
        </w:rPr>
        <w:t>Executive’s Principal Place of Business</w:t>
      </w:r>
      <w:r>
        <w:rPr>
          <w:rFonts w:ascii="Arial" w:cs="Arial" w:eastAsia="Arial" w:hAnsi="Arial"/>
          <w:sz w:val="17"/>
          <w:szCs w:val="17"/>
          <w:color w:val="auto"/>
        </w:rPr>
        <w:t>”) as a result of a change in location by the Company of Executive’s Principal Place of Business; provided however, that the foregoing shall not include the establishment of a secondary residence within fifty (50) miles from the Company’s Waltham headquarters with Executive’s consent or any commute between Executive’s current principal personal residence and the Company’s Waltham headquarters; or</w:t>
      </w:r>
    </w:p>
    <w:p>
      <w:pPr>
        <w:spacing w:after="0" w:line="102" w:lineRule="exact"/>
        <w:rPr>
          <w:rFonts w:ascii="Arial" w:cs="Arial" w:eastAsia="Arial" w:hAnsi="Arial"/>
          <w:sz w:val="17"/>
          <w:szCs w:val="17"/>
          <w:color w:val="auto"/>
        </w:rPr>
      </w:pPr>
    </w:p>
    <w:p>
      <w:pPr>
        <w:ind w:right="460" w:firstLine="1733"/>
        <w:spacing w:after="0" w:line="275" w:lineRule="auto"/>
        <w:tabs>
          <w:tab w:leader="none" w:pos="2509"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failure of the Company to obtain a satisfactory agreement from any successor to materially assume and materially agree to perform under the terms of this Agreement.</w:t>
      </w:r>
    </w:p>
    <w:p>
      <w:pPr>
        <w:spacing w:after="0" w:line="98" w:lineRule="exact"/>
        <w:rPr>
          <w:sz w:val="20"/>
          <w:szCs w:val="20"/>
          <w:color w:val="auto"/>
        </w:rPr>
      </w:pPr>
    </w:p>
    <w:p>
      <w:pPr>
        <w:ind w:right="60" w:firstLine="864"/>
        <w:spacing w:after="0" w:line="281" w:lineRule="auto"/>
        <w:rPr>
          <w:sz w:val="20"/>
          <w:szCs w:val="20"/>
          <w:color w:val="auto"/>
        </w:rPr>
      </w:pPr>
      <w:r>
        <w:rPr>
          <w:rFonts w:ascii="Arial" w:cs="Arial" w:eastAsia="Arial" w:hAnsi="Arial"/>
          <w:sz w:val="19"/>
          <w:szCs w:val="19"/>
          <w:b w:val="1"/>
          <w:bCs w:val="1"/>
          <w:color w:val="auto"/>
        </w:rPr>
        <w:t xml:space="preserve">7.19. </w:t>
      </w: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means the effective date of the Change in Control Termination, the Covered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 termination for Cause, as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GENERAL PROVISIONS</w:t>
      </w:r>
    </w:p>
    <w:p>
      <w:pPr>
        <w:spacing w:after="0" w:line="5" w:lineRule="exact"/>
        <w:rPr>
          <w:sz w:val="20"/>
          <w:szCs w:val="20"/>
          <w:color w:val="auto"/>
        </w:rPr>
      </w:pPr>
    </w:p>
    <w:p>
      <w:pPr>
        <w:ind w:right="280" w:firstLine="864"/>
        <w:spacing w:after="0" w:line="272" w:lineRule="auto"/>
        <w:rPr>
          <w:sz w:val="20"/>
          <w:szCs w:val="20"/>
          <w:color w:val="auto"/>
        </w:rPr>
      </w:pPr>
      <w:r>
        <w:rPr>
          <w:rFonts w:ascii="Arial" w:cs="Arial" w:eastAsia="Arial" w:hAnsi="Arial"/>
          <w:sz w:val="18"/>
          <w:szCs w:val="18"/>
          <w:b w:val="1"/>
          <w:bCs w:val="1"/>
          <w:color w:val="auto"/>
        </w:rPr>
        <w:t>8.1. Employment Status</w:t>
      </w:r>
      <w:r>
        <w:rPr>
          <w:rFonts w:ascii="Arial" w:cs="Arial" w:eastAsia="Arial" w:hAnsi="Arial"/>
          <w:sz w:val="18"/>
          <w:szCs w:val="18"/>
          <w:color w:val="auto"/>
        </w:rPr>
        <w:t>. This Agreement does not constitute a contract of employment or impose upon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any obligation to remain as an employee, or impose on the Company any obligation (i) to retain Executive as an employee, (ii) to change the status of Executive as an at-will employee or (iii) to change the Company’s policies regarding termination of employment.</w:t>
      </w:r>
    </w:p>
    <w:p>
      <w:pPr>
        <w:spacing w:after="0" w:line="207" w:lineRule="exact"/>
        <w:rPr>
          <w:sz w:val="20"/>
          <w:szCs w:val="20"/>
          <w:color w:val="auto"/>
        </w:rPr>
      </w:pPr>
    </w:p>
    <w:p>
      <w:pPr>
        <w:ind w:firstLine="864"/>
        <w:spacing w:after="0" w:line="254" w:lineRule="auto"/>
        <w:rPr>
          <w:sz w:val="20"/>
          <w:szCs w:val="20"/>
          <w:color w:val="auto"/>
        </w:rPr>
      </w:pPr>
      <w:r>
        <w:rPr>
          <w:rFonts w:ascii="Arial" w:cs="Arial" w:eastAsia="Arial" w:hAnsi="Arial"/>
          <w:sz w:val="19"/>
          <w:szCs w:val="19"/>
          <w:b w:val="1"/>
          <w:bCs w:val="1"/>
          <w:color w:val="auto"/>
        </w:rPr>
        <w:t>8.2. Notices</w:t>
      </w:r>
      <w:r>
        <w:rPr>
          <w:rFonts w:ascii="Arial" w:cs="Arial" w:eastAsia="Arial" w:hAnsi="Arial"/>
          <w:sz w:val="19"/>
          <w:szCs w:val="19"/>
          <w:color w:val="auto"/>
        </w:rPr>
        <w:t>. Any notices provided hereunder must be in writing, and such notices or any other written communication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effective upon 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spacing w:after="0" w:line="92" w:lineRule="exact"/>
        <w:rPr>
          <w:sz w:val="20"/>
          <w:szCs w:val="20"/>
          <w:color w:val="auto"/>
        </w:rPr>
      </w:pPr>
    </w:p>
    <w:p>
      <w:pPr>
        <w:ind w:right="20" w:firstLine="864"/>
        <w:spacing w:after="0" w:line="254" w:lineRule="auto"/>
        <w:rPr>
          <w:sz w:val="20"/>
          <w:szCs w:val="20"/>
          <w:color w:val="auto"/>
        </w:rPr>
      </w:pPr>
      <w:r>
        <w:rPr>
          <w:rFonts w:ascii="Arial" w:cs="Arial" w:eastAsia="Arial" w:hAnsi="Arial"/>
          <w:sz w:val="19"/>
          <w:szCs w:val="19"/>
          <w:b w:val="1"/>
          <w:bCs w:val="1"/>
          <w:color w:val="auto"/>
        </w:rPr>
        <w:t>8.3. Severability</w:t>
      </w:r>
      <w:r>
        <w:rPr>
          <w:rFonts w:ascii="Arial" w:cs="Arial" w:eastAsia="Arial" w:hAnsi="Arial"/>
          <w:sz w:val="19"/>
          <w:szCs w:val="19"/>
          <w:color w:val="auto"/>
        </w:rPr>
        <w:t>. Whenever possible, each provision of this Agreement will be interpreted in such manner as to be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19" w:lineRule="exact"/>
        <w:rPr>
          <w:sz w:val="20"/>
          <w:szCs w:val="20"/>
          <w:color w:val="auto"/>
        </w:rPr>
      </w:pPr>
    </w:p>
    <w:p>
      <w:pPr>
        <w:ind w:right="600" w:firstLine="864"/>
        <w:spacing w:after="0" w:line="281" w:lineRule="auto"/>
        <w:rPr>
          <w:sz w:val="20"/>
          <w:szCs w:val="20"/>
          <w:color w:val="auto"/>
        </w:rPr>
      </w:pPr>
      <w:r>
        <w:rPr>
          <w:rFonts w:ascii="Arial" w:cs="Arial" w:eastAsia="Arial" w:hAnsi="Arial"/>
          <w:sz w:val="19"/>
          <w:szCs w:val="19"/>
          <w:b w:val="1"/>
          <w:bCs w:val="1"/>
          <w:color w:val="auto"/>
        </w:rPr>
        <w:t>8.4. Waiver</w:t>
      </w:r>
      <w:r>
        <w:rPr>
          <w:rFonts w:ascii="Arial" w:cs="Arial" w:eastAsia="Arial" w:hAnsi="Arial"/>
          <w:sz w:val="19"/>
          <w:szCs w:val="19"/>
          <w:color w:val="auto"/>
        </w:rPr>
        <w:t>. If either party should waive any breach of any provisions of this Agreement, he, she or it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thereby be deemed to have waived any preceding or succeeding breach of the same or any other provision of this Agreement.</w:t>
      </w:r>
    </w:p>
    <w:p>
      <w:pPr>
        <w:spacing w:after="0" w:line="80" w:lineRule="exact"/>
        <w:rPr>
          <w:sz w:val="20"/>
          <w:szCs w:val="20"/>
          <w:color w:val="auto"/>
        </w:rPr>
      </w:pPr>
    </w:p>
    <w:p>
      <w:pPr>
        <w:ind w:right="140" w:firstLine="864"/>
        <w:spacing w:after="0" w:line="281" w:lineRule="auto"/>
        <w:rPr>
          <w:sz w:val="20"/>
          <w:szCs w:val="20"/>
          <w:color w:val="auto"/>
        </w:rPr>
      </w:pPr>
      <w:r>
        <w:rPr>
          <w:rFonts w:ascii="Arial" w:cs="Arial" w:eastAsia="Arial" w:hAnsi="Arial"/>
          <w:sz w:val="19"/>
          <w:szCs w:val="19"/>
          <w:b w:val="1"/>
          <w:bCs w:val="1"/>
          <w:color w:val="auto"/>
        </w:rPr>
        <w:t>8.5. Complete Agreement</w:t>
      </w:r>
      <w:r>
        <w:rPr>
          <w:rFonts w:ascii="Arial" w:cs="Arial" w:eastAsia="Arial" w:hAnsi="Arial"/>
          <w:sz w:val="19"/>
          <w:szCs w:val="19"/>
          <w:color w:val="auto"/>
        </w:rPr>
        <w:t>. This Agreement, including</w:t>
      </w:r>
      <w:r>
        <w:rPr>
          <w:rFonts w:ascii="Arial" w:cs="Arial" w:eastAsia="Arial" w:hAnsi="Arial"/>
          <w:sz w:val="19"/>
          <w:szCs w:val="19"/>
          <w:b w:val="1"/>
          <w:bCs w:val="1"/>
          <w:color w:val="auto"/>
        </w:rPr>
        <w:t xml:space="preserve"> Exhibit A</w:t>
      </w:r>
      <w:r>
        <w:rPr>
          <w:rFonts w:ascii="Arial" w:cs="Arial" w:eastAsia="Arial" w:hAnsi="Arial"/>
          <w:sz w:val="19"/>
          <w:szCs w:val="19"/>
          <w:color w:val="auto"/>
        </w:rPr>
        <w:t>,</w:t>
      </w:r>
      <w:r>
        <w:rPr>
          <w:rFonts w:ascii="Arial" w:cs="Arial" w:eastAsia="Arial" w:hAnsi="Arial"/>
          <w:sz w:val="19"/>
          <w:szCs w:val="19"/>
          <w:b w:val="1"/>
          <w:bCs w:val="1"/>
          <w:color w:val="auto"/>
        </w:rPr>
        <w:t xml:space="preserve"> Exhibit B </w:t>
      </w:r>
      <w:r>
        <w:rPr>
          <w:rFonts w:ascii="Arial" w:cs="Arial" w:eastAsia="Arial" w:hAnsi="Arial"/>
          <w:sz w:val="19"/>
          <w:szCs w:val="19"/>
          <w:color w:val="auto"/>
        </w:rPr>
        <w:t>and</w:t>
      </w:r>
      <w:r>
        <w:rPr>
          <w:rFonts w:ascii="Arial" w:cs="Arial" w:eastAsia="Arial" w:hAnsi="Arial"/>
          <w:sz w:val="19"/>
          <w:szCs w:val="19"/>
          <w:b w:val="1"/>
          <w:bCs w:val="1"/>
          <w:color w:val="auto"/>
        </w:rPr>
        <w:t xml:space="preserve"> Exhibit C</w:t>
      </w:r>
      <w:r>
        <w:rPr>
          <w:rFonts w:ascii="Arial" w:cs="Arial" w:eastAsia="Arial" w:hAnsi="Arial"/>
          <w:sz w:val="19"/>
          <w:szCs w:val="19"/>
          <w:color w:val="auto"/>
        </w:rPr>
        <w:t>, and the 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constitute the entire agreement between Executive and the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30" w:name="page131"/>
    <w:bookmarkEnd w:id="130"/>
    <w:p>
      <w:pPr>
        <w:jc w:val="both"/>
        <w:ind w:right="40"/>
        <w:spacing w:after="0" w:line="260" w:lineRule="auto"/>
        <w:rPr>
          <w:sz w:val="20"/>
          <w:szCs w:val="20"/>
          <w:color w:val="auto"/>
        </w:rPr>
      </w:pPr>
      <w:r>
        <w:rPr>
          <w:rFonts w:ascii="Arial" w:cs="Arial" w:eastAsia="Arial" w:hAnsi="Arial"/>
          <w:sz w:val="19"/>
          <w:szCs w:val="19"/>
          <w:color w:val="auto"/>
        </w:rPr>
        <w:t>and is the complete, final and exclusive embodiment of their agreement with regard to this subject matter, wholly superseding all written and oral agreements with respect to payments and benefits to Executive in the event of employment termination. It is entered into without reliance on any promise or representation other than those expressly contained herein.</w:t>
      </w:r>
    </w:p>
    <w:p>
      <w:pPr>
        <w:spacing w:after="0" w:line="112" w:lineRule="exact"/>
        <w:rPr>
          <w:sz w:val="20"/>
          <w:szCs w:val="20"/>
          <w:color w:val="auto"/>
        </w:rPr>
      </w:pPr>
    </w:p>
    <w:p>
      <w:pPr>
        <w:ind w:right="80" w:firstLine="864"/>
        <w:spacing w:after="0" w:line="250" w:lineRule="auto"/>
        <w:rPr>
          <w:sz w:val="20"/>
          <w:szCs w:val="20"/>
          <w:color w:val="auto"/>
        </w:rPr>
      </w:pPr>
      <w:r>
        <w:rPr>
          <w:rFonts w:ascii="Arial" w:cs="Arial" w:eastAsia="Arial" w:hAnsi="Arial"/>
          <w:sz w:val="19"/>
          <w:szCs w:val="19"/>
          <w:b w:val="1"/>
          <w:bCs w:val="1"/>
          <w:color w:val="auto"/>
        </w:rPr>
        <w:t>8.6. Amendment or Termination of Agreement; Continuation of Agreement</w:t>
      </w:r>
      <w:r>
        <w:rPr>
          <w:rFonts w:ascii="Arial" w:cs="Arial" w:eastAsia="Arial" w:hAnsi="Arial"/>
          <w:sz w:val="19"/>
          <w:szCs w:val="19"/>
          <w:color w:val="auto"/>
        </w:rPr>
        <w:t>. This Agreement may be changed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only upon the mutual 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 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3 hereof.</w:t>
      </w:r>
    </w:p>
    <w:p>
      <w:pPr>
        <w:spacing w:after="0" w:line="98" w:lineRule="exact"/>
        <w:rPr>
          <w:sz w:val="20"/>
          <w:szCs w:val="20"/>
          <w:color w:val="auto"/>
        </w:rPr>
      </w:pPr>
    </w:p>
    <w:p>
      <w:pPr>
        <w:ind w:right="400" w:firstLine="864"/>
        <w:spacing w:after="0" w:line="281" w:lineRule="auto"/>
        <w:rPr>
          <w:sz w:val="20"/>
          <w:szCs w:val="20"/>
          <w:color w:val="auto"/>
        </w:rPr>
      </w:pPr>
      <w:r>
        <w:rPr>
          <w:rFonts w:ascii="Arial" w:cs="Arial" w:eastAsia="Arial" w:hAnsi="Arial"/>
          <w:sz w:val="19"/>
          <w:szCs w:val="19"/>
          <w:b w:val="1"/>
          <w:bCs w:val="1"/>
          <w:color w:val="auto"/>
        </w:rPr>
        <w:t>8.7. Counterparts</w:t>
      </w:r>
      <w:r>
        <w:rPr>
          <w:rFonts w:ascii="Arial" w:cs="Arial" w:eastAsia="Arial" w:hAnsi="Arial"/>
          <w:sz w:val="19"/>
          <w:szCs w:val="19"/>
          <w:color w:val="auto"/>
        </w:rPr>
        <w:t>. This Agreement may be executed in separate counterparts, any one of which need not contain</w:t>
      </w:r>
      <w:r>
        <w:rPr>
          <w:rFonts w:ascii="Arial" w:cs="Arial" w:eastAsia="Arial" w:hAnsi="Arial"/>
          <w:sz w:val="19"/>
          <w:szCs w:val="19"/>
          <w:b w:val="1"/>
          <w:bCs w:val="1"/>
          <w:color w:val="auto"/>
        </w:rPr>
        <w:t xml:space="preserve"> </w:t>
      </w:r>
      <w:r>
        <w:rPr>
          <w:rFonts w:ascii="Arial" w:cs="Arial" w:eastAsia="Arial" w:hAnsi="Arial"/>
          <w:sz w:val="19"/>
          <w:szCs w:val="19"/>
          <w:color w:val="auto"/>
        </w:rPr>
        <w:t>signatures of more than one party, but all of which taken together will constitute one and the same Agreement.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tcPr>
          <w:p>
            <w:pPr>
              <w:jc w:val="right"/>
              <w:ind w:right="524"/>
              <w:spacing w:after="0"/>
              <w:rPr>
                <w:sz w:val="20"/>
                <w:szCs w:val="20"/>
                <w:color w:val="auto"/>
              </w:rPr>
            </w:pPr>
            <w:r>
              <w:rPr>
                <w:rFonts w:ascii="Arial" w:cs="Arial" w:eastAsia="Arial" w:hAnsi="Arial"/>
                <w:sz w:val="19"/>
                <w:szCs w:val="19"/>
                <w:b w:val="1"/>
                <w:bCs w:val="1"/>
                <w:color w:val="auto"/>
              </w:rPr>
              <w:t>8.8.</w:t>
            </w:r>
          </w:p>
        </w:tc>
        <w:tc>
          <w:tcPr>
            <w:tcW w:w="9160" w:type="dxa"/>
            <w:vAlign w:val="bottom"/>
          </w:tcPr>
          <w:p>
            <w:pPr>
              <w:ind w:left="640"/>
              <w:spacing w:after="0"/>
              <w:rPr>
                <w:sz w:val="20"/>
                <w:szCs w:val="20"/>
                <w:color w:val="auto"/>
              </w:rPr>
            </w:pPr>
            <w:r>
              <w:rPr>
                <w:rFonts w:ascii="Arial" w:cs="Arial" w:eastAsia="Arial" w:hAnsi="Arial"/>
                <w:sz w:val="19"/>
                <w:szCs w:val="19"/>
                <w:b w:val="1"/>
                <w:bCs w:val="1"/>
                <w:color w:val="auto"/>
                <w:w w:val="91"/>
              </w:rPr>
              <w:t>Headings</w:t>
            </w:r>
            <w:r>
              <w:rPr>
                <w:rFonts w:ascii="Arial" w:cs="Arial" w:eastAsia="Arial" w:hAnsi="Arial"/>
                <w:sz w:val="19"/>
                <w:szCs w:val="19"/>
                <w:color w:val="auto"/>
                <w:w w:val="91"/>
              </w:rPr>
              <w:t>. The headings of the Articles and Sections hereof are inserted for convenience only and shall not be</w:t>
            </w:r>
          </w:p>
        </w:tc>
      </w:tr>
      <w:tr>
        <w:trPr>
          <w:trHeight w:val="246"/>
        </w:trPr>
        <w:tc>
          <w:tcPr>
            <w:tcW w:w="10940" w:type="dxa"/>
            <w:vAlign w:val="bottom"/>
            <w:gridSpan w:val="2"/>
          </w:tcPr>
          <w:p>
            <w:pPr>
              <w:spacing w:after="0"/>
              <w:rPr>
                <w:sz w:val="20"/>
                <w:szCs w:val="20"/>
                <w:color w:val="auto"/>
              </w:rPr>
            </w:pPr>
            <w:r>
              <w:rPr>
                <w:rFonts w:ascii="Arial" w:cs="Arial" w:eastAsia="Arial" w:hAnsi="Arial"/>
                <w:sz w:val="19"/>
                <w:szCs w:val="19"/>
                <w:color w:val="auto"/>
              </w:rPr>
              <w:t>deemed to constitute a part hereof nor to affect the meaning thereof.</w:t>
            </w:r>
          </w:p>
        </w:tc>
      </w:tr>
      <w:tr>
        <w:trPr>
          <w:trHeight w:val="375"/>
        </w:trPr>
        <w:tc>
          <w:tcPr>
            <w:tcW w:w="1780" w:type="dxa"/>
            <w:vAlign w:val="bottom"/>
          </w:tcPr>
          <w:p>
            <w:pPr>
              <w:jc w:val="right"/>
              <w:ind w:right="524"/>
              <w:spacing w:after="0"/>
              <w:rPr>
                <w:sz w:val="20"/>
                <w:szCs w:val="20"/>
                <w:color w:val="auto"/>
              </w:rPr>
            </w:pPr>
            <w:r>
              <w:rPr>
                <w:rFonts w:ascii="Arial" w:cs="Arial" w:eastAsia="Arial" w:hAnsi="Arial"/>
                <w:sz w:val="19"/>
                <w:szCs w:val="19"/>
                <w:b w:val="1"/>
                <w:bCs w:val="1"/>
                <w:color w:val="auto"/>
              </w:rPr>
              <w:t>8.9.</w:t>
            </w:r>
          </w:p>
        </w:tc>
        <w:tc>
          <w:tcPr>
            <w:tcW w:w="9160" w:type="dxa"/>
            <w:vAlign w:val="bottom"/>
          </w:tcPr>
          <w:p>
            <w:pPr>
              <w:ind w:left="640"/>
              <w:spacing w:after="0"/>
              <w:rPr>
                <w:sz w:val="20"/>
                <w:szCs w:val="20"/>
                <w:color w:val="auto"/>
              </w:rPr>
            </w:pPr>
            <w:r>
              <w:rPr>
                <w:rFonts w:ascii="Arial" w:cs="Arial" w:eastAsia="Arial" w:hAnsi="Arial"/>
                <w:sz w:val="19"/>
                <w:szCs w:val="19"/>
                <w:b w:val="1"/>
                <w:bCs w:val="1"/>
                <w:color w:val="auto"/>
                <w:w w:val="90"/>
              </w:rPr>
              <w:t>Successors and Assigns</w:t>
            </w:r>
            <w:r>
              <w:rPr>
                <w:rFonts w:ascii="Arial" w:cs="Arial" w:eastAsia="Arial" w:hAnsi="Arial"/>
                <w:sz w:val="19"/>
                <w:szCs w:val="19"/>
                <w:color w:val="auto"/>
                <w:w w:val="90"/>
              </w:rPr>
              <w:t>. This Agreement is intended to bind and inure to the benefit of and be enforceable by</w:t>
            </w:r>
          </w:p>
        </w:tc>
      </w:tr>
    </w:tbl>
    <w:p>
      <w:pPr>
        <w:ind w:right="420"/>
        <w:spacing w:after="0" w:line="248" w:lineRule="auto"/>
        <w:rPr>
          <w:sz w:val="20"/>
          <w:szCs w:val="20"/>
          <w:color w:val="auto"/>
        </w:rPr>
      </w:pPr>
      <w:r>
        <w:rPr>
          <w:rFonts w:ascii="Arial" w:cs="Arial" w:eastAsia="Arial" w:hAnsi="Arial"/>
          <w:sz w:val="19"/>
          <w:szCs w:val="19"/>
          <w:color w:val="auto"/>
        </w:rPr>
        <w:t>Executive, and the Company, and 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229" w:lineRule="exact"/>
        <w:rPr>
          <w:sz w:val="20"/>
          <w:szCs w:val="20"/>
          <w:color w:val="auto"/>
        </w:rPr>
      </w:pPr>
    </w:p>
    <w:p>
      <w:pPr>
        <w:ind w:right="20" w:firstLine="864"/>
        <w:spacing w:after="0" w:line="278" w:lineRule="auto"/>
        <w:rPr>
          <w:sz w:val="20"/>
          <w:szCs w:val="20"/>
          <w:color w:val="auto"/>
        </w:rPr>
      </w:pPr>
      <w:r>
        <w:rPr>
          <w:rFonts w:ascii="Arial" w:cs="Arial" w:eastAsia="Arial" w:hAnsi="Arial"/>
          <w:sz w:val="17"/>
          <w:szCs w:val="17"/>
          <w:b w:val="1"/>
          <w:bCs w:val="1"/>
          <w:color w:val="auto"/>
        </w:rPr>
        <w:t>8.10. Choice of Law</w:t>
      </w:r>
      <w:r>
        <w:rPr>
          <w:rFonts w:ascii="Arial" w:cs="Arial" w:eastAsia="Arial" w:hAnsi="Arial"/>
          <w:sz w:val="17"/>
          <w:szCs w:val="17"/>
          <w:color w:val="auto"/>
        </w:rPr>
        <w:t>. Because of the Company’s and Executive’s interests in ensuring that disputes regarding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spacing w:after="0" w:line="4" w:lineRule="exact"/>
        <w:rPr>
          <w:sz w:val="20"/>
          <w:szCs w:val="20"/>
          <w:color w:val="auto"/>
        </w:rPr>
      </w:pPr>
    </w:p>
    <w:p>
      <w:pPr>
        <w:ind w:firstLine="864"/>
        <w:spacing w:after="0" w:line="260" w:lineRule="auto"/>
        <w:rPr>
          <w:sz w:val="20"/>
          <w:szCs w:val="20"/>
          <w:color w:val="auto"/>
        </w:rPr>
      </w:pPr>
      <w:r>
        <w:rPr>
          <w:rFonts w:ascii="Arial" w:cs="Arial" w:eastAsia="Arial" w:hAnsi="Arial"/>
          <w:sz w:val="18"/>
          <w:szCs w:val="18"/>
          <w:b w:val="1"/>
          <w:bCs w:val="1"/>
          <w:color w:val="auto"/>
        </w:rPr>
        <w:t xml:space="preserve">8.11. Arbitration. </w:t>
      </w:r>
      <w:r>
        <w:rPr>
          <w:rFonts w:ascii="Arial" w:cs="Arial" w:eastAsia="Arial" w:hAnsi="Arial"/>
          <w:sz w:val="18"/>
          <w:szCs w:val="18"/>
          <w:color w:val="auto"/>
        </w:rPr>
        <w:t>To ensure the rapid and economical resolution of any disputes that may arise under or relate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Executive’s 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by the Judicial Arbitration &amp; Mediation Services,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in accordance with its then-current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The JAMS Rules are also available online at </w:t>
      </w:r>
      <w:r>
        <w:rPr>
          <w:rFonts w:ascii="Arial" w:cs="Arial" w:eastAsia="Arial" w:hAnsi="Arial"/>
          <w:sz w:val="18"/>
          <w:szCs w:val="18"/>
          <w:u w:val="single" w:color="auto"/>
          <w:color w:val="0000FF"/>
        </w:rPr>
        <w:t>http://www.jamsadr.com/rules-employment-arbitration/</w:t>
      </w:r>
      <w:r>
        <w:rPr>
          <w:rFonts w:ascii="Arial" w:cs="Arial" w:eastAsia="Arial" w:hAnsi="Arial"/>
          <w:sz w:val="18"/>
          <w:szCs w:val="18"/>
          <w:color w:val="auto"/>
        </w:rPr>
        <w:t>. 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31" w:name="page132"/>
    <w:bookmarkEnd w:id="131"/>
    <w:p>
      <w:pPr>
        <w:ind w:right="240" w:firstLine="864"/>
        <w:spacing w:after="0" w:line="281" w:lineRule="auto"/>
        <w:rPr>
          <w:sz w:val="20"/>
          <w:szCs w:val="20"/>
          <w:color w:val="auto"/>
        </w:rPr>
      </w:pPr>
      <w:r>
        <w:rPr>
          <w:rFonts w:ascii="Arial" w:cs="Arial" w:eastAsia="Arial" w:hAnsi="Arial"/>
          <w:sz w:val="19"/>
          <w:szCs w:val="19"/>
          <w:b w:val="1"/>
          <w:bCs w:val="1"/>
          <w:color w:val="auto"/>
        </w:rPr>
        <w:t>8.12. Construction of Agreement</w:t>
      </w:r>
      <w:r>
        <w:rPr>
          <w:rFonts w:ascii="Arial" w:cs="Arial" w:eastAsia="Arial" w:hAnsi="Arial"/>
          <w:sz w:val="19"/>
          <w:szCs w:val="19"/>
          <w:color w:val="auto"/>
        </w:rPr>
        <w:t>. In the event of a conflict between the text of this Agreement and any summary,</w:t>
      </w:r>
      <w:r>
        <w:rPr>
          <w:rFonts w:ascii="Arial" w:cs="Arial" w:eastAsia="Arial" w:hAnsi="Arial"/>
          <w:sz w:val="19"/>
          <w:szCs w:val="19"/>
          <w:b w:val="1"/>
          <w:bCs w:val="1"/>
          <w:color w:val="auto"/>
        </w:rPr>
        <w:t xml:space="preserve"> </w:t>
      </w:r>
      <w:r>
        <w:rPr>
          <w:rFonts w:ascii="Arial" w:cs="Arial" w:eastAsia="Arial" w:hAnsi="Arial"/>
          <w:sz w:val="19"/>
          <w:szCs w:val="19"/>
          <w:color w:val="auto"/>
        </w:rPr>
        <w:t>description or other information regarding this Agreement, the text of this Agreement shall control.</w:t>
      </w:r>
    </w:p>
    <w:p>
      <w:pPr>
        <w:spacing w:after="0" w:line="146" w:lineRule="exact"/>
        <w:rPr>
          <w:sz w:val="20"/>
          <w:szCs w:val="20"/>
          <w:color w:val="auto"/>
        </w:rPr>
      </w:pPr>
    </w:p>
    <w:p>
      <w:pPr>
        <w:ind w:left="860"/>
        <w:spacing w:after="0"/>
        <w:tabs>
          <w:tab w:leader="none" w:pos="2500" w:val="left"/>
        </w:tabs>
        <w:rPr>
          <w:sz w:val="20"/>
          <w:szCs w:val="20"/>
          <w:color w:val="auto"/>
        </w:rPr>
      </w:pPr>
      <w:r>
        <w:rPr>
          <w:rFonts w:ascii="Arial" w:cs="Arial" w:eastAsia="Arial" w:hAnsi="Arial"/>
          <w:sz w:val="19"/>
          <w:szCs w:val="19"/>
          <w:b w:val="1"/>
          <w:bCs w:val="1"/>
          <w:color w:val="auto"/>
        </w:rPr>
        <w:t>8.13.</w:t>
      </w:r>
      <w:r>
        <w:rPr>
          <w:sz w:val="20"/>
          <w:szCs w:val="20"/>
          <w:color w:val="auto"/>
        </w:rPr>
        <w:tab/>
      </w:r>
      <w:r>
        <w:rPr>
          <w:rFonts w:ascii="Arial" w:cs="Arial" w:eastAsia="Arial" w:hAnsi="Arial"/>
          <w:sz w:val="19"/>
          <w:szCs w:val="19"/>
          <w:b w:val="1"/>
          <w:bCs w:val="1"/>
          <w:color w:val="auto"/>
        </w:rPr>
        <w:t>Circular 230 Disclaimer</w:t>
      </w:r>
      <w:r>
        <w:rPr>
          <w:rFonts w:ascii="Arial" w:cs="Arial" w:eastAsia="Arial" w:hAnsi="Arial"/>
          <w:sz w:val="19"/>
          <w:szCs w:val="19"/>
          <w:color w:val="auto"/>
        </w:rPr>
        <w:t>.</w:t>
      </w:r>
      <w:r>
        <w:rPr>
          <w:rFonts w:ascii="Arial" w:cs="Arial" w:eastAsia="Arial" w:hAnsi="Arial"/>
          <w:sz w:val="19"/>
          <w:szCs w:val="19"/>
          <w:b w:val="1"/>
          <w:bCs w:val="1"/>
          <w:color w:val="auto"/>
        </w:rPr>
        <w:t xml:space="preserve"> THE FOLLOWING DISCLAIMER IS PROVIDED IN ACCORDANCE WITH</w:t>
      </w:r>
    </w:p>
    <w:p>
      <w:pPr>
        <w:spacing w:after="0" w:line="27" w:lineRule="exact"/>
        <w:rPr>
          <w:sz w:val="20"/>
          <w:szCs w:val="20"/>
          <w:color w:val="auto"/>
        </w:rPr>
      </w:pPr>
    </w:p>
    <w:p>
      <w:pPr>
        <w:spacing w:after="0" w:line="247" w:lineRule="auto"/>
        <w:rPr>
          <w:sz w:val="20"/>
          <w:szCs w:val="20"/>
          <w:color w:val="auto"/>
        </w:rPr>
      </w:pPr>
      <w:r>
        <w:rPr>
          <w:rFonts w:ascii="Arial" w:cs="Arial" w:eastAsia="Arial" w:hAnsi="Arial"/>
          <w:sz w:val="19"/>
          <w:szCs w:val="19"/>
          <w:b w:val="1"/>
          <w:bCs w:val="1"/>
          <w:color w:val="auto"/>
        </w:rPr>
        <w:t>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7804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80"/>
          </w:cols>
          <w:pgMar w:left="320" w:top="485" w:right="399" w:bottom="1440" w:gutter="0" w:footer="0" w:header="0"/>
        </w:sectPr>
      </w:pPr>
    </w:p>
    <w:bookmarkStart w:id="132" w:name="page133"/>
    <w:bookmarkEnd w:id="132"/>
    <w:p>
      <w:pPr>
        <w:ind w:left="8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on the Effective Date written above.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 w:type="dxa"/>
            <w:vAlign w:val="bottom"/>
          </w:tcPr>
          <w:p>
            <w:pPr>
              <w:spacing w:after="0"/>
              <w:rPr>
                <w:sz w:val="21"/>
                <w:szCs w:val="21"/>
                <w:color w:val="auto"/>
              </w:rPr>
            </w:pPr>
          </w:p>
        </w:tc>
        <w:tc>
          <w:tcPr>
            <w:tcW w:w="7360" w:type="dxa"/>
            <w:vAlign w:val="bottom"/>
            <w:gridSpan w:val="5"/>
          </w:tcPr>
          <w:p>
            <w:pPr>
              <w:spacing w:after="0"/>
              <w:rPr>
                <w:sz w:val="20"/>
                <w:szCs w:val="20"/>
                <w:color w:val="auto"/>
              </w:rPr>
            </w:pPr>
            <w:r>
              <w:rPr>
                <w:rFonts w:ascii="Arial" w:cs="Arial" w:eastAsia="Arial" w:hAnsi="Arial"/>
                <w:sz w:val="19"/>
                <w:szCs w:val="19"/>
                <w:b w:val="1"/>
                <w:bCs w:val="1"/>
                <w:color w:val="auto"/>
              </w:rPr>
              <w:t>SYNDAX PHARMACEUTICALS, INC.</w:t>
            </w:r>
          </w:p>
        </w:tc>
        <w:tc>
          <w:tcPr>
            <w:tcW w:w="3780" w:type="dxa"/>
            <w:vAlign w:val="bottom"/>
            <w:gridSpan w:val="3"/>
          </w:tcPr>
          <w:p>
            <w:pPr>
              <w:ind w:left="660"/>
              <w:spacing w:after="0"/>
              <w:rPr>
                <w:sz w:val="20"/>
                <w:szCs w:val="20"/>
                <w:color w:val="auto"/>
              </w:rPr>
            </w:pPr>
            <w:r>
              <w:rPr>
                <w:rFonts w:ascii="Arial" w:cs="Arial" w:eastAsia="Arial" w:hAnsi="Arial"/>
                <w:sz w:val="19"/>
                <w:szCs w:val="19"/>
                <w:b w:val="1"/>
                <w:bCs w:val="1"/>
                <w:color w:val="auto"/>
              </w:rPr>
              <w:t>EXECUTIVE</w:t>
            </w:r>
          </w:p>
        </w:tc>
      </w:tr>
      <w:tr>
        <w:trPr>
          <w:trHeight w:val="441"/>
        </w:trPr>
        <w:tc>
          <w:tcPr>
            <w:tcW w:w="12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19"/>
                <w:szCs w:val="19"/>
                <w:color w:val="auto"/>
                <w:w w:val="98"/>
              </w:rPr>
              <w:t>By: /s/ Luke J. Albrecht</w:t>
            </w:r>
          </w:p>
        </w:tc>
        <w:tc>
          <w:tcPr>
            <w:tcW w:w="1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780" w:type="dxa"/>
            <w:vAlign w:val="bottom"/>
            <w:gridSpan w:val="3"/>
          </w:tcPr>
          <w:p>
            <w:pPr>
              <w:ind w:left="2820"/>
              <w:spacing w:after="0"/>
              <w:rPr>
                <w:sz w:val="20"/>
                <w:szCs w:val="20"/>
                <w:color w:val="auto"/>
              </w:rPr>
            </w:pPr>
            <w:r>
              <w:rPr>
                <w:rFonts w:ascii="Arial" w:cs="Arial" w:eastAsia="Arial" w:hAnsi="Arial"/>
                <w:sz w:val="19"/>
                <w:szCs w:val="19"/>
                <w:color w:val="auto"/>
              </w:rPr>
              <w:t>By: /s/</w:t>
            </w: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7360" w:type="dxa"/>
            <w:vAlign w:val="bottom"/>
            <w:gridSpan w:val="5"/>
          </w:tcPr>
          <w:p>
            <w:pPr>
              <w:spacing w:after="0" w:line="204" w:lineRule="exact"/>
              <w:rPr>
                <w:sz w:val="20"/>
                <w:szCs w:val="20"/>
                <w:color w:val="auto"/>
              </w:rPr>
            </w:pPr>
            <w:r>
              <w:rPr>
                <w:rFonts w:ascii="Arial" w:cs="Arial" w:eastAsia="Arial" w:hAnsi="Arial"/>
                <w:sz w:val="19"/>
                <w:szCs w:val="19"/>
                <w:color w:val="auto"/>
              </w:rPr>
              <w:t>Briggs W. Morrison, M.D.</w:t>
            </w:r>
          </w:p>
        </w:tc>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712"/>
        </w:trPr>
        <w:tc>
          <w:tcPr>
            <w:tcW w:w="120" w:type="dxa"/>
            <w:vAlign w:val="bottom"/>
          </w:tcPr>
          <w:p>
            <w:pPr>
              <w:spacing w:after="0"/>
              <w:rPr>
                <w:sz w:val="24"/>
                <w:szCs w:val="24"/>
                <w:color w:val="auto"/>
              </w:rPr>
            </w:pPr>
          </w:p>
        </w:tc>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w w:val="97"/>
              </w:rPr>
              <w:t>Name: Luke J. Albrecht</w:t>
            </w:r>
          </w:p>
        </w:tc>
        <w:tc>
          <w:tcPr>
            <w:tcW w:w="10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c>
          <w:tcPr>
            <w:tcW w:w="3780" w:type="dxa"/>
            <w:vAlign w:val="bottom"/>
            <w:gridSpan w:val="3"/>
          </w:tcPr>
          <w:p>
            <w:pPr>
              <w:ind w:left="2860"/>
              <w:spacing w:after="0"/>
              <w:rPr>
                <w:sz w:val="20"/>
                <w:szCs w:val="20"/>
                <w:color w:val="auto"/>
              </w:rPr>
            </w:pPr>
            <w:r>
              <w:rPr>
                <w:rFonts w:ascii="Arial" w:cs="Arial" w:eastAsia="Arial" w:hAnsi="Arial"/>
                <w:sz w:val="19"/>
                <w:szCs w:val="19"/>
                <w:color w:val="auto"/>
              </w:rPr>
              <w:t>Name:</w:t>
            </w:r>
          </w:p>
        </w:tc>
      </w:tr>
      <w:tr>
        <w:trPr>
          <w:trHeight w:val="246"/>
        </w:trPr>
        <w:tc>
          <w:tcPr>
            <w:tcW w:w="120" w:type="dxa"/>
            <w:vAlign w:val="bottom"/>
          </w:tcPr>
          <w:p>
            <w:pPr>
              <w:spacing w:after="0"/>
              <w:rPr>
                <w:sz w:val="21"/>
                <w:szCs w:val="21"/>
                <w:color w:val="auto"/>
              </w:rPr>
            </w:pPr>
          </w:p>
        </w:tc>
        <w:tc>
          <w:tcPr>
            <w:tcW w:w="7360" w:type="dxa"/>
            <w:vAlign w:val="bottom"/>
            <w:gridSpan w:val="5"/>
          </w:tcPr>
          <w:p>
            <w:pPr>
              <w:spacing w:after="0"/>
              <w:rPr>
                <w:sz w:val="20"/>
                <w:szCs w:val="20"/>
                <w:color w:val="auto"/>
              </w:rPr>
            </w:pPr>
            <w:r>
              <w:rPr>
                <w:rFonts w:ascii="Arial" w:cs="Arial" w:eastAsia="Arial" w:hAnsi="Arial"/>
                <w:sz w:val="19"/>
                <w:szCs w:val="19"/>
                <w:color w:val="auto"/>
              </w:rPr>
              <w:t>Briggs W. Morrison, M.D.</w:t>
            </w:r>
          </w:p>
        </w:tc>
        <w:tc>
          <w:tcPr>
            <w:tcW w:w="3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447"/>
        </w:trPr>
        <w:tc>
          <w:tcPr>
            <w:tcW w:w="120" w:type="dxa"/>
            <w:vAlign w:val="bottom"/>
          </w:tcPr>
          <w:p>
            <w:pPr>
              <w:spacing w:after="0"/>
              <w:rPr>
                <w:sz w:val="24"/>
                <w:szCs w:val="24"/>
                <w:color w:val="auto"/>
              </w:rPr>
            </w:pPr>
          </w:p>
        </w:tc>
        <w:tc>
          <w:tcPr>
            <w:tcW w:w="7360" w:type="dxa"/>
            <w:vAlign w:val="bottom"/>
            <w:gridSpan w:val="5"/>
          </w:tcPr>
          <w:p>
            <w:pPr>
              <w:spacing w:after="0"/>
              <w:rPr>
                <w:sz w:val="20"/>
                <w:szCs w:val="20"/>
                <w:color w:val="auto"/>
              </w:rPr>
            </w:pPr>
            <w:r>
              <w:rPr>
                <w:rFonts w:ascii="Arial" w:cs="Arial" w:eastAsia="Arial" w:hAnsi="Arial"/>
                <w:sz w:val="19"/>
                <w:szCs w:val="19"/>
                <w:color w:val="auto"/>
              </w:rPr>
              <w:t>Title: Senior Vice President, General Counsel</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9"/>
        </w:trPr>
        <w:tc>
          <w:tcPr>
            <w:tcW w:w="12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19"/>
                <w:szCs w:val="19"/>
                <w:color w:val="auto"/>
              </w:rPr>
              <w:t>&amp; Secretary</w:t>
            </w:r>
          </w:p>
        </w:tc>
        <w:tc>
          <w:tcPr>
            <w:tcW w:w="1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10"/>
        </w:trPr>
        <w:tc>
          <w:tcPr>
            <w:tcW w:w="2060" w:type="dxa"/>
            <w:vAlign w:val="bottom"/>
            <w:gridSpan w:val="4"/>
          </w:tcPr>
          <w:p>
            <w:pPr>
              <w:spacing w:after="0"/>
              <w:rPr>
                <w:sz w:val="20"/>
                <w:szCs w:val="20"/>
                <w:color w:val="auto"/>
              </w:rPr>
            </w:pPr>
            <w:r>
              <w:rPr>
                <w:rFonts w:ascii="Arial" w:cs="Arial" w:eastAsia="Arial" w:hAnsi="Arial"/>
                <w:sz w:val="19"/>
                <w:szCs w:val="19"/>
                <w:color w:val="auto"/>
              </w:rPr>
              <w:t>Exhibit A:</w:t>
            </w:r>
          </w:p>
        </w:tc>
        <w:tc>
          <w:tcPr>
            <w:tcW w:w="5420" w:type="dxa"/>
            <w:vAlign w:val="bottom"/>
            <w:gridSpan w:val="2"/>
          </w:tcPr>
          <w:p>
            <w:pPr>
              <w:ind w:left="80"/>
              <w:spacing w:after="0"/>
              <w:rPr>
                <w:sz w:val="20"/>
                <w:szCs w:val="20"/>
                <w:color w:val="auto"/>
              </w:rPr>
            </w:pPr>
            <w:r>
              <w:rPr>
                <w:rFonts w:ascii="Arial" w:cs="Arial" w:eastAsia="Arial" w:hAnsi="Arial"/>
                <w:sz w:val="19"/>
                <w:szCs w:val="19"/>
                <w:color w:val="auto"/>
              </w:rPr>
              <w:t>Release (Individual Termination – Age 40 or Older)</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2"/>
        </w:trPr>
        <w:tc>
          <w:tcPr>
            <w:tcW w:w="2060" w:type="dxa"/>
            <w:vAlign w:val="bottom"/>
            <w:gridSpan w:val="4"/>
          </w:tcPr>
          <w:p>
            <w:pPr>
              <w:spacing w:after="0"/>
              <w:rPr>
                <w:sz w:val="20"/>
                <w:szCs w:val="20"/>
                <w:color w:val="auto"/>
              </w:rPr>
            </w:pPr>
            <w:r>
              <w:rPr>
                <w:rFonts w:ascii="Arial" w:cs="Arial" w:eastAsia="Arial" w:hAnsi="Arial"/>
                <w:sz w:val="19"/>
                <w:szCs w:val="19"/>
                <w:color w:val="auto"/>
              </w:rPr>
              <w:t>Exhibit B:</w:t>
            </w:r>
          </w:p>
        </w:tc>
        <w:tc>
          <w:tcPr>
            <w:tcW w:w="5420" w:type="dxa"/>
            <w:vAlign w:val="bottom"/>
            <w:gridSpan w:val="2"/>
          </w:tcPr>
          <w:p>
            <w:pPr>
              <w:ind w:left="80"/>
              <w:spacing w:after="0"/>
              <w:rPr>
                <w:sz w:val="20"/>
                <w:szCs w:val="20"/>
                <w:color w:val="auto"/>
              </w:rPr>
            </w:pPr>
            <w:r>
              <w:rPr>
                <w:rFonts w:ascii="Arial" w:cs="Arial" w:eastAsia="Arial" w:hAnsi="Arial"/>
                <w:sz w:val="19"/>
                <w:szCs w:val="19"/>
                <w:color w:val="auto"/>
              </w:rPr>
              <w:t>Release (Individual and Group Termination – Under Age 40)</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9"/>
        </w:trPr>
        <w:tc>
          <w:tcPr>
            <w:tcW w:w="2060" w:type="dxa"/>
            <w:vAlign w:val="bottom"/>
            <w:gridSpan w:val="4"/>
          </w:tcPr>
          <w:p>
            <w:pPr>
              <w:spacing w:after="0"/>
              <w:rPr>
                <w:sz w:val="20"/>
                <w:szCs w:val="20"/>
                <w:color w:val="auto"/>
              </w:rPr>
            </w:pPr>
            <w:r>
              <w:rPr>
                <w:rFonts w:ascii="Arial" w:cs="Arial" w:eastAsia="Arial" w:hAnsi="Arial"/>
                <w:sz w:val="19"/>
                <w:szCs w:val="19"/>
                <w:color w:val="auto"/>
              </w:rPr>
              <w:t>Exhibit C:</w:t>
            </w:r>
          </w:p>
        </w:tc>
        <w:tc>
          <w:tcPr>
            <w:tcW w:w="5420" w:type="dxa"/>
            <w:vAlign w:val="bottom"/>
            <w:gridSpan w:val="2"/>
          </w:tcPr>
          <w:p>
            <w:pPr>
              <w:ind w:left="80"/>
              <w:spacing w:after="0"/>
              <w:rPr>
                <w:sz w:val="20"/>
                <w:szCs w:val="20"/>
                <w:color w:val="auto"/>
              </w:rPr>
            </w:pPr>
            <w:r>
              <w:rPr>
                <w:rFonts w:ascii="Arial" w:cs="Arial" w:eastAsia="Arial" w:hAnsi="Arial"/>
                <w:sz w:val="19"/>
                <w:szCs w:val="19"/>
                <w:color w:val="auto"/>
              </w:rPr>
              <w:t>Release (Group Termination – Age 40 or Older)</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39"/>
        </w:trPr>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616"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EXHIBIT A RELEASE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(INDIVIDUAL TERMINATION – AGE 40 OR OLDER)</w:t>
      </w:r>
    </w:p>
    <w:p>
      <w:pPr>
        <w:spacing w:after="0" w:line="265" w:lineRule="exact"/>
        <w:rPr>
          <w:sz w:val="20"/>
          <w:szCs w:val="20"/>
          <w:color w:val="auto"/>
        </w:rPr>
      </w:pPr>
    </w:p>
    <w:p>
      <w:pPr>
        <w:ind w:right="180" w:firstLine="864"/>
        <w:spacing w:after="0" w:line="275" w:lineRule="auto"/>
        <w:rPr>
          <w:sz w:val="20"/>
          <w:szCs w:val="20"/>
          <w:color w:val="auto"/>
        </w:rPr>
      </w:pPr>
      <w:r>
        <w:rPr>
          <w:rFonts w:ascii="Arial" w:cs="Arial" w:eastAsia="Arial" w:hAnsi="Arial"/>
          <w:sz w:val="19"/>
          <w:szCs w:val="19"/>
          <w:color w:val="auto"/>
        </w:rPr>
        <w:t>Certain capitalized terms used in this Release are defined in the Executive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I have executed and of which this Release is a part.</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74" w:lineRule="exact"/>
        <w:rPr>
          <w:sz w:val="20"/>
          <w:szCs w:val="20"/>
          <w:color w:val="auto"/>
        </w:rPr>
      </w:pPr>
    </w:p>
    <w:p>
      <w:pPr>
        <w:ind w:right="20" w:firstLine="864"/>
        <w:spacing w:after="0" w:line="277" w:lineRule="auto"/>
        <w:rPr>
          <w:sz w:val="20"/>
          <w:szCs w:val="20"/>
          <w:color w:val="auto"/>
        </w:rPr>
      </w:pPr>
      <w:r>
        <w:rPr>
          <w:rFonts w:ascii="Arial" w:cs="Arial" w:eastAsia="Arial" w:hAnsi="Arial"/>
          <w:sz w:val="17"/>
          <w:szCs w:val="17"/>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7"/>
          <w:szCs w:val="17"/>
          <w:b w:val="1"/>
          <w:bCs w:val="1"/>
          <w:i w:val="1"/>
          <w:iCs w:val="1"/>
          <w:color w:val="auto"/>
        </w:rPr>
        <w:t>EEOC</w:t>
      </w:r>
      <w:r>
        <w:rPr>
          <w:rFonts w:ascii="Arial" w:cs="Arial" w:eastAsia="Arial" w:hAnsi="Arial"/>
          <w:sz w:val="17"/>
          <w:szCs w:val="17"/>
          <w:color w:val="auto"/>
        </w:rPr>
        <w:t>”), the National Labor Relations Board (“</w:t>
      </w:r>
      <w:r>
        <w:rPr>
          <w:rFonts w:ascii="Arial" w:cs="Arial" w:eastAsia="Arial" w:hAnsi="Arial"/>
          <w:sz w:val="17"/>
          <w:szCs w:val="17"/>
          <w:b w:val="1"/>
          <w:bCs w:val="1"/>
          <w:i w:val="1"/>
          <w:iCs w:val="1"/>
          <w:color w:val="auto"/>
        </w:rPr>
        <w:t>NLRB</w:t>
      </w:r>
      <w:r>
        <w:rPr>
          <w:rFonts w:ascii="Arial" w:cs="Arial" w:eastAsia="Arial" w:hAnsi="Arial"/>
          <w:sz w:val="17"/>
          <w:szCs w:val="17"/>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12" w:lineRule="exact"/>
        <w:rPr>
          <w:sz w:val="20"/>
          <w:szCs w:val="20"/>
          <w:color w:val="auto"/>
        </w:rPr>
      </w:pPr>
    </w:p>
    <w:p>
      <w:pPr>
        <w:ind w:firstLine="864"/>
        <w:spacing w:after="0" w:line="283" w:lineRule="auto"/>
        <w:rPr>
          <w:sz w:val="20"/>
          <w:szCs w:val="20"/>
          <w:color w:val="auto"/>
        </w:rPr>
      </w:pPr>
      <w:r>
        <w:rPr>
          <w:rFonts w:ascii="Arial" w:cs="Arial" w:eastAsia="Arial" w:hAnsi="Arial"/>
          <w:sz w:val="17"/>
          <w:szCs w:val="17"/>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 Company’s Chief Executive Officer; and (E) this Release shall not be effective until the date upon which the revocation period has expired, which shall be the eighth (8th) day after I execute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34" w:name="page135"/>
    <w:bookmarkEnd w:id="134"/>
    <w:p>
      <w:pPr>
        <w:spacing w:after="0"/>
        <w:rPr>
          <w:sz w:val="20"/>
          <w:szCs w:val="20"/>
          <w:color w:val="auto"/>
        </w:rPr>
      </w:pPr>
      <w:r>
        <w:rPr>
          <w:rFonts w:ascii="Arial" w:cs="Arial" w:eastAsia="Arial" w:hAnsi="Arial"/>
          <w:sz w:val="19"/>
          <w:szCs w:val="19"/>
          <w:color w:val="auto"/>
        </w:rPr>
        <w:t>this Release (provided that I do not revoke it).</w:t>
      </w:r>
    </w:p>
    <w:p>
      <w:pPr>
        <w:spacing w:after="0" w:line="150" w:lineRule="exact"/>
        <w:rPr>
          <w:sz w:val="20"/>
          <w:szCs w:val="20"/>
          <w:color w:val="auto"/>
        </w:rPr>
      </w:pPr>
    </w:p>
    <w:p>
      <w:pPr>
        <w:ind w:firstLine="864"/>
        <w:spacing w:after="0" w:line="281"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101" w:lineRule="exact"/>
        <w:rPr>
          <w:sz w:val="20"/>
          <w:szCs w:val="20"/>
          <w:color w:val="auto"/>
        </w:rPr>
      </w:pPr>
    </w:p>
    <w:p>
      <w:pPr>
        <w:ind w:right="40" w:firstLine="864"/>
        <w:spacing w:after="0" w:line="255" w:lineRule="auto"/>
        <w:rPr>
          <w:sz w:val="20"/>
          <w:szCs w:val="20"/>
          <w:color w:val="auto"/>
        </w:rPr>
      </w:pPr>
      <w:r>
        <w:rPr>
          <w:rFonts w:ascii="Arial" w:cs="Arial" w:eastAsia="Arial" w:hAnsi="Arial"/>
          <w:sz w:val="19"/>
          <w:szCs w:val="19"/>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96"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Signature</w:t>
      </w:r>
    </w:p>
    <w:p>
      <w:pPr>
        <w:spacing w:after="0" w:line="176"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Printed Name</w:t>
      </w: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Arial" w:cs="Arial" w:eastAsia="Arial" w:hAnsi="Arial"/>
          <w:sz w:val="19"/>
          <w:szCs w:val="19"/>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040"/>
          </w:cols>
          <w:pgMar w:left="320" w:top="504" w:right="53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9"/>
          <w:szCs w:val="19"/>
          <w:b w:val="1"/>
          <w:bCs w:val="1"/>
          <w:color w:val="auto"/>
        </w:rPr>
        <w:t>EXHIBIT B</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RELEASE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(INDIVIDUAL AND GROUP TERMINATION – UNDER AGE 40)</w:t>
      </w:r>
    </w:p>
    <w:p>
      <w:pPr>
        <w:spacing w:after="0" w:line="313" w:lineRule="exact"/>
        <w:rPr>
          <w:sz w:val="20"/>
          <w:szCs w:val="20"/>
          <w:color w:val="auto"/>
        </w:rPr>
      </w:pPr>
    </w:p>
    <w:p>
      <w:pPr>
        <w:ind w:right="160" w:firstLine="864"/>
        <w:spacing w:after="0" w:line="275" w:lineRule="auto"/>
        <w:rPr>
          <w:sz w:val="20"/>
          <w:szCs w:val="20"/>
          <w:color w:val="auto"/>
        </w:rPr>
      </w:pPr>
      <w:r>
        <w:rPr>
          <w:rFonts w:ascii="Arial" w:cs="Arial" w:eastAsia="Arial" w:hAnsi="Arial"/>
          <w:sz w:val="19"/>
          <w:szCs w:val="19"/>
          <w:color w:val="auto"/>
        </w:rPr>
        <w:t>Certain capitalized terms used in this Release are defined in the Executive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I have executed and of which this Release is a part.</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74" w:lineRule="exact"/>
        <w:rPr>
          <w:sz w:val="20"/>
          <w:szCs w:val="20"/>
          <w:color w:val="auto"/>
        </w:rPr>
      </w:pPr>
    </w:p>
    <w:p>
      <w:pPr>
        <w:ind w:firstLine="864"/>
        <w:spacing w:after="0" w:line="277" w:lineRule="auto"/>
        <w:rPr>
          <w:sz w:val="20"/>
          <w:szCs w:val="20"/>
          <w:color w:val="auto"/>
        </w:rPr>
      </w:pPr>
      <w:r>
        <w:rPr>
          <w:rFonts w:ascii="Arial" w:cs="Arial" w:eastAsia="Arial" w:hAnsi="Arial"/>
          <w:sz w:val="17"/>
          <w:szCs w:val="17"/>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7"/>
          <w:szCs w:val="17"/>
          <w:b w:val="1"/>
          <w:bCs w:val="1"/>
          <w:i w:val="1"/>
          <w:iCs w:val="1"/>
          <w:color w:val="auto"/>
        </w:rPr>
        <w:t>EEOC</w:t>
      </w:r>
      <w:r>
        <w:rPr>
          <w:rFonts w:ascii="Arial" w:cs="Arial" w:eastAsia="Arial" w:hAnsi="Arial"/>
          <w:sz w:val="17"/>
          <w:szCs w:val="17"/>
          <w:color w:val="auto"/>
        </w:rPr>
        <w:t>”), the National Labor Relations Board (“</w:t>
      </w:r>
      <w:r>
        <w:rPr>
          <w:rFonts w:ascii="Arial" w:cs="Arial" w:eastAsia="Arial" w:hAnsi="Arial"/>
          <w:sz w:val="17"/>
          <w:szCs w:val="17"/>
          <w:b w:val="1"/>
          <w:bCs w:val="1"/>
          <w:i w:val="1"/>
          <w:iCs w:val="1"/>
          <w:color w:val="auto"/>
        </w:rPr>
        <w:t>NLRB</w:t>
      </w:r>
      <w:r>
        <w:rPr>
          <w:rFonts w:ascii="Arial" w:cs="Arial" w:eastAsia="Arial" w:hAnsi="Arial"/>
          <w:sz w:val="17"/>
          <w:szCs w:val="17"/>
          <w:color w:val="auto"/>
        </w:rPr>
        <w:t>”), or any other government agency (provided, however, that I shall not be entitled to recover any monetary damages or to obtain non- monetary relief if the agency were to pursue any claims relating to my employment with the Company).</w:t>
      </w:r>
    </w:p>
    <w:p>
      <w:pPr>
        <w:spacing w:after="0" w:line="114" w:lineRule="exact"/>
        <w:rPr>
          <w:sz w:val="20"/>
          <w:szCs w:val="20"/>
          <w:color w:val="auto"/>
        </w:rPr>
      </w:pPr>
    </w:p>
    <w:p>
      <w:pPr>
        <w:ind w:right="120" w:firstLine="864"/>
        <w:spacing w:after="0" w:line="252" w:lineRule="auto"/>
        <w:rPr>
          <w:sz w:val="20"/>
          <w:szCs w:val="20"/>
          <w:color w:val="auto"/>
        </w:rPr>
      </w:pPr>
      <w:r>
        <w:rPr>
          <w:rFonts w:ascii="Arial" w:cs="Arial" w:eastAsia="Arial" w:hAnsi="Arial"/>
          <w:sz w:val="19"/>
          <w:szCs w:val="19"/>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15" w:lineRule="exact"/>
        <w:rPr>
          <w:sz w:val="20"/>
          <w:szCs w:val="20"/>
          <w:color w:val="auto"/>
        </w:rPr>
      </w:pPr>
    </w:p>
    <w:p>
      <w:pPr>
        <w:ind w:right="180" w:firstLine="864"/>
        <w:spacing w:after="0" w:line="260" w:lineRule="auto"/>
        <w:rPr>
          <w:sz w:val="20"/>
          <w:szCs w:val="20"/>
          <w:color w:val="auto"/>
        </w:rPr>
      </w:pPr>
      <w:r>
        <w:rPr>
          <w:rFonts w:ascii="Arial" w:cs="Arial" w:eastAsia="Arial" w:hAnsi="Arial"/>
          <w:sz w:val="19"/>
          <w:szCs w:val="19"/>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616" w:right="359" w:bottom="1440" w:gutter="0" w:footer="0" w:header="0"/>
        </w:sectPr>
      </w:pPr>
    </w:p>
    <w:bookmarkStart w:id="136" w:name="page137"/>
    <w:bookmarkEnd w:id="136"/>
    <w:p>
      <w:pPr>
        <w:spacing w:after="0"/>
        <w:rPr>
          <w:sz w:val="20"/>
          <w:szCs w:val="20"/>
          <w:color w:val="auto"/>
        </w:rPr>
      </w:pPr>
      <w:r>
        <w:rPr>
          <w:rFonts w:ascii="Arial" w:cs="Arial" w:eastAsia="Arial" w:hAnsi="Arial"/>
          <w:sz w:val="19"/>
          <w:szCs w:val="19"/>
          <w:color w:val="auto"/>
        </w:rPr>
        <w:t>the-job injury or illness for which I have not already filed a workers’ compensation claim.</w:t>
      </w:r>
    </w:p>
    <w:p>
      <w:pPr>
        <w:spacing w:after="0" w:line="58" w:lineRule="exact"/>
        <w:rPr>
          <w:sz w:val="20"/>
          <w:szCs w:val="20"/>
          <w:color w:val="auto"/>
        </w:rPr>
      </w:pPr>
    </w:p>
    <w:p>
      <w:pPr>
        <w:ind w:firstLine="864"/>
        <w:spacing w:after="0" w:line="255" w:lineRule="auto"/>
        <w:rPr>
          <w:sz w:val="20"/>
          <w:szCs w:val="20"/>
          <w:color w:val="auto"/>
        </w:rPr>
      </w:pPr>
      <w:r>
        <w:rPr>
          <w:rFonts w:ascii="Arial" w:cs="Arial" w:eastAsia="Arial" w:hAnsi="Arial"/>
          <w:sz w:val="19"/>
          <w:szCs w:val="19"/>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Signature</w:t>
      </w:r>
    </w:p>
    <w:p>
      <w:pPr>
        <w:spacing w:after="0" w:line="176"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Printed Name</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9"/>
          <w:szCs w:val="19"/>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000"/>
          </w:cols>
          <w:pgMar w:left="320" w:top="491" w:right="57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9"/>
          <w:szCs w:val="19"/>
          <w:b w:val="1"/>
          <w:bCs w:val="1"/>
          <w:color w:val="auto"/>
        </w:rPr>
        <w:t>EXHIBIT C</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RELEASE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(GROUP TERMINATION – AGE 40 OR OLDER)</w:t>
      </w:r>
    </w:p>
    <w:p>
      <w:pPr>
        <w:spacing w:after="0" w:line="313" w:lineRule="exact"/>
        <w:rPr>
          <w:sz w:val="20"/>
          <w:szCs w:val="20"/>
          <w:color w:val="auto"/>
        </w:rPr>
      </w:pPr>
    </w:p>
    <w:p>
      <w:pPr>
        <w:ind w:right="160" w:firstLine="864"/>
        <w:spacing w:after="0" w:line="275" w:lineRule="auto"/>
        <w:rPr>
          <w:sz w:val="20"/>
          <w:szCs w:val="20"/>
          <w:color w:val="auto"/>
        </w:rPr>
      </w:pPr>
      <w:r>
        <w:rPr>
          <w:rFonts w:ascii="Arial" w:cs="Arial" w:eastAsia="Arial" w:hAnsi="Arial"/>
          <w:sz w:val="19"/>
          <w:szCs w:val="19"/>
          <w:color w:val="auto"/>
        </w:rPr>
        <w:t>Certain capitalized terms used in this Release are defined in the Executive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I have executed and of which this Release is a part.</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74" w:lineRule="exact"/>
        <w:rPr>
          <w:sz w:val="20"/>
          <w:szCs w:val="20"/>
          <w:color w:val="auto"/>
        </w:rPr>
      </w:pPr>
    </w:p>
    <w:p>
      <w:pPr>
        <w:ind w:firstLine="864"/>
        <w:spacing w:after="0" w:line="277" w:lineRule="auto"/>
        <w:rPr>
          <w:sz w:val="20"/>
          <w:szCs w:val="20"/>
          <w:color w:val="auto"/>
        </w:rPr>
      </w:pPr>
      <w:r>
        <w:rPr>
          <w:rFonts w:ascii="Arial" w:cs="Arial" w:eastAsia="Arial" w:hAnsi="Arial"/>
          <w:sz w:val="17"/>
          <w:szCs w:val="17"/>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7"/>
          <w:szCs w:val="17"/>
          <w:b w:val="1"/>
          <w:bCs w:val="1"/>
          <w:i w:val="1"/>
          <w:iCs w:val="1"/>
          <w:color w:val="auto"/>
        </w:rPr>
        <w:t>EEOC</w:t>
      </w:r>
      <w:r>
        <w:rPr>
          <w:rFonts w:ascii="Arial" w:cs="Arial" w:eastAsia="Arial" w:hAnsi="Arial"/>
          <w:sz w:val="17"/>
          <w:szCs w:val="17"/>
          <w:color w:val="auto"/>
        </w:rPr>
        <w:t>”), the National Labor Relations Board (“</w:t>
      </w:r>
      <w:r>
        <w:rPr>
          <w:rFonts w:ascii="Arial" w:cs="Arial" w:eastAsia="Arial" w:hAnsi="Arial"/>
          <w:sz w:val="17"/>
          <w:szCs w:val="17"/>
          <w:b w:val="1"/>
          <w:bCs w:val="1"/>
          <w:i w:val="1"/>
          <w:iCs w:val="1"/>
          <w:color w:val="auto"/>
        </w:rPr>
        <w:t>NLRB</w:t>
      </w:r>
      <w:r>
        <w:rPr>
          <w:rFonts w:ascii="Arial" w:cs="Arial" w:eastAsia="Arial" w:hAnsi="Arial"/>
          <w:sz w:val="17"/>
          <w:szCs w:val="17"/>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12" w:lineRule="exact"/>
        <w:rPr>
          <w:sz w:val="20"/>
          <w:szCs w:val="20"/>
          <w:color w:val="auto"/>
        </w:rPr>
      </w:pPr>
    </w:p>
    <w:p>
      <w:pPr>
        <w:ind w:right="20" w:firstLine="864"/>
        <w:spacing w:after="0" w:line="250" w:lineRule="auto"/>
        <w:rPr>
          <w:sz w:val="20"/>
          <w:szCs w:val="20"/>
          <w:color w:val="auto"/>
        </w:rPr>
      </w:pPr>
      <w:r>
        <w:rPr>
          <w:rFonts w:ascii="Arial" w:cs="Arial" w:eastAsia="Arial" w:hAnsi="Arial"/>
          <w:sz w:val="19"/>
          <w:szCs w:val="19"/>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721" w:right="359" w:bottom="1440" w:gutter="0" w:footer="0" w:header="0"/>
        </w:sectPr>
      </w:pPr>
    </w:p>
    <w:bookmarkStart w:id="138" w:name="page139"/>
    <w:bookmarkEnd w:id="138"/>
    <w:p>
      <w:pPr>
        <w:spacing w:after="0" w:line="252" w:lineRule="auto"/>
        <w:rPr>
          <w:sz w:val="20"/>
          <w:szCs w:val="20"/>
          <w:color w:val="auto"/>
        </w:rPr>
      </w:pPr>
      <w:r>
        <w:rPr>
          <w:rFonts w:ascii="Arial" w:cs="Arial" w:eastAsia="Arial" w:hAnsi="Arial"/>
          <w:sz w:val="19"/>
          <w:szCs w:val="19"/>
          <w:color w:val="auto"/>
        </w:rPr>
        <w:t>of revocation to the Company’s Chief 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28" w:lineRule="exact"/>
        <w:rPr>
          <w:sz w:val="20"/>
          <w:szCs w:val="20"/>
          <w:color w:val="auto"/>
        </w:rPr>
      </w:pPr>
    </w:p>
    <w:p>
      <w:pPr>
        <w:ind w:right="120" w:firstLine="864"/>
        <w:spacing w:after="0" w:line="281"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167" w:lineRule="exact"/>
        <w:rPr>
          <w:sz w:val="20"/>
          <w:szCs w:val="20"/>
          <w:color w:val="auto"/>
        </w:rPr>
      </w:pPr>
    </w:p>
    <w:p>
      <w:pPr>
        <w:ind w:right="80" w:firstLine="864"/>
        <w:spacing w:after="0" w:line="294" w:lineRule="auto"/>
        <w:rPr>
          <w:sz w:val="20"/>
          <w:szCs w:val="20"/>
          <w:color w:val="auto"/>
        </w:rPr>
      </w:pPr>
      <w:r>
        <w:rPr>
          <w:rFonts w:ascii="Arial" w:cs="Arial" w:eastAsia="Arial" w:hAnsi="Arial"/>
          <w:sz w:val="17"/>
          <w:szCs w:val="17"/>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Signature</w:t>
      </w:r>
    </w:p>
    <w:p>
      <w:pPr>
        <w:spacing w:after="0" w:line="176"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Printed Name</w:t>
      </w: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9"/>
          <w:szCs w:val="19"/>
          <w:u w:val="single" w:color="auto"/>
          <w:color w:val="auto"/>
        </w:rPr>
        <w:t>D</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9"/>
          <w:szCs w:val="19"/>
          <w:u w:val="single" w:color="auto"/>
          <w:color w:val="auto"/>
        </w:rPr>
        <w:t>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C-2</w:t>
      </w:r>
    </w:p>
    <w:p>
      <w:pPr>
        <w:sectPr>
          <w:pgSz w:w="11900" w:h="16838" w:orient="portrait"/>
          <w:cols w:equalWidth="0" w:num="1">
            <w:col w:w="11160"/>
          </w:cols>
          <w:pgMar w:left="320" w:top="504" w:right="4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9"/>
          <w:szCs w:val="19"/>
          <w:color w:val="auto"/>
        </w:rPr>
        <w:t>Exhibit 10.17</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AMENDED &amp; RESTATED</w:t>
      </w:r>
    </w:p>
    <w:p>
      <w:pPr>
        <w:spacing w:after="0" w:line="5"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EXECUTIVE EMPLOYMENT AGREEMENT</w:t>
      </w:r>
    </w:p>
    <w:p>
      <w:pPr>
        <w:spacing w:after="0" w:line="128" w:lineRule="exact"/>
        <w:rPr>
          <w:sz w:val="20"/>
          <w:szCs w:val="20"/>
          <w:color w:val="auto"/>
        </w:rPr>
      </w:pPr>
    </w:p>
    <w:p>
      <w:pPr>
        <w:ind w:right="500" w:firstLine="831"/>
        <w:spacing w:after="0" w:line="26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AMENDED AND RESTATED EXECUTIVE EMPLOYMENT AGREEMENT</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2</w:t>
      </w:r>
      <w:r>
        <w:rPr>
          <w:rFonts w:ascii="Arial" w:cs="Arial" w:eastAsia="Arial" w:hAnsi="Arial"/>
          <w:sz w:val="16"/>
          <w:szCs w:val="16"/>
          <w:color w:val="auto"/>
        </w:rPr>
        <w:t>nd</w:t>
      </w:r>
      <w:r>
        <w:rPr>
          <w:rFonts w:ascii="Arial" w:cs="Arial" w:eastAsia="Arial" w:hAnsi="Arial"/>
          <w:sz w:val="19"/>
          <w:szCs w:val="19"/>
          <w:color w:val="auto"/>
        </w:rPr>
        <w:t xml:space="preserve"> day of February, 2022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between Michael A. Metzger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xml:space="preserve">”) and </w:t>
      </w:r>
      <w:r>
        <w:rPr>
          <w:rFonts w:ascii="Arial" w:cs="Arial" w:eastAsia="Arial" w:hAnsi="Arial"/>
          <w:sz w:val="19"/>
          <w:szCs w:val="19"/>
          <w:b w:val="1"/>
          <w:bCs w:val="1"/>
          <w:color w:val="auto"/>
        </w:rPr>
        <w:t>SYNDAX</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PHARMACEUTICALS, INC. </w:t>
      </w:r>
      <w:r>
        <w:rPr>
          <w:rFonts w:ascii="Arial" w:cs="Arial" w:eastAsia="Arial" w:hAnsi="Arial"/>
          <w:sz w:val="19"/>
          <w:szCs w:val="19"/>
          <w:color w:val="auto"/>
        </w:rPr>
        <w:t>(the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Certain capitalized terms used in this Agreement are defined in Article 7.</w:t>
      </w:r>
    </w:p>
    <w:p>
      <w:pPr>
        <w:spacing w:after="0" w:line="110"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RECITALS</w:t>
      </w:r>
    </w:p>
    <w:p>
      <w:pPr>
        <w:spacing w:after="0" w:line="142" w:lineRule="exact"/>
        <w:rPr>
          <w:sz w:val="20"/>
          <w:szCs w:val="20"/>
          <w:color w:val="auto"/>
        </w:rPr>
      </w:pPr>
    </w:p>
    <w:p>
      <w:pPr>
        <w:ind w:left="1720" w:hanging="862"/>
        <w:spacing w:after="0"/>
        <w:tabs>
          <w:tab w:leader="none" w:pos="1720"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The Company is a biopharmaceutical company.</w:t>
      </w:r>
    </w:p>
    <w:p>
      <w:pPr>
        <w:spacing w:after="0" w:line="169" w:lineRule="exact"/>
        <w:rPr>
          <w:rFonts w:ascii="Arial" w:cs="Arial" w:eastAsia="Arial" w:hAnsi="Arial"/>
          <w:sz w:val="19"/>
          <w:szCs w:val="19"/>
          <w:b w:val="1"/>
          <w:bCs w:val="1"/>
          <w:color w:val="auto"/>
        </w:rPr>
      </w:pPr>
    </w:p>
    <w:p>
      <w:pPr>
        <w:jc w:val="both"/>
        <w:ind w:right="580" w:firstLine="811"/>
        <w:spacing w:after="0" w:line="263"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The Company desires to employ Executive, or to continue Executive’s employment, in the position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below, and Executive wishes to be employed, or continue to be employed, by the Company in such position, upon the terms and conditions set forth in this Agreement.</w:t>
      </w:r>
    </w:p>
    <w:p>
      <w:pPr>
        <w:spacing w:after="0" w:line="110" w:lineRule="exact"/>
        <w:rPr>
          <w:sz w:val="20"/>
          <w:szCs w:val="20"/>
          <w:color w:val="auto"/>
        </w:rPr>
      </w:pPr>
    </w:p>
    <w:p>
      <w:pPr>
        <w:ind w:left="4800"/>
        <w:spacing w:after="0"/>
        <w:rPr>
          <w:sz w:val="20"/>
          <w:szCs w:val="20"/>
          <w:color w:val="auto"/>
        </w:rPr>
      </w:pPr>
      <w:r>
        <w:rPr>
          <w:rFonts w:ascii="Arial" w:cs="Arial" w:eastAsia="Arial" w:hAnsi="Arial"/>
          <w:sz w:val="19"/>
          <w:szCs w:val="19"/>
          <w:b w:val="1"/>
          <w:bCs w:val="1"/>
          <w:color w:val="auto"/>
        </w:rPr>
        <w:t>AGREEMENT</w:t>
      </w:r>
    </w:p>
    <w:p>
      <w:pPr>
        <w:spacing w:after="0" w:line="136" w:lineRule="exact"/>
        <w:rPr>
          <w:sz w:val="20"/>
          <w:szCs w:val="20"/>
          <w:color w:val="auto"/>
        </w:rPr>
      </w:pPr>
    </w:p>
    <w:p>
      <w:pPr>
        <w:ind w:left="160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contained herein, the Company and Executive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agree as follows:</w:t>
      </w:r>
    </w:p>
    <w:p>
      <w:pPr>
        <w:spacing w:after="0" w:line="141"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ARTICLE 1</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PRELIMINARY MATTERS</w:t>
      </w:r>
    </w:p>
    <w:p>
      <w:pPr>
        <w:spacing w:after="0" w:line="5" w:lineRule="exact"/>
        <w:rPr>
          <w:sz w:val="20"/>
          <w:szCs w:val="20"/>
          <w:color w:val="auto"/>
        </w:rPr>
      </w:pPr>
    </w:p>
    <w:p>
      <w:pPr>
        <w:ind w:right="1480" w:firstLine="753"/>
        <w:spacing w:after="0" w:line="257" w:lineRule="auto"/>
        <w:rPr>
          <w:sz w:val="20"/>
          <w:szCs w:val="20"/>
          <w:color w:val="auto"/>
        </w:rPr>
      </w:pPr>
      <w:r>
        <w:rPr>
          <w:rFonts w:ascii="Arial" w:cs="Arial" w:eastAsia="Arial" w:hAnsi="Arial"/>
          <w:sz w:val="19"/>
          <w:szCs w:val="19"/>
          <w:b w:val="1"/>
          <w:bCs w:val="1"/>
          <w:color w:val="auto"/>
        </w:rPr>
        <w:t>1.1. Prior Agreement</w:t>
      </w:r>
      <w:r>
        <w:rPr>
          <w:rFonts w:ascii="Arial" w:cs="Arial" w:eastAsia="Arial" w:hAnsi="Arial"/>
          <w:sz w:val="19"/>
          <w:szCs w:val="19"/>
          <w:color w:val="auto"/>
        </w:rPr>
        <w:t>. This Agreement, on its Effective Date, amends, restates and supersedes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Employment Agreement.</w:t>
      </w:r>
    </w:p>
    <w:p>
      <w:pPr>
        <w:spacing w:after="0" w:line="102" w:lineRule="exact"/>
        <w:rPr>
          <w:sz w:val="20"/>
          <w:szCs w:val="20"/>
          <w:color w:val="auto"/>
        </w:rPr>
      </w:pPr>
    </w:p>
    <w:p>
      <w:pPr>
        <w:ind w:right="420" w:firstLine="833"/>
        <w:spacing w:after="0" w:line="281" w:lineRule="auto"/>
        <w:rPr>
          <w:sz w:val="20"/>
          <w:szCs w:val="20"/>
          <w:color w:val="auto"/>
        </w:rPr>
      </w:pPr>
      <w:r>
        <w:rPr>
          <w:rFonts w:ascii="Arial" w:cs="Arial" w:eastAsia="Arial" w:hAnsi="Arial"/>
          <w:sz w:val="19"/>
          <w:szCs w:val="19"/>
          <w:b w:val="1"/>
          <w:bCs w:val="1"/>
          <w:color w:val="auto"/>
        </w:rPr>
        <w:t>1.2. Effectiveness of Agreement</w:t>
      </w:r>
      <w:r>
        <w:rPr>
          <w:rFonts w:ascii="Arial" w:cs="Arial" w:eastAsia="Arial" w:hAnsi="Arial"/>
          <w:sz w:val="19"/>
          <w:szCs w:val="19"/>
          <w:color w:val="auto"/>
        </w:rPr>
        <w:t>. This Agreement shall be effective and shall supersede the Prior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concurrently with the Effective Date.</w:t>
      </w:r>
    </w:p>
    <w:p>
      <w:pPr>
        <w:spacing w:after="0" w:line="93"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ARTICLE 2</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TERMS OF EMPLOYMENT</w:t>
      </w:r>
    </w:p>
    <w:p>
      <w:pPr>
        <w:spacing w:after="0" w:line="5" w:lineRule="exact"/>
        <w:rPr>
          <w:sz w:val="20"/>
          <w:szCs w:val="20"/>
          <w:color w:val="auto"/>
        </w:rPr>
      </w:pPr>
    </w:p>
    <w:p>
      <w:pPr>
        <w:jc w:val="both"/>
        <w:ind w:right="320" w:firstLine="831"/>
        <w:spacing w:after="0" w:line="261" w:lineRule="auto"/>
        <w:rPr>
          <w:sz w:val="20"/>
          <w:szCs w:val="20"/>
          <w:color w:val="auto"/>
        </w:rPr>
      </w:pPr>
      <w:r>
        <w:rPr>
          <w:rFonts w:ascii="Arial" w:cs="Arial" w:eastAsia="Arial" w:hAnsi="Arial"/>
          <w:sz w:val="18"/>
          <w:szCs w:val="18"/>
          <w:b w:val="1"/>
          <w:bCs w:val="1"/>
          <w:color w:val="auto"/>
        </w:rPr>
        <w:t>2.1. Appointment</w:t>
      </w:r>
      <w:r>
        <w:rPr>
          <w:rFonts w:ascii="Arial" w:cs="Arial" w:eastAsia="Arial" w:hAnsi="Arial"/>
          <w:sz w:val="18"/>
          <w:szCs w:val="18"/>
          <w:color w:val="auto"/>
        </w:rPr>
        <w:t>. Executive shall serve as the Chief Executive Officer, reporting to the Board.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Executive will be the most senior officer of the Company and have such duties and responsibilities typically associated with such senior officer. During Executive’s employment with the Company, Executive shall (i) devote substantially all of Executive’s business efforts to the Company, provided, however, that Executive may (a) participate in charitable, civic, educational, professional, community or industry affairs, (b) manage Executive’s passive personal investments, and (c) serve as a board member, advisor or a similar position, of up to two other companies, so long as such service does not conflict with or is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w:t>
      </w:r>
    </w:p>
    <w:p>
      <w:pPr>
        <w:spacing w:after="0" w:line="118" w:lineRule="exact"/>
        <w:rPr>
          <w:sz w:val="20"/>
          <w:szCs w:val="20"/>
          <w:color w:val="auto"/>
        </w:rPr>
      </w:pPr>
    </w:p>
    <w:p>
      <w:pPr>
        <w:jc w:val="both"/>
        <w:ind w:right="280" w:firstLine="833"/>
        <w:spacing w:after="0" w:line="284" w:lineRule="auto"/>
        <w:rPr>
          <w:sz w:val="20"/>
          <w:szCs w:val="20"/>
          <w:color w:val="auto"/>
        </w:rPr>
      </w:pPr>
      <w:r>
        <w:rPr>
          <w:rFonts w:ascii="Arial" w:cs="Arial" w:eastAsia="Arial" w:hAnsi="Arial"/>
          <w:sz w:val="18"/>
          <w:szCs w:val="18"/>
          <w:b w:val="1"/>
          <w:bCs w:val="1"/>
          <w:color w:val="auto"/>
        </w:rPr>
        <w:t>2.2. Employment Term</w:t>
      </w:r>
      <w:r>
        <w:rPr>
          <w:rFonts w:ascii="Arial" w:cs="Arial" w:eastAsia="Arial" w:hAnsi="Arial"/>
          <w:sz w:val="18"/>
          <w:szCs w:val="18"/>
          <w:color w:val="auto"/>
        </w:rPr>
        <w:t>. Executive will be employed by the Company on an “at-will” basis. This means that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the Company or Executive may terminate Executive’s employment at any time, for any reason, with or without Cause, and with or without advance notice (provided that Resignation for Good Reason (as defined below) requires certain advanced notice by Executive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302895</wp:posOffset>
            </wp:positionV>
            <wp:extent cx="717804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20"/>
          </w:cols>
          <w:pgMar w:left="440" w:top="793" w:right="339" w:bottom="1440" w:gutter="0" w:footer="0" w:header="0"/>
        </w:sectPr>
      </w:pPr>
    </w:p>
    <w:bookmarkStart w:id="140" w:name="page141"/>
    <w:bookmarkEnd w:id="140"/>
    <w:p>
      <w:pPr>
        <w:spacing w:after="0"/>
        <w:rPr>
          <w:sz w:val="20"/>
          <w:szCs w:val="20"/>
          <w:color w:val="auto"/>
        </w:rPr>
      </w:pPr>
      <w:r>
        <w:rPr>
          <w:rFonts w:ascii="Arial" w:cs="Arial" w:eastAsia="Arial" w:hAnsi="Arial"/>
          <w:sz w:val="19"/>
          <w:szCs w:val="19"/>
          <w:color w:val="auto"/>
        </w:rPr>
        <w:t>[Type here]</w:t>
      </w:r>
    </w:p>
    <w:p>
      <w:pPr>
        <w:spacing w:after="0" w:line="387" w:lineRule="exact"/>
        <w:rPr>
          <w:sz w:val="20"/>
          <w:szCs w:val="20"/>
          <w:color w:val="auto"/>
        </w:rPr>
      </w:pPr>
    </w:p>
    <w:p>
      <w:pPr>
        <w:jc w:val="both"/>
        <w:ind w:left="120"/>
        <w:spacing w:after="0" w:line="255" w:lineRule="auto"/>
        <w:rPr>
          <w:sz w:val="20"/>
          <w:szCs w:val="20"/>
          <w:color w:val="auto"/>
        </w:rPr>
      </w:pPr>
      <w:r>
        <w:rPr>
          <w:rFonts w:ascii="Arial" w:cs="Arial" w:eastAsia="Arial" w:hAnsi="Arial"/>
          <w:sz w:val="19"/>
          <w:szCs w:val="19"/>
          <w:color w:val="auto"/>
        </w:rPr>
        <w:t>Executive’s termination of employment). It also means that Executive’s 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pacing w:after="0" w:line="104"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163" w:lineRule="exact"/>
        <w:rPr>
          <w:sz w:val="20"/>
          <w:szCs w:val="20"/>
          <w:color w:val="auto"/>
        </w:rPr>
      </w:pPr>
    </w:p>
    <w:p>
      <w:pPr>
        <w:jc w:val="both"/>
        <w:ind w:left="120" w:right="200" w:firstLine="1636"/>
        <w:spacing w:after="0" w:line="257"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Annual Base Salary</w:t>
      </w:r>
      <w:r>
        <w:rPr>
          <w:rFonts w:ascii="Arial" w:cs="Arial" w:eastAsia="Arial" w:hAnsi="Arial"/>
          <w:sz w:val="19"/>
          <w:szCs w:val="19"/>
          <w:color w:val="auto"/>
        </w:rPr>
        <w:t>. Executive’s annual base salary shall be $640,000 per year (“</w:t>
      </w:r>
      <w:r>
        <w:rPr>
          <w:rFonts w:ascii="Arial" w:cs="Arial" w:eastAsia="Arial" w:hAnsi="Arial"/>
          <w:sz w:val="19"/>
          <w:szCs w:val="19"/>
          <w:b w:val="1"/>
          <w:bCs w:val="1"/>
          <w:i w:val="1"/>
          <w:iCs w:val="1"/>
          <w:color w:val="auto"/>
        </w:rPr>
        <w:t>Annual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payable in equal installments, less applicable deductions and withholdings, in accordance with the Company’s standard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payroll practices. Executive’s Annual Base Salary shall be subject to review by the Company’s compensation committee and may be increased, from time to time.</w:t>
      </w:r>
    </w:p>
    <w:p>
      <w:pPr>
        <w:spacing w:after="0" w:line="116" w:lineRule="exact"/>
        <w:rPr>
          <w:sz w:val="20"/>
          <w:szCs w:val="20"/>
          <w:color w:val="auto"/>
        </w:rPr>
      </w:pPr>
    </w:p>
    <w:p>
      <w:pPr>
        <w:jc w:val="both"/>
        <w:ind w:left="120" w:firstLine="1666"/>
        <w:spacing w:after="0" w:line="251"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color w:val="auto"/>
        </w:rPr>
        <w:t>Benefits</w:t>
      </w:r>
      <w:r>
        <w:rPr>
          <w:rFonts w:ascii="Arial" w:cs="Arial" w:eastAsia="Arial" w:hAnsi="Arial"/>
          <w:sz w:val="19"/>
          <w:szCs w:val="19"/>
          <w:color w:val="auto"/>
        </w:rPr>
        <w:t>. Executive will be entitled to participate in all of the employee benefits and benefit plans that the 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 Notwithstanding the foregoing, if applicable, the Company shall make a group health plan available to Executive, which provides applicable coverage at both Executive’s permanent residence and Executive’s principal place of employment. From time to time and as the Board deems appropriate, Executive may be eligible to receive options to purchase the Company’s common stock.</w:t>
      </w:r>
    </w:p>
    <w:p>
      <w:pPr>
        <w:spacing w:after="0" w:line="109" w:lineRule="exact"/>
        <w:rPr>
          <w:sz w:val="20"/>
          <w:szCs w:val="20"/>
          <w:color w:val="auto"/>
        </w:rPr>
      </w:pPr>
    </w:p>
    <w:p>
      <w:pPr>
        <w:jc w:val="both"/>
        <w:ind w:left="120" w:right="20" w:firstLine="1662"/>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Bonus</w:t>
      </w:r>
      <w:r>
        <w:rPr>
          <w:rFonts w:ascii="Arial" w:cs="Arial" w:eastAsia="Arial" w:hAnsi="Arial"/>
          <w:sz w:val="18"/>
          <w:szCs w:val="18"/>
          <w:color w:val="auto"/>
        </w:rPr>
        <w:t>. In addition to Annual Base Salary, Executive shall be eligible to earn an annual performance bonus of up to sixty percent (60%)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8"/>
          <w:szCs w:val="18"/>
          <w:b w:val="1"/>
          <w:bCs w:val="1"/>
          <w:i w:val="1"/>
          <w:iCs w:val="1"/>
          <w:color w:val="auto"/>
        </w:rPr>
        <w:t>Target Performance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The amount of and Executive’s eligibility for the Target Performance Bonus shall be determined in the sole discretion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(or the compensation committee thereof, as such determination may be delegated by the Board to the compensation committee). If earned, any Target Performance Bonus shall be paid to Executive, less authorized deductions and applicable withholdings, on or before the February 15</w:t>
      </w:r>
      <w:r>
        <w:rPr>
          <w:rFonts w:ascii="Arial" w:cs="Arial" w:eastAsia="Arial" w:hAnsi="Arial"/>
          <w:sz w:val="15"/>
          <w:szCs w:val="15"/>
          <w:color w:val="auto"/>
        </w:rPr>
        <w:t>th</w:t>
      </w:r>
      <w:r>
        <w:rPr>
          <w:rFonts w:ascii="Arial" w:cs="Arial" w:eastAsia="Arial" w:hAnsi="Arial"/>
          <w:sz w:val="18"/>
          <w:szCs w:val="18"/>
          <w:color w:val="auto"/>
        </w:rPr>
        <w:t xml:space="preserve"> following the calendar year during which such bonus was earned. Except as provided in Sections 3.2 and 4.2, Executive shall be eligible to earn the Target Performance Bonus only if Executive is actively employed and in good standing with the Company on both the determination and payment dates for the Target Performance Bonus.</w:t>
      </w:r>
    </w:p>
    <w:p>
      <w:pPr>
        <w:spacing w:after="0" w:line="220" w:lineRule="exact"/>
        <w:rPr>
          <w:sz w:val="20"/>
          <w:szCs w:val="20"/>
          <w:color w:val="auto"/>
        </w:rPr>
      </w:pPr>
    </w:p>
    <w:p>
      <w:pPr>
        <w:jc w:val="both"/>
        <w:ind w:left="120" w:right="100" w:firstLine="825"/>
        <w:spacing w:after="0" w:line="264" w:lineRule="auto"/>
        <w:rPr>
          <w:sz w:val="20"/>
          <w:szCs w:val="20"/>
          <w:color w:val="auto"/>
        </w:rPr>
      </w:pPr>
      <w:r>
        <w:rPr>
          <w:rFonts w:ascii="Arial" w:cs="Arial" w:eastAsia="Arial" w:hAnsi="Arial"/>
          <w:sz w:val="18"/>
          <w:szCs w:val="18"/>
          <w:b w:val="1"/>
          <w:bCs w:val="1"/>
          <w:color w:val="auto"/>
        </w:rPr>
        <w:t>2.4. Reimbursement of Expenses</w:t>
      </w:r>
      <w:r>
        <w:rPr>
          <w:rFonts w:ascii="Arial" w:cs="Arial" w:eastAsia="Arial" w:hAnsi="Arial"/>
          <w:sz w:val="18"/>
          <w:szCs w:val="18"/>
          <w:color w:val="auto"/>
        </w:rPr>
        <w:t>. Subject to Section 5.10(c), the Company shall reimburse Executive for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necessary and reasonable business expenses incurred in connection with Executive’s duties in accordance with the Company’s generally applicable policies. Executive and the Company acknowledge that Executive will be required to spend a certain amount of time each month at the Company’s Waltham headquarters. Accordingly, the Company will reimburse, or pay for, all reasonable expenses incurred by Executive in connection with commuting between the Company’s Waltham office and Executive’s current principal residence in New York, including Executive’s actual and reasonable living expenses incurred in the Waltham area and Executive’s actual and reasonable commuting expenses incurred between Waltham and Executive’s current principal residence in New York. Executive will not be required to relocate his residence to Waltham, but should Executive choose to relocate his residence to Waltham, the Company will pay up to $50,000 for ordinary and necessary expenses incurred by Executive as a result of Executive’s relocation. The foregoing provisions of this Section 2.4 are subject to Section 5.10(c).</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[Type here]</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3</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CHANGE IN CONTROL SEVERANCE BENEFITS</w:t>
      </w:r>
    </w:p>
    <w:p>
      <w:pPr>
        <w:spacing w:after="0" w:line="150" w:lineRule="exact"/>
        <w:rPr>
          <w:sz w:val="20"/>
          <w:szCs w:val="20"/>
          <w:color w:val="auto"/>
        </w:rPr>
      </w:pPr>
    </w:p>
    <w:p>
      <w:pPr>
        <w:jc w:val="both"/>
        <w:ind w:left="120" w:right="40" w:firstLine="833"/>
        <w:spacing w:after="0" w:line="266" w:lineRule="auto"/>
        <w:rPr>
          <w:sz w:val="20"/>
          <w:szCs w:val="20"/>
          <w:color w:val="auto"/>
        </w:rPr>
      </w:pPr>
      <w:r>
        <w:rPr>
          <w:rFonts w:ascii="Arial" w:cs="Arial" w:eastAsia="Arial" w:hAnsi="Arial"/>
          <w:sz w:val="18"/>
          <w:szCs w:val="18"/>
          <w:b w:val="1"/>
          <w:bCs w:val="1"/>
          <w:color w:val="auto"/>
        </w:rPr>
        <w:t>3.1. Severance Benefits</w:t>
      </w:r>
      <w:r>
        <w:rPr>
          <w:rFonts w:ascii="Arial" w:cs="Arial" w:eastAsia="Arial" w:hAnsi="Arial"/>
          <w:sz w:val="18"/>
          <w:szCs w:val="18"/>
          <w:color w:val="auto"/>
        </w:rPr>
        <w:t>. Upon a Change in Control Termination, and subject to the limitations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 Executive shall be eligible to receive the benefits set forth in this Article 3. The receipt of any severance payments or benefits pursuant to this Agreement is subject to Executive signing and not revoking a separation agreement and general release of claims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in substantially the form attached hereto and incorporated herein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or </w:t>
      </w:r>
      <w:r>
        <w:rPr>
          <w:rFonts w:ascii="Arial" w:cs="Arial" w:eastAsia="Arial" w:hAnsi="Arial"/>
          <w:sz w:val="18"/>
          <w:szCs w:val="18"/>
          <w:b w:val="1"/>
          <w:bCs w:val="1"/>
          <w:color w:val="auto"/>
        </w:rPr>
        <w:t>Exhibit C</w:t>
      </w:r>
      <w:r>
        <w:rPr>
          <w:rFonts w:ascii="Arial" w:cs="Arial" w:eastAsia="Arial" w:hAnsi="Arial"/>
          <w:sz w:val="18"/>
          <w:szCs w:val="18"/>
          <w:color w:val="auto"/>
        </w:rPr>
        <w:t>, as appropriate, which Release must become effective and irrevocable no later than the sixtieth (60</w:t>
      </w:r>
      <w:r>
        <w:rPr>
          <w:rFonts w:ascii="Arial" w:cs="Arial" w:eastAsia="Arial" w:hAnsi="Arial"/>
          <w:sz w:val="15"/>
          <w:szCs w:val="15"/>
          <w:color w:val="auto"/>
        </w:rPr>
        <w:t>th</w:t>
      </w:r>
      <w:r>
        <w:rPr>
          <w:rFonts w:ascii="Arial" w:cs="Arial" w:eastAsia="Arial" w:hAnsi="Arial"/>
          <w:sz w:val="18"/>
          <w:szCs w:val="18"/>
          <w:color w:val="auto"/>
        </w:rPr>
        <w:t>) day following Executive’s termination of employment (the “</w:t>
      </w:r>
      <w:r>
        <w:rPr>
          <w:rFonts w:ascii="Arial" w:cs="Arial" w:eastAsia="Arial" w:hAnsi="Arial"/>
          <w:sz w:val="18"/>
          <w:szCs w:val="18"/>
          <w:b w:val="1"/>
          <w:bCs w:val="1"/>
          <w:i w:val="1"/>
          <w:iCs w:val="1"/>
          <w:color w:val="auto"/>
        </w:rPr>
        <w:t>Release Deadline Date</w:t>
      </w:r>
      <w:r>
        <w:rPr>
          <w:rFonts w:ascii="Arial" w:cs="Arial" w:eastAsia="Arial" w:hAnsi="Arial"/>
          <w:sz w:val="18"/>
          <w:szCs w:val="18"/>
          <w:color w:val="auto"/>
        </w:rPr>
        <w:t>”).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10" w:lineRule="exact"/>
        <w:rPr>
          <w:sz w:val="20"/>
          <w:szCs w:val="20"/>
          <w:color w:val="auto"/>
        </w:rPr>
      </w:pPr>
    </w:p>
    <w:p>
      <w:pPr>
        <w:jc w:val="both"/>
        <w:ind w:left="120" w:right="160" w:firstLine="824"/>
        <w:spacing w:after="0" w:line="272" w:lineRule="auto"/>
        <w:rPr>
          <w:sz w:val="20"/>
          <w:szCs w:val="20"/>
          <w:color w:val="auto"/>
        </w:rPr>
      </w:pPr>
      <w:r>
        <w:rPr>
          <w:rFonts w:ascii="Arial" w:cs="Arial" w:eastAsia="Arial" w:hAnsi="Arial"/>
          <w:sz w:val="18"/>
          <w:szCs w:val="18"/>
          <w:b w:val="1"/>
          <w:bCs w:val="1"/>
          <w:color w:val="auto"/>
        </w:rPr>
        <w:t>3.2. Salary and Pro-Rata Bonus Payment</w:t>
      </w:r>
      <w:r>
        <w:rPr>
          <w:rFonts w:ascii="Arial" w:cs="Arial" w:eastAsia="Arial" w:hAnsi="Arial"/>
          <w:sz w:val="18"/>
          <w:szCs w:val="18"/>
          <w:color w:val="auto"/>
        </w:rPr>
        <w:t>. In consideration of Executive’s execution and non-revocation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Release by the Release Deadline Date, in a form provided by the Company and in accordance with Article 5, the Company shall pay Executive a severance payment equal to (i) the sum of Executive’s Monthly Base Salary and Pro-Rata Bonus multiplied by (ii) the number of months in the Change in Control Severance Period, less applicable withholdings. The severance payment shall be payable (except as set forth in Article 5) in a lump sum on the first regularly-scheduled payroll date occurring on or after the Release Deadline Date.</w:t>
      </w:r>
    </w:p>
    <w:p>
      <w:pPr>
        <w:spacing w:after="0" w:line="102"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560" w:type="dxa"/>
            <w:vAlign w:val="bottom"/>
          </w:tcPr>
          <w:p>
            <w:pPr>
              <w:jc w:val="right"/>
              <w:ind w:right="184"/>
              <w:spacing w:after="0"/>
              <w:rPr>
                <w:sz w:val="20"/>
                <w:szCs w:val="20"/>
                <w:color w:val="auto"/>
              </w:rPr>
            </w:pPr>
            <w:r>
              <w:rPr>
                <w:rFonts w:ascii="Arial" w:cs="Arial" w:eastAsia="Arial" w:hAnsi="Arial"/>
                <w:sz w:val="19"/>
                <w:szCs w:val="19"/>
                <w:b w:val="1"/>
                <w:bCs w:val="1"/>
                <w:color w:val="auto"/>
                <w:w w:val="81"/>
              </w:rPr>
              <w:t>3.3.</w:t>
            </w:r>
          </w:p>
        </w:tc>
        <w:tc>
          <w:tcPr>
            <w:tcW w:w="9460" w:type="dxa"/>
            <w:vAlign w:val="bottom"/>
            <w:gridSpan w:val="2"/>
          </w:tcPr>
          <w:p>
            <w:pPr>
              <w:ind w:left="300"/>
              <w:spacing w:after="0"/>
              <w:rPr>
                <w:sz w:val="20"/>
                <w:szCs w:val="20"/>
                <w:color w:val="auto"/>
              </w:rPr>
            </w:pPr>
            <w:r>
              <w:rPr>
                <w:rFonts w:ascii="Arial" w:cs="Arial" w:eastAsia="Arial" w:hAnsi="Arial"/>
                <w:sz w:val="19"/>
                <w:szCs w:val="19"/>
                <w:b w:val="1"/>
                <w:bCs w:val="1"/>
                <w:color w:val="auto"/>
              </w:rPr>
              <w:t>Health Continuation Coverage</w:t>
            </w:r>
            <w:r>
              <w:rPr>
                <w:rFonts w:ascii="Arial" w:cs="Arial" w:eastAsia="Arial" w:hAnsi="Arial"/>
                <w:sz w:val="19"/>
                <w:szCs w:val="19"/>
                <w:color w:val="auto"/>
              </w:rPr>
              <w:t>.</w:t>
            </w:r>
          </w:p>
        </w:tc>
      </w:tr>
      <w:tr>
        <w:trPr>
          <w:trHeight w:val="270"/>
        </w:trPr>
        <w:tc>
          <w:tcPr>
            <w:tcW w:w="560" w:type="dxa"/>
            <w:vAlign w:val="bottom"/>
          </w:tcPr>
          <w:p>
            <w:pPr>
              <w:spacing w:after="0"/>
              <w:rPr>
                <w:sz w:val="23"/>
                <w:szCs w:val="23"/>
                <w:color w:val="auto"/>
              </w:rPr>
            </w:pPr>
          </w:p>
        </w:tc>
        <w:tc>
          <w:tcPr>
            <w:tcW w:w="1240" w:type="dxa"/>
            <w:vAlign w:val="bottom"/>
          </w:tcPr>
          <w:p>
            <w:pPr>
              <w:ind w:left="260"/>
              <w:spacing w:after="0"/>
              <w:rPr>
                <w:sz w:val="20"/>
                <w:szCs w:val="20"/>
                <w:color w:val="auto"/>
              </w:rPr>
            </w:pPr>
            <w:r>
              <w:rPr>
                <w:rFonts w:ascii="Arial" w:cs="Arial" w:eastAsia="Arial" w:hAnsi="Arial"/>
                <w:sz w:val="19"/>
                <w:szCs w:val="19"/>
                <w:color w:val="auto"/>
              </w:rPr>
              <w:t>a)</w:t>
            </w:r>
          </w:p>
        </w:tc>
        <w:tc>
          <w:tcPr>
            <w:tcW w:w="8220" w:type="dxa"/>
            <w:vAlign w:val="bottom"/>
          </w:tcPr>
          <w:p>
            <w:pPr>
              <w:ind w:left="840"/>
              <w:spacing w:after="0"/>
              <w:rPr>
                <w:sz w:val="20"/>
                <w:szCs w:val="20"/>
                <w:color w:val="auto"/>
              </w:rPr>
            </w:pPr>
            <w:r>
              <w:rPr>
                <w:rFonts w:ascii="Arial" w:cs="Arial" w:eastAsia="Arial" w:hAnsi="Arial"/>
                <w:sz w:val="19"/>
                <w:szCs w:val="19"/>
                <w:color w:val="auto"/>
                <w:w w:val="98"/>
              </w:rPr>
              <w:t>Provided that Executive is eligible and has made the necessary elections for continuation</w:t>
            </w:r>
          </w:p>
        </w:tc>
      </w:tr>
    </w:tbl>
    <w:p>
      <w:pPr>
        <w:jc w:val="both"/>
        <w:ind w:left="120"/>
        <w:spacing w:after="0" w:line="260" w:lineRule="auto"/>
        <w:rPr>
          <w:sz w:val="20"/>
          <w:szCs w:val="20"/>
          <w:color w:val="auto"/>
        </w:rPr>
      </w:pPr>
      <w:r>
        <w:rPr>
          <w:rFonts w:ascii="Arial" w:cs="Arial" w:eastAsia="Arial" w:hAnsi="Arial"/>
          <w:sz w:val="18"/>
          <w:szCs w:val="18"/>
          <w:color w:val="auto"/>
        </w:rPr>
        <w:t>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02" w:lineRule="exact"/>
        <w:rPr>
          <w:sz w:val="20"/>
          <w:szCs w:val="20"/>
          <w:color w:val="auto"/>
        </w:rPr>
      </w:pPr>
    </w:p>
    <w:p>
      <w:pPr>
        <w:jc w:val="both"/>
        <w:ind w:left="120" w:right="160" w:firstLine="1647"/>
        <w:spacing w:after="0" w:line="260" w:lineRule="auto"/>
        <w:rPr>
          <w:sz w:val="20"/>
          <w:szCs w:val="20"/>
          <w:color w:val="auto"/>
        </w:rPr>
      </w:pPr>
      <w:r>
        <w:rPr>
          <w:rFonts w:ascii="Arial" w:cs="Arial" w:eastAsia="Arial" w:hAnsi="Arial"/>
          <w:sz w:val="19"/>
          <w:szCs w:val="19"/>
          <w:color w:val="auto"/>
        </w:rPr>
        <w:t>b) For purposes of this Section 3.3, (i) references to COBRA shall be deemed to refer also to analogous provisions of state law, and (ii) any applicable insurance premiums that are paid by the Company shall not include any amounts payable by Executive under a Code Section 125</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42" w:name="page143"/>
    <w:bookmarkEnd w:id="142"/>
    <w:p>
      <w:pPr>
        <w:spacing w:after="0"/>
        <w:rPr>
          <w:sz w:val="20"/>
          <w:szCs w:val="20"/>
          <w:color w:val="auto"/>
        </w:rPr>
      </w:pPr>
      <w:r>
        <w:rPr>
          <w:rFonts w:ascii="Arial" w:cs="Arial" w:eastAsia="Arial" w:hAnsi="Arial"/>
          <w:sz w:val="19"/>
          <w:szCs w:val="19"/>
          <w:color w:val="auto"/>
        </w:rPr>
        <w:t>[Type here]</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health care reimbursement plan, which amounts, if any, are the sole responsibility of Executive.</w:t>
      </w:r>
    </w:p>
    <w:p>
      <w:pPr>
        <w:spacing w:after="0" w:line="157" w:lineRule="exact"/>
        <w:rPr>
          <w:sz w:val="20"/>
          <w:szCs w:val="20"/>
          <w:color w:val="auto"/>
        </w:rPr>
      </w:pPr>
    </w:p>
    <w:p>
      <w:pPr>
        <w:jc w:val="both"/>
        <w:ind w:left="120" w:right="20" w:firstLine="833"/>
        <w:spacing w:after="0" w:line="266" w:lineRule="auto"/>
        <w:rPr>
          <w:sz w:val="20"/>
          <w:szCs w:val="20"/>
          <w:color w:val="auto"/>
        </w:rPr>
      </w:pPr>
      <w:r>
        <w:rPr>
          <w:rFonts w:ascii="Arial" w:cs="Arial" w:eastAsia="Arial" w:hAnsi="Arial"/>
          <w:sz w:val="18"/>
          <w:szCs w:val="18"/>
          <w:b w:val="1"/>
          <w:bCs w:val="1"/>
          <w:color w:val="auto"/>
        </w:rPr>
        <w:t>3.4. Stock Awards</w:t>
      </w:r>
      <w:r>
        <w:rPr>
          <w:rFonts w:ascii="Arial" w:cs="Arial" w:eastAsia="Arial" w:hAnsi="Arial"/>
          <w:sz w:val="18"/>
          <w:szCs w:val="18"/>
          <w:color w:val="auto"/>
        </w:rPr>
        <w:t>. Upon a Change in Control Termination, (i) the vesting and exercisability of all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purchase the Company’s common stock (or stock appreciation rights or other rights with respect to the stock of the Company issued pursuant to any equity incentive plan of the Company) that are held by Executive on the Termination Date shall be accelerated in full, (ii) 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(iii) the time period that Executive has to exercise any outstanding options to purchase the Company’s common stock that are held by Executive on the Termination Date shall be extended for a period equal to the shorter of (A) twelve (12) months or (B) the remaining term of the outstanding option.</w:t>
      </w:r>
    </w:p>
    <w:p>
      <w:pPr>
        <w:spacing w:after="0" w:line="110" w:lineRule="exact"/>
        <w:rPr>
          <w:sz w:val="20"/>
          <w:szCs w:val="20"/>
          <w:color w:val="auto"/>
        </w:rPr>
      </w:pPr>
    </w:p>
    <w:tbl>
      <w:tblPr>
        <w:tblLayout w:type="fixed"/>
        <w:tblInd w:w="940" w:type="dxa"/>
        <w:tblCellMar>
          <w:top w:w="0" w:type="dxa"/>
          <w:left w:w="0" w:type="dxa"/>
          <w:bottom w:w="0" w:type="dxa"/>
          <w:right w:w="0" w:type="dxa"/>
        </w:tblCellMar>
      </w:tblPr>
      <w:tr>
        <w:trPr>
          <w:trHeight w:val="252"/>
        </w:trPr>
        <w:tc>
          <w:tcPr>
            <w:tcW w:w="960" w:type="dxa"/>
            <w:vAlign w:val="bottom"/>
          </w:tcPr>
          <w:p>
            <w:pPr>
              <w:spacing w:after="0"/>
              <w:rPr>
                <w:sz w:val="21"/>
                <w:szCs w:val="21"/>
                <w:color w:val="auto"/>
              </w:rPr>
            </w:pPr>
          </w:p>
        </w:tc>
        <w:tc>
          <w:tcPr>
            <w:tcW w:w="8880" w:type="dxa"/>
            <w:vAlign w:val="bottom"/>
          </w:tcPr>
          <w:p>
            <w:pPr>
              <w:jc w:val="center"/>
              <w:ind w:right="1464"/>
              <w:spacing w:after="0"/>
              <w:rPr>
                <w:sz w:val="20"/>
                <w:szCs w:val="20"/>
                <w:color w:val="auto"/>
              </w:rPr>
            </w:pPr>
            <w:r>
              <w:rPr>
                <w:rFonts w:ascii="Arial" w:cs="Arial" w:eastAsia="Arial" w:hAnsi="Arial"/>
                <w:sz w:val="19"/>
                <w:szCs w:val="19"/>
                <w:b w:val="1"/>
                <w:bCs w:val="1"/>
                <w:color w:val="auto"/>
              </w:rPr>
              <w:t>ARTICLE 4</w:t>
            </w:r>
          </w:p>
        </w:tc>
      </w:tr>
      <w:tr>
        <w:trPr>
          <w:trHeight w:val="381"/>
        </w:trPr>
        <w:tc>
          <w:tcPr>
            <w:tcW w:w="960" w:type="dxa"/>
            <w:vAlign w:val="bottom"/>
          </w:tcPr>
          <w:p>
            <w:pPr>
              <w:spacing w:after="0"/>
              <w:rPr>
                <w:sz w:val="24"/>
                <w:szCs w:val="24"/>
                <w:color w:val="auto"/>
              </w:rPr>
            </w:pPr>
          </w:p>
        </w:tc>
        <w:tc>
          <w:tcPr>
            <w:tcW w:w="8880" w:type="dxa"/>
            <w:vAlign w:val="bottom"/>
          </w:tcPr>
          <w:p>
            <w:pPr>
              <w:jc w:val="center"/>
              <w:ind w:right="1484"/>
              <w:spacing w:after="0"/>
              <w:rPr>
                <w:sz w:val="20"/>
                <w:szCs w:val="20"/>
                <w:color w:val="auto"/>
              </w:rPr>
            </w:pPr>
            <w:r>
              <w:rPr>
                <w:rFonts w:ascii="Arial" w:cs="Arial" w:eastAsia="Arial" w:hAnsi="Arial"/>
                <w:sz w:val="19"/>
                <w:szCs w:val="19"/>
                <w:b w:val="1"/>
                <w:bCs w:val="1"/>
                <w:color w:val="auto"/>
              </w:rPr>
              <w:t>COVERED TERMINATION SEVERANCE BENEFITS</w:t>
            </w:r>
          </w:p>
        </w:tc>
      </w:tr>
      <w:tr>
        <w:trPr>
          <w:trHeight w:val="349"/>
        </w:trPr>
        <w:tc>
          <w:tcPr>
            <w:tcW w:w="960" w:type="dxa"/>
            <w:vAlign w:val="bottom"/>
          </w:tcPr>
          <w:p>
            <w:pPr>
              <w:jc w:val="right"/>
              <w:ind w:right="564"/>
              <w:spacing w:after="0"/>
              <w:rPr>
                <w:sz w:val="20"/>
                <w:szCs w:val="20"/>
                <w:color w:val="auto"/>
              </w:rPr>
            </w:pPr>
            <w:r>
              <w:rPr>
                <w:rFonts w:ascii="Arial" w:cs="Arial" w:eastAsia="Arial" w:hAnsi="Arial"/>
                <w:sz w:val="19"/>
                <w:szCs w:val="19"/>
                <w:b w:val="1"/>
                <w:bCs w:val="1"/>
                <w:color w:val="auto"/>
                <w:w w:val="88"/>
              </w:rPr>
              <w:t>4.1.</w:t>
            </w:r>
          </w:p>
        </w:tc>
        <w:tc>
          <w:tcPr>
            <w:tcW w:w="8880" w:type="dxa"/>
            <w:vAlign w:val="bottom"/>
          </w:tcPr>
          <w:p>
            <w:pPr>
              <w:ind w:left="660"/>
              <w:spacing w:after="0"/>
              <w:rPr>
                <w:sz w:val="20"/>
                <w:szCs w:val="20"/>
                <w:color w:val="auto"/>
              </w:rPr>
            </w:pPr>
            <w:r>
              <w:rPr>
                <w:rFonts w:ascii="Arial" w:cs="Arial" w:eastAsia="Arial" w:hAnsi="Arial"/>
                <w:sz w:val="19"/>
                <w:szCs w:val="19"/>
                <w:b w:val="1"/>
                <w:bCs w:val="1"/>
                <w:color w:val="auto"/>
                <w:w w:val="92"/>
              </w:rPr>
              <w:t>Severance Benefits</w:t>
            </w:r>
            <w:r>
              <w:rPr>
                <w:rFonts w:ascii="Arial" w:cs="Arial" w:eastAsia="Arial" w:hAnsi="Arial"/>
                <w:sz w:val="19"/>
                <w:szCs w:val="19"/>
                <w:color w:val="auto"/>
                <w:w w:val="92"/>
              </w:rPr>
              <w:t>. Upon a Covered Termination, and subject to the limitations and conditions set forth</w:t>
            </w:r>
          </w:p>
        </w:tc>
      </w:tr>
    </w:tbl>
    <w:p>
      <w:pPr>
        <w:jc w:val="both"/>
        <w:ind w:left="120" w:right="200"/>
        <w:spacing w:after="0" w:line="265" w:lineRule="auto"/>
        <w:rPr>
          <w:sz w:val="20"/>
          <w:szCs w:val="20"/>
          <w:color w:val="auto"/>
        </w:rPr>
      </w:pPr>
      <w:r>
        <w:rPr>
          <w:rFonts w:ascii="Arial" w:cs="Arial" w:eastAsia="Arial" w:hAnsi="Arial"/>
          <w:sz w:val="18"/>
          <w:szCs w:val="18"/>
          <w:color w:val="auto"/>
        </w:rPr>
        <w:t>in this 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10" w:lineRule="exact"/>
        <w:rPr>
          <w:sz w:val="20"/>
          <w:szCs w:val="20"/>
          <w:color w:val="auto"/>
        </w:rPr>
      </w:pPr>
    </w:p>
    <w:p>
      <w:pPr>
        <w:jc w:val="both"/>
        <w:ind w:left="120" w:right="20" w:firstLine="833"/>
        <w:spacing w:after="0" w:line="267" w:lineRule="auto"/>
        <w:rPr>
          <w:sz w:val="20"/>
          <w:szCs w:val="20"/>
          <w:color w:val="auto"/>
        </w:rPr>
      </w:pPr>
      <w:r>
        <w:rPr>
          <w:rFonts w:ascii="Arial" w:cs="Arial" w:eastAsia="Arial" w:hAnsi="Arial"/>
          <w:sz w:val="18"/>
          <w:szCs w:val="18"/>
          <w:b w:val="1"/>
          <w:bCs w:val="1"/>
          <w:color w:val="auto"/>
        </w:rPr>
        <w:t>4.2. Salary Payment</w:t>
      </w:r>
      <w:r>
        <w:rPr>
          <w:rFonts w:ascii="Arial" w:cs="Arial" w:eastAsia="Arial" w:hAnsi="Arial"/>
          <w:sz w:val="18"/>
          <w:szCs w:val="18"/>
          <w:color w:val="auto"/>
        </w:rPr>
        <w:t>. In consideration of Executive’s timely execution and non-revocation of a full release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claims, in a form provided by the Company and in accordance with Article 5, the Company shall pay Executive a severance payment equal to the sum of (i) Executive’s Monthly Base Salary multiplied by the number of months in the Covered Termination Severance Period and</w:t>
      </w:r>
    </w:p>
    <w:p>
      <w:pPr>
        <w:spacing w:after="0" w:line="2" w:lineRule="exact"/>
        <w:rPr>
          <w:sz w:val="20"/>
          <w:szCs w:val="20"/>
          <w:color w:val="auto"/>
        </w:rPr>
      </w:pPr>
    </w:p>
    <w:p>
      <w:pPr>
        <w:jc w:val="both"/>
        <w:ind w:left="120" w:right="20" w:firstLine="5"/>
        <w:spacing w:after="0" w:line="249" w:lineRule="auto"/>
        <w:tabs>
          <w:tab w:leader="none" w:pos="431"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Target Performance Bonus as in effect on the date of a Covered Termination multiplied by the number of days Executive was employed in the year of the Covered Termination divided by the total number of days in such year, less applicable withholdings. The severance payment shall be payable (except as set forth in Article 5) in a lump sum on the first regularly-scheduled payroll date occurring on or after the Release Deadline Date.</w:t>
      </w:r>
    </w:p>
    <w:p>
      <w:pPr>
        <w:spacing w:after="0" w:line="123"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b w:val="1"/>
          <w:bCs w:val="1"/>
          <w:color w:val="auto"/>
        </w:rPr>
        <w:t>Health Continuation Coverage</w:t>
      </w:r>
      <w:r>
        <w:rPr>
          <w:rFonts w:ascii="Arial" w:cs="Arial" w:eastAsia="Arial" w:hAnsi="Arial"/>
          <w:sz w:val="17"/>
          <w:szCs w:val="17"/>
          <w:color w:val="auto"/>
        </w:rPr>
        <w:t>.</w:t>
      </w:r>
    </w:p>
    <w:p>
      <w:pPr>
        <w:spacing w:after="0" w:line="261" w:lineRule="exact"/>
        <w:rPr>
          <w:sz w:val="20"/>
          <w:szCs w:val="20"/>
          <w:color w:val="auto"/>
        </w:rPr>
      </w:pPr>
    </w:p>
    <w:p>
      <w:pPr>
        <w:jc w:val="both"/>
        <w:ind w:left="120" w:firstLine="1669"/>
        <w:spacing w:after="0" w:line="264" w:lineRule="auto"/>
        <w:rPr>
          <w:sz w:val="20"/>
          <w:szCs w:val="20"/>
          <w:color w:val="auto"/>
        </w:rPr>
      </w:pPr>
      <w:r>
        <w:rPr>
          <w:rFonts w:ascii="Arial" w:cs="Arial" w:eastAsia="Arial" w:hAnsi="Arial"/>
          <w:sz w:val="18"/>
          <w:szCs w:val="18"/>
          <w:color w:val="auto"/>
        </w:rPr>
        <w:t>a) 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w:t>
      </w:r>
    </w:p>
    <w:p>
      <w:pPr>
        <w:spacing w:after="0" w:line="168"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color w:val="auto"/>
        </w:rPr>
        <w:t>[Type here]</w:t>
      </w:r>
    </w:p>
    <w:p>
      <w:pPr>
        <w:spacing w:after="0" w:line="282" w:lineRule="exact"/>
        <w:rPr>
          <w:sz w:val="20"/>
          <w:szCs w:val="20"/>
          <w:color w:val="auto"/>
        </w:rPr>
      </w:pPr>
    </w:p>
    <w:p>
      <w:pPr>
        <w:jc w:val="both"/>
        <w:ind w:left="120"/>
        <w:spacing w:after="0" w:line="265" w:lineRule="auto"/>
        <w:rPr>
          <w:sz w:val="20"/>
          <w:szCs w:val="20"/>
          <w:color w:val="auto"/>
        </w:rPr>
      </w:pPr>
      <w:r>
        <w:rPr>
          <w:rFonts w:ascii="Arial" w:cs="Arial" w:eastAsia="Arial" w:hAnsi="Arial"/>
          <w:sz w:val="18"/>
          <w:szCs w:val="18"/>
          <w:color w:val="auto"/>
        </w:rPr>
        <w:t>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17" w:lineRule="exact"/>
        <w:rPr>
          <w:sz w:val="20"/>
          <w:szCs w:val="20"/>
          <w:color w:val="auto"/>
        </w:rPr>
      </w:pPr>
    </w:p>
    <w:p>
      <w:pPr>
        <w:jc w:val="both"/>
        <w:ind w:left="120" w:right="140" w:firstLine="1647"/>
        <w:spacing w:after="0" w:line="255" w:lineRule="auto"/>
        <w:rPr>
          <w:sz w:val="20"/>
          <w:szCs w:val="20"/>
          <w:color w:val="auto"/>
        </w:rPr>
      </w:pPr>
      <w:r>
        <w:rPr>
          <w:rFonts w:ascii="Arial" w:cs="Arial" w:eastAsia="Arial" w:hAnsi="Arial"/>
          <w:sz w:val="19"/>
          <w:szCs w:val="19"/>
          <w:color w:val="auto"/>
        </w:rPr>
        <w:t>b) 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04"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540" w:type="dxa"/>
            <w:vAlign w:val="bottom"/>
          </w:tcPr>
          <w:p>
            <w:pPr>
              <w:jc w:val="right"/>
              <w:ind w:right="164"/>
              <w:spacing w:after="0"/>
              <w:rPr>
                <w:sz w:val="20"/>
                <w:szCs w:val="20"/>
                <w:color w:val="auto"/>
              </w:rPr>
            </w:pPr>
            <w:r>
              <w:rPr>
                <w:rFonts w:ascii="Arial" w:cs="Arial" w:eastAsia="Arial" w:hAnsi="Arial"/>
                <w:sz w:val="19"/>
                <w:szCs w:val="19"/>
                <w:b w:val="1"/>
                <w:bCs w:val="1"/>
                <w:color w:val="auto"/>
                <w:w w:val="81"/>
              </w:rPr>
              <w:t>4.4.</w:t>
            </w:r>
          </w:p>
        </w:tc>
        <w:tc>
          <w:tcPr>
            <w:tcW w:w="9400" w:type="dxa"/>
            <w:vAlign w:val="bottom"/>
            <w:gridSpan w:val="2"/>
          </w:tcPr>
          <w:p>
            <w:pPr>
              <w:ind w:left="320"/>
              <w:spacing w:after="0"/>
              <w:rPr>
                <w:sz w:val="20"/>
                <w:szCs w:val="20"/>
                <w:color w:val="auto"/>
              </w:rPr>
            </w:pPr>
            <w:r>
              <w:rPr>
                <w:rFonts w:ascii="Arial" w:cs="Arial" w:eastAsia="Arial" w:hAnsi="Arial"/>
                <w:sz w:val="19"/>
                <w:szCs w:val="19"/>
                <w:b w:val="1"/>
                <w:bCs w:val="1"/>
                <w:color w:val="auto"/>
              </w:rPr>
              <w:t>Stock Awards</w:t>
            </w:r>
            <w:r>
              <w:rPr>
                <w:rFonts w:ascii="Arial" w:cs="Arial" w:eastAsia="Arial" w:hAnsi="Arial"/>
                <w:sz w:val="19"/>
                <w:szCs w:val="19"/>
                <w:color w:val="auto"/>
              </w:rPr>
              <w:t>. Upon a Covered Termination:</w:t>
            </w:r>
          </w:p>
        </w:tc>
      </w:tr>
      <w:tr>
        <w:trPr>
          <w:trHeight w:val="375"/>
        </w:trPr>
        <w:tc>
          <w:tcPr>
            <w:tcW w:w="54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19"/>
                <w:szCs w:val="19"/>
                <w:color w:val="auto"/>
              </w:rPr>
              <w:t>a)</w:t>
            </w:r>
          </w:p>
        </w:tc>
        <w:tc>
          <w:tcPr>
            <w:tcW w:w="8160" w:type="dxa"/>
            <w:vAlign w:val="bottom"/>
          </w:tcPr>
          <w:p>
            <w:pPr>
              <w:ind w:left="840"/>
              <w:spacing w:after="0"/>
              <w:rPr>
                <w:sz w:val="20"/>
                <w:szCs w:val="20"/>
                <w:color w:val="auto"/>
              </w:rPr>
            </w:pPr>
            <w:r>
              <w:rPr>
                <w:rFonts w:ascii="Arial" w:cs="Arial" w:eastAsia="Arial" w:hAnsi="Arial"/>
                <w:sz w:val="19"/>
                <w:szCs w:val="19"/>
                <w:color w:val="auto"/>
                <w:w w:val="94"/>
              </w:rPr>
              <w:t>the vesting and exercisability of all outstanding options to purchase the Company’s common</w:t>
            </w:r>
          </w:p>
        </w:tc>
      </w:tr>
    </w:tbl>
    <w:p>
      <w:pPr>
        <w:jc w:val="both"/>
        <w:ind w:left="120" w:right="60"/>
        <w:spacing w:after="0" w:line="247" w:lineRule="auto"/>
        <w:rPr>
          <w:sz w:val="20"/>
          <w:szCs w:val="20"/>
          <w:color w:val="auto"/>
        </w:rPr>
      </w:pPr>
      <w:r>
        <w:rPr>
          <w:rFonts w:ascii="Arial" w:cs="Arial" w:eastAsia="Arial" w:hAnsi="Arial"/>
          <w:sz w:val="19"/>
          <w:szCs w:val="19"/>
          <w:color w:val="auto"/>
        </w:rPr>
        <w:t>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19"/>
          <w:szCs w:val="19"/>
          <w:b w:val="1"/>
          <w:bCs w:val="1"/>
          <w:i w:val="1"/>
          <w:iCs w:val="1"/>
          <w:color w:val="auto"/>
        </w:rPr>
        <w:t>Option Shares</w:t>
      </w:r>
      <w:r>
        <w:rPr>
          <w:rFonts w:ascii="Arial" w:cs="Arial" w:eastAsia="Arial" w:hAnsi="Arial"/>
          <w:sz w:val="19"/>
          <w:szCs w:val="19"/>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20" w:lineRule="exact"/>
        <w:rPr>
          <w:sz w:val="20"/>
          <w:szCs w:val="20"/>
          <w:color w:val="auto"/>
        </w:rPr>
      </w:pPr>
    </w:p>
    <w:p>
      <w:pPr>
        <w:jc w:val="both"/>
        <w:ind w:left="120" w:right="40" w:firstLine="1662"/>
        <w:spacing w:after="0" w:line="249" w:lineRule="auto"/>
        <w:rPr>
          <w:sz w:val="20"/>
          <w:szCs w:val="20"/>
          <w:color w:val="auto"/>
        </w:rPr>
      </w:pPr>
      <w:r>
        <w:rPr>
          <w:rFonts w:ascii="Arial" w:cs="Arial" w:eastAsia="Arial" w:hAnsi="Arial"/>
          <w:sz w:val="19"/>
          <w:szCs w:val="19"/>
          <w:color w:val="auto"/>
        </w:rPr>
        <w:t>b) 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Arial" w:cs="Arial" w:eastAsia="Arial" w:hAnsi="Arial"/>
          <w:sz w:val="19"/>
          <w:szCs w:val="19"/>
          <w:b w:val="1"/>
          <w:bCs w:val="1"/>
          <w:i w:val="1"/>
          <w:iCs w:val="1"/>
          <w:color w:val="auto"/>
        </w:rPr>
        <w:t>Restricted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held by the Executive as of the Termination Date shall lapse as to the number of Restricted Shares as equals the number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27" w:lineRule="exact"/>
        <w:rPr>
          <w:sz w:val="20"/>
          <w:szCs w:val="20"/>
          <w:color w:val="auto"/>
        </w:rPr>
      </w:pPr>
    </w:p>
    <w:p>
      <w:pPr>
        <w:jc w:val="both"/>
        <w:ind w:left="120" w:right="20" w:firstLine="1669"/>
        <w:spacing w:after="0" w:line="260" w:lineRule="auto"/>
        <w:rPr>
          <w:sz w:val="20"/>
          <w:szCs w:val="20"/>
          <w:color w:val="auto"/>
        </w:rPr>
      </w:pPr>
      <w:r>
        <w:rPr>
          <w:rFonts w:ascii="Arial" w:cs="Arial" w:eastAsia="Arial" w:hAnsi="Arial"/>
          <w:sz w:val="19"/>
          <w:szCs w:val="19"/>
          <w:color w:val="auto"/>
        </w:rPr>
        <w:t>c) the time period that Executive has to exercise any outstanding options to purchase the Company’s common stock that are held by Executive on the Termination Date shall be extended for a period equal to the shorter of (A) twelve (12) months or (B) the remaining term of the outstanding option.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ARTICLE 5</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LIMITATIONS AND CONDITIONS ON BENEFITS</w:t>
      </w:r>
    </w:p>
    <w:p>
      <w:pPr>
        <w:spacing w:after="0" w:line="136" w:lineRule="exact"/>
        <w:rPr>
          <w:sz w:val="20"/>
          <w:szCs w:val="20"/>
          <w:color w:val="auto"/>
        </w:rPr>
      </w:pPr>
    </w:p>
    <w:p>
      <w:pPr>
        <w:jc w:val="both"/>
        <w:ind w:left="120" w:firstLine="835"/>
        <w:spacing w:after="0" w:line="263" w:lineRule="auto"/>
        <w:rPr>
          <w:sz w:val="20"/>
          <w:szCs w:val="20"/>
          <w:color w:val="auto"/>
        </w:rPr>
      </w:pPr>
      <w:r>
        <w:rPr>
          <w:rFonts w:ascii="Arial" w:cs="Arial" w:eastAsia="Arial" w:hAnsi="Arial"/>
          <w:sz w:val="19"/>
          <w:szCs w:val="19"/>
          <w:b w:val="1"/>
          <w:bCs w:val="1"/>
          <w:color w:val="auto"/>
        </w:rPr>
        <w:t>5.1. Rights Conditioned on Compliance</w:t>
      </w:r>
      <w:r>
        <w:rPr>
          <w:rFonts w:ascii="Arial" w:cs="Arial" w:eastAsia="Arial" w:hAnsi="Arial"/>
          <w:sz w:val="19"/>
          <w:szCs w:val="19"/>
          <w:color w:val="auto"/>
        </w:rPr>
        <w:t>. Executive’s rights to receive all severance benefits described in</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3 and Article 4 shall be conditioned upon and subject to Executive’s compliance with the limitations and conditions on benefits as described in this Article 5.</w:t>
      </w:r>
    </w:p>
    <w:p>
      <w:pPr>
        <w:spacing w:after="0" w:line="110" w:lineRule="exact"/>
        <w:rPr>
          <w:sz w:val="20"/>
          <w:szCs w:val="20"/>
          <w:color w:val="auto"/>
        </w:rPr>
      </w:pPr>
    </w:p>
    <w:p>
      <w:pPr>
        <w:ind w:left="120" w:right="580" w:firstLine="790"/>
        <w:spacing w:after="0" w:line="310" w:lineRule="auto"/>
        <w:rPr>
          <w:sz w:val="20"/>
          <w:szCs w:val="20"/>
          <w:color w:val="auto"/>
        </w:rPr>
      </w:pPr>
      <w:r>
        <w:rPr>
          <w:rFonts w:ascii="Arial" w:cs="Arial" w:eastAsia="Arial" w:hAnsi="Arial"/>
          <w:sz w:val="18"/>
          <w:szCs w:val="18"/>
          <w:b w:val="1"/>
          <w:bCs w:val="1"/>
          <w:color w:val="auto"/>
        </w:rPr>
        <w:t>5.2. Continuation of Service Until Date of Termination</w:t>
      </w:r>
      <w:r>
        <w:rPr>
          <w:rFonts w:ascii="Arial" w:cs="Arial" w:eastAsia="Arial" w:hAnsi="Arial"/>
          <w:sz w:val="18"/>
          <w:szCs w:val="18"/>
          <w:color w:val="auto"/>
        </w:rPr>
        <w:t>. Executive shall continue to provide service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good faith until the Termination Date, unless such performance is otherwise excused in writing by the Company.</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[Type here]</w:t>
      </w:r>
    </w:p>
    <w:p>
      <w:pPr>
        <w:spacing w:after="0" w:line="381" w:lineRule="exact"/>
        <w:rPr>
          <w:sz w:val="20"/>
          <w:szCs w:val="20"/>
          <w:color w:val="auto"/>
        </w:rPr>
      </w:pPr>
    </w:p>
    <w:p>
      <w:pPr>
        <w:jc w:val="both"/>
        <w:ind w:left="120" w:right="20" w:firstLine="829"/>
        <w:spacing w:after="0" w:line="278" w:lineRule="auto"/>
        <w:rPr>
          <w:sz w:val="20"/>
          <w:szCs w:val="20"/>
          <w:color w:val="auto"/>
        </w:rPr>
      </w:pPr>
      <w:r>
        <w:rPr>
          <w:rFonts w:ascii="Arial" w:cs="Arial" w:eastAsia="Arial" w:hAnsi="Arial"/>
          <w:sz w:val="17"/>
          <w:szCs w:val="17"/>
          <w:b w:val="1"/>
          <w:bCs w:val="1"/>
          <w:color w:val="auto"/>
        </w:rPr>
        <w:t>5.3. Release Prior to Payment of Benefits</w:t>
      </w:r>
      <w:r>
        <w:rPr>
          <w:rFonts w:ascii="Arial" w:cs="Arial" w:eastAsia="Arial" w:hAnsi="Arial"/>
          <w:sz w:val="17"/>
          <w:szCs w:val="17"/>
          <w:color w:val="auto"/>
        </w:rPr>
        <w:t>. Upon the occurrence of a Change in Control Termination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107" w:lineRule="exact"/>
        <w:rPr>
          <w:sz w:val="20"/>
          <w:szCs w:val="20"/>
          <w:color w:val="auto"/>
        </w:rPr>
      </w:pPr>
    </w:p>
    <w:p>
      <w:pPr>
        <w:jc w:val="both"/>
        <w:ind w:left="120" w:firstLine="831"/>
        <w:spacing w:after="0" w:line="280" w:lineRule="auto"/>
        <w:rPr>
          <w:sz w:val="20"/>
          <w:szCs w:val="20"/>
          <w:color w:val="auto"/>
        </w:rPr>
      </w:pPr>
      <w:r>
        <w:rPr>
          <w:rFonts w:ascii="Arial" w:cs="Arial" w:eastAsia="Arial" w:hAnsi="Arial"/>
          <w:sz w:val="17"/>
          <w:szCs w:val="17"/>
          <w:b w:val="1"/>
          <w:bCs w:val="1"/>
          <w:color w:val="auto"/>
        </w:rPr>
        <w:t>5.4. Return of Company Property</w:t>
      </w:r>
      <w:r>
        <w:rPr>
          <w:rFonts w:ascii="Arial" w:cs="Arial" w:eastAsia="Arial" w:hAnsi="Arial"/>
          <w:sz w:val="17"/>
          <w:szCs w:val="17"/>
          <w:color w:val="auto"/>
        </w:rPr>
        <w:t>. Not later than the Termination Date, Executive shall return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all 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 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98"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7"/>
          <w:szCs w:val="17"/>
          <w:b w:val="1"/>
          <w:bCs w:val="1"/>
          <w:color w:val="auto"/>
        </w:rPr>
        <w:t>Cooperation and Continued Compliance with Restrictive Covenants</w:t>
      </w:r>
      <w:r>
        <w:rPr>
          <w:rFonts w:ascii="Arial" w:cs="Arial" w:eastAsia="Arial" w:hAnsi="Arial"/>
          <w:sz w:val="17"/>
          <w:szCs w:val="17"/>
          <w:color w:val="auto"/>
        </w:rPr>
        <w:t>.</w:t>
      </w:r>
    </w:p>
    <w:p>
      <w:pPr>
        <w:spacing w:after="0" w:line="156" w:lineRule="exact"/>
        <w:rPr>
          <w:sz w:val="20"/>
          <w:szCs w:val="20"/>
          <w:color w:val="auto"/>
        </w:rPr>
      </w:pPr>
    </w:p>
    <w:p>
      <w:pPr>
        <w:jc w:val="both"/>
        <w:ind w:left="120" w:firstLine="1662"/>
        <w:spacing w:after="0" w:line="255" w:lineRule="auto"/>
        <w:rPr>
          <w:sz w:val="20"/>
          <w:szCs w:val="20"/>
          <w:color w:val="auto"/>
        </w:rPr>
      </w:pPr>
      <w:r>
        <w:rPr>
          <w:rFonts w:ascii="Arial" w:cs="Arial" w:eastAsia="Arial" w:hAnsi="Arial"/>
          <w:sz w:val="19"/>
          <w:szCs w:val="19"/>
          <w:color w:val="auto"/>
        </w:rPr>
        <w:t>a) 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[Type here]</w:t>
      </w:r>
    </w:p>
    <w:p>
      <w:pPr>
        <w:spacing w:after="0" w:line="374" w:lineRule="exact"/>
        <w:rPr>
          <w:sz w:val="20"/>
          <w:szCs w:val="20"/>
          <w:color w:val="auto"/>
        </w:rPr>
      </w:pPr>
    </w:p>
    <w:p>
      <w:pPr>
        <w:jc w:val="both"/>
        <w:ind w:left="120" w:right="40"/>
        <w:spacing w:after="0" w:line="264" w:lineRule="auto"/>
        <w:rPr>
          <w:sz w:val="20"/>
          <w:szCs w:val="20"/>
          <w:color w:val="auto"/>
        </w:rPr>
      </w:pPr>
      <w:r>
        <w:rPr>
          <w:rFonts w:ascii="Arial" w:cs="Arial" w:eastAsia="Arial" w:hAnsi="Arial"/>
          <w:sz w:val="18"/>
          <w:szCs w:val="18"/>
          <w:color w:val="auto"/>
        </w:rPr>
        <w:t>in which 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20" w:lineRule="exact"/>
        <w:rPr>
          <w:sz w:val="20"/>
          <w:szCs w:val="20"/>
          <w:color w:val="auto"/>
        </w:rPr>
      </w:pPr>
    </w:p>
    <w:p>
      <w:pPr>
        <w:jc w:val="both"/>
        <w:ind w:left="120" w:right="180" w:firstLine="1640"/>
        <w:spacing w:after="0" w:line="267" w:lineRule="auto"/>
        <w:rPr>
          <w:sz w:val="20"/>
          <w:szCs w:val="20"/>
          <w:color w:val="auto"/>
        </w:rPr>
      </w:pPr>
      <w:r>
        <w:rPr>
          <w:rFonts w:ascii="Arial" w:cs="Arial" w:eastAsia="Arial" w:hAnsi="Arial"/>
          <w:sz w:val="19"/>
          <w:szCs w:val="19"/>
          <w:color w:val="auto"/>
        </w:rPr>
        <w:t>b) From and after the Termination Date, Executive shall continue to abide by all of the terms and provisions of the Confidentiality Agreement (and any other comparable agreement signed by Executive), in accordance with its terms.</w:t>
      </w:r>
    </w:p>
    <w:p>
      <w:pPr>
        <w:spacing w:after="0" w:line="342" w:lineRule="exact"/>
        <w:rPr>
          <w:sz w:val="20"/>
          <w:szCs w:val="20"/>
          <w:color w:val="auto"/>
        </w:rPr>
      </w:pPr>
    </w:p>
    <w:p>
      <w:pPr>
        <w:jc w:val="both"/>
        <w:ind w:left="120" w:right="180" w:firstLine="1640"/>
        <w:spacing w:after="0" w:line="255" w:lineRule="auto"/>
        <w:rPr>
          <w:sz w:val="20"/>
          <w:szCs w:val="20"/>
          <w:color w:val="auto"/>
        </w:rPr>
      </w:pPr>
      <w:r>
        <w:rPr>
          <w:rFonts w:ascii="Arial" w:cs="Arial" w:eastAsia="Arial" w:hAnsi="Arial"/>
          <w:sz w:val="19"/>
          <w:szCs w:val="19"/>
          <w:color w:val="auto"/>
        </w:rPr>
        <w:t>c) Executive agrees that the choice of law and choice of forum provisions in Section 10.10 of the Confidentiality Agreement shall be amended to conform to the choice of law and choice of forum provisions in Section 8.11 of this Agreement. No other terms of the Confidentiality Agreement are amended by this Agreement, and the Confidentiality Agreement remains in full force and effect.</w:t>
      </w:r>
    </w:p>
    <w:p>
      <w:pPr>
        <w:spacing w:after="0" w:line="97" w:lineRule="exact"/>
        <w:rPr>
          <w:sz w:val="20"/>
          <w:szCs w:val="20"/>
          <w:color w:val="auto"/>
        </w:rPr>
      </w:pPr>
    </w:p>
    <w:p>
      <w:pPr>
        <w:jc w:val="both"/>
        <w:ind w:left="120" w:firstLine="1666"/>
        <w:spacing w:after="0" w:line="249" w:lineRule="auto"/>
        <w:rPr>
          <w:sz w:val="20"/>
          <w:szCs w:val="20"/>
          <w:color w:val="auto"/>
        </w:rPr>
      </w:pPr>
      <w:r>
        <w:rPr>
          <w:rFonts w:ascii="Arial" w:cs="Arial" w:eastAsia="Arial" w:hAnsi="Arial"/>
          <w:sz w:val="19"/>
          <w:szCs w:val="19"/>
          <w:color w:val="auto"/>
        </w:rPr>
        <w:t>d) Executive acknowledges and agrees that Executive’s obligations under this Section 5.5 are an 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09"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540" w:type="dxa"/>
            <w:vAlign w:val="bottom"/>
          </w:tcPr>
          <w:p>
            <w:pPr>
              <w:jc w:val="right"/>
              <w:ind w:right="164"/>
              <w:spacing w:after="0"/>
              <w:rPr>
                <w:sz w:val="20"/>
                <w:szCs w:val="20"/>
                <w:color w:val="auto"/>
              </w:rPr>
            </w:pPr>
            <w:r>
              <w:rPr>
                <w:rFonts w:ascii="Arial" w:cs="Arial" w:eastAsia="Arial" w:hAnsi="Arial"/>
                <w:sz w:val="19"/>
                <w:szCs w:val="19"/>
                <w:b w:val="1"/>
                <w:bCs w:val="1"/>
                <w:color w:val="auto"/>
                <w:w w:val="81"/>
              </w:rPr>
              <w:t>5.6.</w:t>
            </w:r>
          </w:p>
        </w:tc>
        <w:tc>
          <w:tcPr>
            <w:tcW w:w="2220" w:type="dxa"/>
            <w:vAlign w:val="bottom"/>
          </w:tcPr>
          <w:p>
            <w:pPr>
              <w:ind w:left="320"/>
              <w:spacing w:after="0"/>
              <w:rPr>
                <w:sz w:val="20"/>
                <w:szCs w:val="20"/>
                <w:color w:val="auto"/>
              </w:rPr>
            </w:pPr>
            <w:r>
              <w:rPr>
                <w:rFonts w:ascii="Arial" w:cs="Arial" w:eastAsia="Arial" w:hAnsi="Arial"/>
                <w:sz w:val="19"/>
                <w:szCs w:val="19"/>
                <w:b w:val="1"/>
                <w:bCs w:val="1"/>
                <w:color w:val="auto"/>
                <w:w w:val="97"/>
              </w:rPr>
              <w:t>Parachute Payments</w:t>
            </w:r>
            <w:r>
              <w:rPr>
                <w:rFonts w:ascii="Arial" w:cs="Arial" w:eastAsia="Arial" w:hAnsi="Arial"/>
                <w:sz w:val="19"/>
                <w:szCs w:val="19"/>
                <w:color w:val="auto"/>
                <w:w w:val="97"/>
              </w:rPr>
              <w:t>.</w:t>
            </w:r>
          </w:p>
        </w:tc>
        <w:tc>
          <w:tcPr>
            <w:tcW w:w="7180" w:type="dxa"/>
            <w:vAlign w:val="bottom"/>
          </w:tcPr>
          <w:p>
            <w:pPr>
              <w:spacing w:after="0"/>
              <w:rPr>
                <w:sz w:val="21"/>
                <w:szCs w:val="21"/>
                <w:color w:val="auto"/>
              </w:rPr>
            </w:pPr>
          </w:p>
        </w:tc>
      </w:tr>
      <w:tr>
        <w:trPr>
          <w:trHeight w:val="375"/>
        </w:trPr>
        <w:tc>
          <w:tcPr>
            <w:tcW w:w="540" w:type="dxa"/>
            <w:vAlign w:val="bottom"/>
          </w:tcPr>
          <w:p>
            <w:pPr>
              <w:spacing w:after="0"/>
              <w:rPr>
                <w:sz w:val="24"/>
                <w:szCs w:val="24"/>
                <w:color w:val="auto"/>
              </w:rPr>
            </w:pPr>
          </w:p>
        </w:tc>
        <w:tc>
          <w:tcPr>
            <w:tcW w:w="2220" w:type="dxa"/>
            <w:vAlign w:val="bottom"/>
          </w:tcPr>
          <w:p>
            <w:pPr>
              <w:ind w:left="260"/>
              <w:spacing w:after="0"/>
              <w:rPr>
                <w:sz w:val="20"/>
                <w:szCs w:val="20"/>
                <w:color w:val="auto"/>
              </w:rPr>
            </w:pPr>
            <w:r>
              <w:rPr>
                <w:rFonts w:ascii="Arial" w:cs="Arial" w:eastAsia="Arial" w:hAnsi="Arial"/>
                <w:sz w:val="19"/>
                <w:szCs w:val="19"/>
                <w:color w:val="auto"/>
              </w:rPr>
              <w:t>a)</w:t>
            </w:r>
          </w:p>
        </w:tc>
        <w:tc>
          <w:tcPr>
            <w:tcW w:w="7180" w:type="dxa"/>
            <w:vAlign w:val="bottom"/>
          </w:tcPr>
          <w:p>
            <w:pPr>
              <w:ind w:left="160"/>
              <w:spacing w:after="0"/>
              <w:rPr>
                <w:sz w:val="20"/>
                <w:szCs w:val="20"/>
                <w:color w:val="auto"/>
              </w:rPr>
            </w:pPr>
            <w:r>
              <w:rPr>
                <w:rFonts w:ascii="Arial" w:cs="Arial" w:eastAsia="Arial" w:hAnsi="Arial"/>
                <w:sz w:val="19"/>
                <w:szCs w:val="19"/>
                <w:b w:val="1"/>
                <w:bCs w:val="1"/>
                <w:color w:val="auto"/>
                <w:w w:val="99"/>
              </w:rPr>
              <w:t>Parachute Payment Limitation</w:t>
            </w:r>
            <w:r>
              <w:rPr>
                <w:rFonts w:ascii="Arial" w:cs="Arial" w:eastAsia="Arial" w:hAnsi="Arial"/>
                <w:sz w:val="19"/>
                <w:szCs w:val="19"/>
                <w:color w:val="auto"/>
                <w:w w:val="99"/>
              </w:rPr>
              <w:t>. If any payment or benefit (including payments and</w:t>
            </w:r>
          </w:p>
        </w:tc>
      </w:tr>
    </w:tbl>
    <w:p>
      <w:pPr>
        <w:jc w:val="both"/>
        <w:ind w:left="120" w:right="40"/>
        <w:spacing w:after="0" w:line="262" w:lineRule="auto"/>
        <w:rPr>
          <w:sz w:val="20"/>
          <w:szCs w:val="20"/>
          <w:color w:val="auto"/>
        </w:rPr>
      </w:pPr>
      <w:r>
        <w:rPr>
          <w:rFonts w:ascii="Arial" w:cs="Arial" w:eastAsia="Arial" w:hAnsi="Arial"/>
          <w:sz w:val="18"/>
          <w:szCs w:val="18"/>
          <w:color w:val="auto"/>
        </w:rPr>
        <w:t>benefits pursuant to this Agreement) Executive would receive in connection with a Change in Control from the Company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paragraph,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Arial" w:cs="Arial" w:eastAsia="Arial" w:hAnsi="Arial"/>
          <w:sz w:val="18"/>
          <w:szCs w:val="18"/>
          <w:b w:val="1"/>
          <w:bCs w:val="1"/>
          <w:i w:val="1"/>
          <w:iCs w:val="1"/>
          <w:color w:val="auto"/>
        </w:rPr>
        <w:t>Full Payment</w:t>
      </w:r>
      <w:r>
        <w:rPr>
          <w:rFonts w:ascii="Arial" w:cs="Arial" w:eastAsia="Arial" w:hAnsi="Arial"/>
          <w:sz w:val="18"/>
          <w:szCs w:val="18"/>
          <w:color w:val="auto"/>
        </w:rPr>
        <w:t>”), or (B) payment of only a part of the Payment so that Executive receives the largest payment possible without the imposition of the Excise Tax (a “</w:t>
      </w:r>
      <w:r>
        <w:rPr>
          <w:rFonts w:ascii="Arial" w:cs="Arial" w:eastAsia="Arial" w:hAnsi="Arial"/>
          <w:sz w:val="18"/>
          <w:szCs w:val="18"/>
          <w:b w:val="1"/>
          <w:bCs w:val="1"/>
          <w:i w:val="1"/>
          <w:iCs w:val="1"/>
          <w:color w:val="auto"/>
        </w:rPr>
        <w:t>Reduced Payment</w:t>
      </w:r>
      <w:r>
        <w:rPr>
          <w:rFonts w:ascii="Arial" w:cs="Arial" w:eastAsia="Arial" w:hAnsi="Arial"/>
          <w:sz w:val="18"/>
          <w:szCs w:val="18"/>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[Type here]</w:t>
      </w:r>
    </w:p>
    <w:p>
      <w:pPr>
        <w:spacing w:after="0" w:line="387" w:lineRule="exact"/>
        <w:rPr>
          <w:sz w:val="20"/>
          <w:szCs w:val="20"/>
          <w:color w:val="auto"/>
        </w:rPr>
      </w:pPr>
    </w:p>
    <w:p>
      <w:pPr>
        <w:jc w:val="both"/>
        <w:ind w:left="120" w:right="60"/>
        <w:spacing w:after="0" w:line="252" w:lineRule="auto"/>
        <w:rPr>
          <w:sz w:val="20"/>
          <w:szCs w:val="20"/>
          <w:color w:val="auto"/>
        </w:rPr>
      </w:pPr>
      <w:r>
        <w:rPr>
          <w:rFonts w:ascii="Arial" w:cs="Arial" w:eastAsia="Arial" w:hAnsi="Arial"/>
          <w:sz w:val="19"/>
          <w:szCs w:val="19"/>
          <w:color w:val="auto"/>
        </w:rPr>
        <w:t>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spacing w:after="0" w:line="128" w:lineRule="exact"/>
        <w:rPr>
          <w:sz w:val="20"/>
          <w:szCs w:val="20"/>
          <w:color w:val="auto"/>
        </w:rPr>
      </w:pPr>
    </w:p>
    <w:p>
      <w:pPr>
        <w:jc w:val="both"/>
        <w:ind w:left="120" w:firstLine="1669"/>
        <w:spacing w:after="0" w:line="251" w:lineRule="auto"/>
        <w:rPr>
          <w:sz w:val="20"/>
          <w:szCs w:val="20"/>
          <w:color w:val="auto"/>
        </w:rPr>
      </w:pPr>
      <w:r>
        <w:rPr>
          <w:rFonts w:ascii="Arial" w:cs="Arial" w:eastAsia="Arial" w:hAnsi="Arial"/>
          <w:sz w:val="19"/>
          <w:szCs w:val="19"/>
          <w:color w:val="auto"/>
        </w:rPr>
        <w:t>b) 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27" w:lineRule="exact"/>
        <w:rPr>
          <w:sz w:val="20"/>
          <w:szCs w:val="20"/>
          <w:color w:val="auto"/>
        </w:rPr>
      </w:pPr>
    </w:p>
    <w:p>
      <w:pPr>
        <w:ind w:left="120" w:right="100" w:firstLine="1654"/>
        <w:spacing w:after="0" w:line="254" w:lineRule="auto"/>
        <w:rPr>
          <w:sz w:val="20"/>
          <w:szCs w:val="20"/>
          <w:color w:val="auto"/>
        </w:rPr>
      </w:pPr>
      <w:r>
        <w:rPr>
          <w:rFonts w:ascii="Arial" w:cs="Arial" w:eastAsia="Arial" w:hAnsi="Arial"/>
          <w:sz w:val="19"/>
          <w:szCs w:val="19"/>
          <w:color w:val="auto"/>
        </w:rPr>
        <w:t>c) The independent registered public accounting firm engaged to make the determinations hereunder shall provide its calculations, together with detailed supporting documentation, to the Company and Executive within fifteen</w:t>
      </w:r>
    </w:p>
    <w:p>
      <w:pPr>
        <w:jc w:val="both"/>
        <w:ind w:left="120" w:right="100" w:firstLine="5"/>
        <w:spacing w:after="0" w:line="247" w:lineRule="auto"/>
        <w:tabs>
          <w:tab w:leader="none" w:pos="522" w:val="left"/>
        </w:tabs>
        <w:numPr>
          <w:ilvl w:val="0"/>
          <w:numId w:val="73"/>
        </w:numPr>
        <w:rPr>
          <w:rFonts w:ascii="Arial" w:cs="Arial" w:eastAsia="Arial" w:hAnsi="Arial"/>
          <w:sz w:val="19"/>
          <w:szCs w:val="19"/>
          <w:color w:val="auto"/>
        </w:rPr>
      </w:pPr>
      <w:r>
        <w:rPr>
          <w:rFonts w:ascii="Arial" w:cs="Arial" w:eastAsia="Arial" w:hAnsi="Arial"/>
          <w:sz w:val="19"/>
          <w:szCs w:val="19"/>
          <w:color w:val="auto"/>
        </w:rPr>
        <w:t>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14" w:lineRule="exact"/>
        <w:rPr>
          <w:sz w:val="20"/>
          <w:szCs w:val="20"/>
          <w:color w:val="auto"/>
        </w:rPr>
      </w:pPr>
    </w:p>
    <w:p>
      <w:pPr>
        <w:jc w:val="both"/>
        <w:ind w:left="120" w:right="240" w:firstLine="816"/>
        <w:spacing w:after="0" w:line="251" w:lineRule="auto"/>
        <w:rPr>
          <w:sz w:val="20"/>
          <w:szCs w:val="20"/>
          <w:color w:val="auto"/>
        </w:rPr>
      </w:pPr>
      <w:r>
        <w:rPr>
          <w:rFonts w:ascii="Arial" w:cs="Arial" w:eastAsia="Arial" w:hAnsi="Arial"/>
          <w:sz w:val="19"/>
          <w:szCs w:val="19"/>
          <w:b w:val="1"/>
          <w:bCs w:val="1"/>
          <w:color w:val="auto"/>
        </w:rPr>
        <w:t>5.7. Certain Reductions and Offsets</w:t>
      </w:r>
      <w:r>
        <w:rPr>
          <w:rFonts w:ascii="Arial" w:cs="Arial" w:eastAsia="Arial" w:hAnsi="Arial"/>
          <w:sz w:val="19"/>
          <w:szCs w:val="19"/>
          <w:color w:val="auto"/>
        </w:rPr>
        <w:t>. To the extent that any federal, state or local laws,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the Worker Adjustment and Retraining Notification Act or any other so- 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22" w:lineRule="exact"/>
        <w:rPr>
          <w:sz w:val="20"/>
          <w:szCs w:val="20"/>
          <w:color w:val="auto"/>
        </w:rPr>
      </w:pPr>
    </w:p>
    <w:p>
      <w:pPr>
        <w:jc w:val="both"/>
        <w:ind w:left="120" w:right="200" w:firstLine="820"/>
        <w:spacing w:after="0" w:line="254" w:lineRule="auto"/>
        <w:rPr>
          <w:sz w:val="20"/>
          <w:szCs w:val="20"/>
          <w:color w:val="auto"/>
        </w:rPr>
      </w:pPr>
      <w:r>
        <w:rPr>
          <w:rFonts w:ascii="Arial" w:cs="Arial" w:eastAsia="Arial" w:hAnsi="Arial"/>
          <w:sz w:val="19"/>
          <w:szCs w:val="19"/>
          <w:b w:val="1"/>
          <w:bCs w:val="1"/>
          <w:color w:val="auto"/>
        </w:rPr>
        <w:t>5.8. Mitigation</w:t>
      </w:r>
      <w:r>
        <w:rPr>
          <w:rFonts w:ascii="Arial" w:cs="Arial" w:eastAsia="Arial" w:hAnsi="Arial"/>
          <w:sz w:val="19"/>
          <w:szCs w:val="19"/>
          <w:color w:val="auto"/>
        </w:rPr>
        <w:t>. Except as otherwise specifically provided herein, Executive shall not be required to mitigate</w:t>
      </w:r>
      <w:r>
        <w:rPr>
          <w:rFonts w:ascii="Arial" w:cs="Arial" w:eastAsia="Arial" w:hAnsi="Arial"/>
          <w:sz w:val="19"/>
          <w:szCs w:val="19"/>
          <w:b w:val="1"/>
          <w:bCs w:val="1"/>
          <w:color w:val="auto"/>
        </w:rPr>
        <w:t xml:space="preserve"> </w:t>
      </w:r>
      <w:r>
        <w:rPr>
          <w:rFonts w:ascii="Arial" w:cs="Arial" w:eastAsia="Arial" w:hAnsi="Arial"/>
          <w:sz w:val="19"/>
          <w:szCs w:val="19"/>
          <w:color w:val="auto"/>
        </w:rPr>
        <w:t>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224" w:lineRule="exact"/>
        <w:rPr>
          <w:sz w:val="20"/>
          <w:szCs w:val="20"/>
          <w:color w:val="auto"/>
        </w:rPr>
      </w:pPr>
    </w:p>
    <w:p>
      <w:pPr>
        <w:jc w:val="both"/>
        <w:ind w:left="120" w:right="380" w:firstLine="805"/>
        <w:spacing w:after="0" w:line="263" w:lineRule="auto"/>
        <w:rPr>
          <w:sz w:val="20"/>
          <w:szCs w:val="20"/>
          <w:color w:val="auto"/>
        </w:rPr>
      </w:pPr>
      <w:r>
        <w:rPr>
          <w:rFonts w:ascii="Arial" w:cs="Arial" w:eastAsia="Arial" w:hAnsi="Arial"/>
          <w:sz w:val="19"/>
          <w:szCs w:val="19"/>
          <w:b w:val="1"/>
          <w:bCs w:val="1"/>
          <w:color w:val="auto"/>
        </w:rPr>
        <w:t>5.9. Indebtedness of Executive</w:t>
      </w:r>
      <w:r>
        <w:rPr>
          <w:rFonts w:ascii="Arial" w:cs="Arial" w:eastAsia="Arial" w:hAnsi="Arial"/>
          <w:sz w:val="19"/>
          <w:szCs w:val="19"/>
          <w:color w:val="auto"/>
        </w:rPr>
        <w:t>. If Executive is indebted to the Company on the effective date of a Change</w:t>
      </w:r>
      <w:r>
        <w:rPr>
          <w:rFonts w:ascii="Arial" w:cs="Arial" w:eastAsia="Arial" w:hAnsi="Arial"/>
          <w:sz w:val="19"/>
          <w:szCs w:val="19"/>
          <w:b w:val="1"/>
          <w:bCs w:val="1"/>
          <w:color w:val="auto"/>
        </w:rPr>
        <w:t xml:space="preserve"> </w:t>
      </w:r>
      <w:r>
        <w:rPr>
          <w:rFonts w:ascii="Arial" w:cs="Arial" w:eastAsia="Arial" w:hAnsi="Arial"/>
          <w:sz w:val="19"/>
          <w:szCs w:val="19"/>
          <w:color w:val="auto"/>
        </w:rPr>
        <w:t>in Control Termination or Covered Termination, the Company reserves the right to offset any severance payments and benefits under this Agreement by the amount of such indebtedness.</w:t>
      </w:r>
    </w:p>
    <w:p>
      <w:pPr>
        <w:spacing w:after="0" w:line="83"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9"/>
          <w:szCs w:val="19"/>
          <w:b w:val="1"/>
          <w:bCs w:val="1"/>
          <w:color w:val="auto"/>
        </w:rPr>
        <w:t>5.10.</w:t>
      </w:r>
      <w:r>
        <w:rPr>
          <w:sz w:val="20"/>
          <w:szCs w:val="20"/>
          <w:color w:val="auto"/>
        </w:rPr>
        <w:tab/>
      </w:r>
      <w:r>
        <w:rPr>
          <w:rFonts w:ascii="Arial" w:cs="Arial" w:eastAsia="Arial" w:hAnsi="Arial"/>
          <w:sz w:val="17"/>
          <w:szCs w:val="17"/>
          <w:b w:val="1"/>
          <w:bCs w:val="1"/>
          <w:color w:val="auto"/>
        </w:rPr>
        <w:t>Application of Section 409A</w:t>
      </w:r>
      <w:r>
        <w:rPr>
          <w:rFonts w:ascii="Arial" w:cs="Arial" w:eastAsia="Arial" w:hAnsi="Arial"/>
          <w:sz w:val="17"/>
          <w:szCs w:val="17"/>
          <w:color w:val="auto"/>
        </w:rPr>
        <w:t>.</w:t>
      </w: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0" w:firstLine="1666"/>
        <w:spacing w:after="0" w:line="26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Notwithstanding any provision to the contrary in this Agreement, no amount deemed 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5"/>
          <w:szCs w:val="15"/>
          <w:color w:val="auto"/>
        </w:rPr>
        <w:t>th</w:t>
      </w:r>
      <w:r>
        <w:rPr>
          <w:rFonts w:ascii="Arial" w:cs="Arial" w:eastAsia="Arial" w:hAnsi="Arial"/>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5"/>
          <w:szCs w:val="15"/>
          <w:color w:val="auto"/>
        </w:rPr>
        <w:t>th</w:t>
      </w:r>
      <w:r>
        <w:rPr>
          <w:rFonts w:ascii="Arial" w:cs="Arial" w:eastAsia="Arial" w:hAnsi="Arial"/>
          <w:sz w:val="18"/>
          <w:szCs w:val="18"/>
          <w:color w:val="auto"/>
        </w:rPr>
        <w:t>) day after Executive’s separation from service and the remaining payments shall be made as provided in this Agreement.</w:t>
      </w:r>
    </w:p>
    <w:p>
      <w:pPr>
        <w:spacing w:after="0" w:line="112" w:lineRule="exact"/>
        <w:rPr>
          <w:sz w:val="20"/>
          <w:szCs w:val="20"/>
          <w:color w:val="auto"/>
        </w:rPr>
      </w:pPr>
    </w:p>
    <w:p>
      <w:pPr>
        <w:jc w:val="both"/>
        <w:ind w:left="120" w:right="60" w:firstLine="1658"/>
        <w:spacing w:after="0" w:line="26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Specified Executive</w:t>
      </w:r>
      <w:r>
        <w:rPr>
          <w:rFonts w:ascii="Arial" w:cs="Arial" w:eastAsia="Arial" w:hAnsi="Arial"/>
          <w:sz w:val="18"/>
          <w:szCs w:val="18"/>
          <w:color w:val="auto"/>
        </w:rPr>
        <w:t>.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 5.10(b) shall be paid in a lump sum to Executive, and any remaining payments due under this Agreement shall be paid as otherwise provided herein.</w:t>
      </w:r>
    </w:p>
    <w:p>
      <w:pPr>
        <w:spacing w:after="0" w:line="99" w:lineRule="exact"/>
        <w:rPr>
          <w:sz w:val="20"/>
          <w:szCs w:val="20"/>
          <w:color w:val="auto"/>
        </w:rPr>
      </w:pPr>
    </w:p>
    <w:p>
      <w:pPr>
        <w:jc w:val="both"/>
        <w:ind w:left="120" w:right="60" w:firstLine="1658"/>
        <w:spacing w:after="0" w:line="27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Expense Reimbursements</w:t>
      </w:r>
      <w:r>
        <w:rPr>
          <w:rFonts w:ascii="Arial" w:cs="Arial" w:eastAsia="Arial" w:hAnsi="Arial"/>
          <w:sz w:val="18"/>
          <w:szCs w:val="18"/>
          <w:color w:val="auto"/>
        </w:rPr>
        <w:t>. To the extent that any reimbursement payable pursuant to this Agreement is subject 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02" w:lineRule="exact"/>
        <w:rPr>
          <w:sz w:val="20"/>
          <w:szCs w:val="20"/>
          <w:color w:val="auto"/>
        </w:rPr>
      </w:pPr>
    </w:p>
    <w:p>
      <w:pPr>
        <w:jc w:val="both"/>
        <w:ind w:left="120" w:right="120" w:firstLine="1647"/>
        <w:spacing w:after="0" w:line="257"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b w:val="1"/>
          <w:bCs w:val="1"/>
          <w:color w:val="auto"/>
        </w:rPr>
        <w:t>Installments</w:t>
      </w:r>
      <w:r>
        <w:rPr>
          <w:rFonts w:ascii="Arial" w:cs="Arial" w:eastAsia="Arial" w:hAnsi="Arial"/>
          <w:sz w:val="19"/>
          <w:szCs w:val="19"/>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16" w:lineRule="exact"/>
        <w:rPr>
          <w:sz w:val="20"/>
          <w:szCs w:val="20"/>
          <w:color w:val="auto"/>
        </w:rPr>
      </w:pPr>
    </w:p>
    <w:p>
      <w:pPr>
        <w:ind w:left="120" w:right="160" w:firstLine="822"/>
        <w:spacing w:after="0" w:line="281" w:lineRule="auto"/>
        <w:rPr>
          <w:sz w:val="20"/>
          <w:szCs w:val="20"/>
          <w:color w:val="auto"/>
        </w:rPr>
      </w:pPr>
      <w:r>
        <w:rPr>
          <w:rFonts w:ascii="Arial" w:cs="Arial" w:eastAsia="Arial" w:hAnsi="Arial"/>
          <w:sz w:val="19"/>
          <w:szCs w:val="19"/>
          <w:b w:val="1"/>
          <w:bCs w:val="1"/>
          <w:color w:val="auto"/>
        </w:rPr>
        <w:t>5.11. Tax Withholding</w:t>
      </w:r>
      <w:r>
        <w:rPr>
          <w:rFonts w:ascii="Arial" w:cs="Arial" w:eastAsia="Arial" w:hAnsi="Arial"/>
          <w:sz w:val="19"/>
          <w:szCs w:val="19"/>
          <w:color w:val="auto"/>
        </w:rPr>
        <w:t>. All payments under this Agreement shall be subject to applicable withholding for</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and local income and employment taxes.</w:t>
      </w:r>
    </w:p>
    <w:p>
      <w:pPr>
        <w:spacing w:after="0" w:line="93" w:lineRule="exact"/>
        <w:rPr>
          <w:sz w:val="20"/>
          <w:szCs w:val="20"/>
          <w:color w:val="auto"/>
        </w:rPr>
      </w:pPr>
    </w:p>
    <w:p>
      <w:pPr>
        <w:jc w:val="both"/>
        <w:ind w:left="120" w:right="220" w:firstLine="816"/>
        <w:spacing w:after="0" w:line="263" w:lineRule="auto"/>
        <w:rPr>
          <w:sz w:val="20"/>
          <w:szCs w:val="20"/>
          <w:color w:val="auto"/>
        </w:rPr>
      </w:pPr>
      <w:r>
        <w:rPr>
          <w:rFonts w:ascii="Arial" w:cs="Arial" w:eastAsia="Arial" w:hAnsi="Arial"/>
          <w:sz w:val="19"/>
          <w:szCs w:val="19"/>
          <w:b w:val="1"/>
          <w:bCs w:val="1"/>
          <w:color w:val="auto"/>
        </w:rPr>
        <w:t xml:space="preserve">5.12. No Duplication of Severance Benefits. </w:t>
      </w:r>
      <w:r>
        <w:rPr>
          <w:rFonts w:ascii="Arial" w:cs="Arial" w:eastAsia="Arial" w:hAnsi="Arial"/>
          <w:sz w:val="19"/>
          <w:szCs w:val="19"/>
          <w:color w:val="auto"/>
        </w:rPr>
        <w:t>The severance and other benefits provided in Article 3 and</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4 are mutually exclusive of each other, and in no event shall Executive receive any severance or other benefits pursuant to both Article 3 and Article 4.</w:t>
      </w:r>
    </w:p>
    <w:p>
      <w:pPr>
        <w:spacing w:after="0" w:line="215"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6</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TERMINATION WITH CAUSE OR BY VOLUNTARY RESIGNATION; OTHER RIGHTS AND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BENEFITS</w:t>
      </w:r>
    </w:p>
    <w:p>
      <w:pPr>
        <w:spacing w:after="0" w:line="128" w:lineRule="exact"/>
        <w:rPr>
          <w:sz w:val="20"/>
          <w:szCs w:val="20"/>
          <w:color w:val="auto"/>
        </w:rPr>
      </w:pPr>
    </w:p>
    <w:p>
      <w:pPr>
        <w:jc w:val="both"/>
        <w:ind w:left="120" w:firstLine="833"/>
        <w:spacing w:after="0" w:line="249" w:lineRule="auto"/>
        <w:rPr>
          <w:sz w:val="20"/>
          <w:szCs w:val="20"/>
          <w:color w:val="auto"/>
        </w:rPr>
      </w:pPr>
      <w:r>
        <w:rPr>
          <w:rFonts w:ascii="Arial" w:cs="Arial" w:eastAsia="Arial" w:hAnsi="Arial"/>
          <w:sz w:val="19"/>
          <w:szCs w:val="19"/>
          <w:b w:val="1"/>
          <w:bCs w:val="1"/>
          <w:color w:val="auto"/>
        </w:rPr>
        <w:t>6.1. Termination for Cause by the Company</w:t>
      </w:r>
      <w:r>
        <w:rPr>
          <w:rFonts w:ascii="Arial" w:cs="Arial" w:eastAsia="Arial" w:hAnsi="Arial"/>
          <w:sz w:val="19"/>
          <w:szCs w:val="19"/>
          <w:color w:val="auto"/>
        </w:rPr>
        <w:t>. If the Company shall terminate the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for Cause, then upon such termination, the Company shall have no further obligation to Executive hereunder except for the payment or provision, as applicable, of (i) the portion of the Annual Base Salary for the period prior to the effective date of termination earned but unpaid (if any), (ii) all unreimbursed expenses (if any), subject to Sections 2.4 and 5.10(c), and (iii)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Arial" w:cs="Arial" w:eastAsia="Arial" w:hAnsi="Arial"/>
          <w:sz w:val="19"/>
          <w:szCs w:val="19"/>
          <w:b w:val="1"/>
          <w:bCs w:val="1"/>
          <w:i w:val="1"/>
          <w:iCs w:val="1"/>
          <w:color w:val="auto"/>
        </w:rPr>
        <w:t>Other Benefits</w:t>
      </w:r>
      <w:r>
        <w:rPr>
          <w:rFonts w:ascii="Arial" w:cs="Arial" w:eastAsia="Arial" w:hAnsi="Arial"/>
          <w:sz w:val="19"/>
          <w:szCs w:val="19"/>
          <w:color w:val="auto"/>
        </w:rPr>
        <w:t>”). For the avoidance of doubt, Executive shall have no right to receive (and Other Benefits shall not include) any amounts under any Company severance plan or policy or pursuant to Article 3 or Article 4 upon Executive’s termination for Cause.</w:t>
      </w:r>
    </w:p>
    <w:p>
      <w:pPr>
        <w:spacing w:after="0" w:line="187"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color w:val="auto"/>
        </w:rPr>
        <w:t>[Type here]</w:t>
      </w:r>
    </w:p>
    <w:p>
      <w:pPr>
        <w:spacing w:after="0" w:line="381" w:lineRule="exact"/>
        <w:rPr>
          <w:sz w:val="20"/>
          <w:szCs w:val="20"/>
          <w:color w:val="auto"/>
        </w:rPr>
      </w:pPr>
    </w:p>
    <w:p>
      <w:pPr>
        <w:ind w:left="960"/>
        <w:spacing w:after="0"/>
        <w:tabs>
          <w:tab w:leader="none" w:pos="256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8"/>
          <w:szCs w:val="18"/>
          <w:b w:val="1"/>
          <w:bCs w:val="1"/>
          <w:color w:val="auto"/>
        </w:rPr>
        <w:t>Termination by Voluntary Resignation by the Executive (other than Resignation for Good Reason)</w:t>
      </w:r>
      <w:r>
        <w:rPr>
          <w:rFonts w:ascii="Arial" w:cs="Arial" w:eastAsia="Arial" w:hAnsi="Arial"/>
          <w:sz w:val="18"/>
          <w:szCs w:val="18"/>
          <w:color w:val="auto"/>
        </w:rPr>
        <w:t>.</w:t>
      </w:r>
    </w:p>
    <w:p>
      <w:pPr>
        <w:spacing w:after="0" w:line="27" w:lineRule="exact"/>
        <w:rPr>
          <w:sz w:val="20"/>
          <w:szCs w:val="20"/>
          <w:color w:val="auto"/>
        </w:rPr>
      </w:pPr>
    </w:p>
    <w:p>
      <w:pPr>
        <w:jc w:val="both"/>
        <w:ind w:left="120" w:right="240"/>
        <w:spacing w:after="0" w:line="247" w:lineRule="auto"/>
        <w:rPr>
          <w:sz w:val="20"/>
          <w:szCs w:val="20"/>
          <w:color w:val="auto"/>
        </w:rPr>
      </w:pPr>
      <w:r>
        <w:rPr>
          <w:rFonts w:ascii="Arial" w:cs="Arial" w:eastAsia="Arial" w:hAnsi="Arial"/>
          <w:sz w:val="19"/>
          <w:szCs w:val="19"/>
          <w:color w:val="auto"/>
        </w:rPr>
        <w:t>Upon any voluntary resignation by Executive that is not a Resignation for Good Reason, the Company shall have no further obligation to the Executive hereunder except for the payment of (i) the portion of the Annual Base Salary for the period prior to the effective date of termination earned but unpaid (if any), (ii) all unreimbursed expenses (if any), subject to Section 2.4 and Section 5.10(c), and (iii) 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114" w:lineRule="exact"/>
        <w:rPr>
          <w:sz w:val="20"/>
          <w:szCs w:val="20"/>
          <w:color w:val="auto"/>
        </w:rPr>
      </w:pPr>
    </w:p>
    <w:p>
      <w:pPr>
        <w:jc w:val="both"/>
        <w:ind w:left="120" w:right="260" w:firstLine="835"/>
        <w:spacing w:after="0" w:line="251" w:lineRule="auto"/>
        <w:rPr>
          <w:sz w:val="20"/>
          <w:szCs w:val="20"/>
          <w:color w:val="auto"/>
        </w:rPr>
      </w:pPr>
      <w:r>
        <w:rPr>
          <w:rFonts w:ascii="Arial" w:cs="Arial" w:eastAsia="Arial" w:hAnsi="Arial"/>
          <w:sz w:val="19"/>
          <w:szCs w:val="19"/>
          <w:b w:val="1"/>
          <w:bCs w:val="1"/>
          <w:color w:val="auto"/>
        </w:rPr>
        <w:t xml:space="preserve">6.3. Other Rights and Benefits. </w:t>
      </w:r>
      <w:r>
        <w:rPr>
          <w:rFonts w:ascii="Arial" w:cs="Arial" w:eastAsia="Arial" w:hAnsi="Arial"/>
          <w:sz w:val="19"/>
          <w:szCs w:val="19"/>
          <w:color w:val="auto"/>
        </w:rPr>
        <w:t>Nothing in this Agreement shall prevent or limit Executive’s continuing or</w:t>
      </w:r>
      <w:r>
        <w:rPr>
          <w:rFonts w:ascii="Arial" w:cs="Arial" w:eastAsia="Arial" w:hAnsi="Arial"/>
          <w:sz w:val="19"/>
          <w:szCs w:val="19"/>
          <w:b w:val="1"/>
          <w:bCs w:val="1"/>
          <w:color w:val="auto"/>
        </w:rPr>
        <w:t xml:space="preserve"> </w:t>
      </w:r>
      <w:r>
        <w:rPr>
          <w:rFonts w:ascii="Arial" w:cs="Arial" w:eastAsia="Arial" w:hAnsi="Arial"/>
          <w:sz w:val="19"/>
          <w:szCs w:val="19"/>
          <w:color w:val="auto"/>
        </w:rPr>
        <w:t>future 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1,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122"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ARTICLE 7</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DEFINITIONS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Unless otherwise provided, for purposes of this Agreement, the following definitions shall apply:</w:t>
      </w:r>
    </w:p>
    <w:p>
      <w:pPr>
        <w:spacing w:after="0" w:line="101"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50" w:lineRule="exact"/>
        <w:rPr>
          <w:sz w:val="20"/>
          <w:szCs w:val="20"/>
          <w:color w:val="auto"/>
        </w:rPr>
      </w:pPr>
    </w:p>
    <w:p>
      <w:pPr>
        <w:jc w:val="both"/>
        <w:ind w:left="120" w:firstLine="867"/>
        <w:spacing w:after="0" w:line="264"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upon a reasonable determination by the Company, Executive’s: (i) dishonest statements or acts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Company, any subsidiary or any affiliate of the Company, which has the effect of materially injuring (whether financially or otherwise) the business or reputation of the Company; (ii) conviction of or indictment for (A) a felony or (B) 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 (iii) gross negligence, willful misconduct or insubordination with respect to the Company or any subsidiary or any affiliate of the Company; or (iv) material breach of any of Executive’s obligations under any agreement to which Executive and the Company or any subsidiary are a party. With respect to clause (iv),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[Type here]</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extent.</w:t>
      </w:r>
    </w:p>
    <w:p>
      <w:pPr>
        <w:spacing w:after="0" w:line="130" w:lineRule="exact"/>
        <w:rPr>
          <w:sz w:val="20"/>
          <w:szCs w:val="20"/>
          <w:color w:val="auto"/>
        </w:rPr>
      </w:pPr>
    </w:p>
    <w:p>
      <w:pPr>
        <w:jc w:val="both"/>
        <w:ind w:left="120" w:right="240" w:firstLine="838"/>
        <w:spacing w:after="0" w:line="281" w:lineRule="auto"/>
        <w:rPr>
          <w:sz w:val="20"/>
          <w:szCs w:val="20"/>
          <w:color w:val="auto"/>
        </w:rPr>
      </w:pPr>
      <w:r>
        <w:rPr>
          <w:rFonts w:ascii="Arial" w:cs="Arial" w:eastAsia="Arial" w:hAnsi="Arial"/>
          <w:sz w:val="19"/>
          <w:szCs w:val="19"/>
          <w:b w:val="1"/>
          <w:bCs w:val="1"/>
          <w:color w:val="auto"/>
        </w:rPr>
        <w:t xml:space="preserve">7.3. </w:t>
      </w: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occurrence, in a single transaction or in a series of related transactions,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one or more of the following events:</w:t>
      </w:r>
    </w:p>
    <w:p>
      <w:pPr>
        <w:spacing w:after="0" w:line="99" w:lineRule="exact"/>
        <w:rPr>
          <w:sz w:val="20"/>
          <w:szCs w:val="20"/>
          <w:color w:val="auto"/>
        </w:rPr>
      </w:pPr>
    </w:p>
    <w:p>
      <w:pPr>
        <w:ind w:left="1800"/>
        <w:spacing w:after="0"/>
        <w:tabs>
          <w:tab w:leader="none" w:pos="36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Any natural person, entity or group within the meaning of Section 13(d) or 14(d) of the</w:t>
      </w:r>
    </w:p>
    <w:p>
      <w:pPr>
        <w:spacing w:after="0" w:line="21" w:lineRule="exact"/>
        <w:rPr>
          <w:sz w:val="20"/>
          <w:szCs w:val="20"/>
          <w:color w:val="auto"/>
        </w:rPr>
      </w:pPr>
    </w:p>
    <w:p>
      <w:pPr>
        <w:jc w:val="both"/>
        <w:ind w:left="120" w:right="240"/>
        <w:spacing w:after="0" w:line="274" w:lineRule="auto"/>
        <w:rPr>
          <w:sz w:val="20"/>
          <w:szCs w:val="20"/>
          <w:color w:val="auto"/>
        </w:rPr>
      </w:pPr>
      <w:r>
        <w:rPr>
          <w:rFonts w:ascii="Arial" w:cs="Arial" w:eastAsia="Arial" w:hAnsi="Arial"/>
          <w:sz w:val="17"/>
          <w:szCs w:val="17"/>
          <w:color w:val="auto"/>
        </w:rPr>
        <w:t>Securities Exchange Act of 1934, as amended (“</w:t>
      </w:r>
      <w:r>
        <w:rPr>
          <w:rFonts w:ascii="Arial" w:cs="Arial" w:eastAsia="Arial" w:hAnsi="Arial"/>
          <w:sz w:val="17"/>
          <w:szCs w:val="17"/>
          <w:b w:val="1"/>
          <w:bCs w:val="1"/>
          <w:i w:val="1"/>
          <w:iCs w:val="1"/>
          <w:color w:val="auto"/>
        </w:rPr>
        <w:t>Exchange Act Person</w:t>
      </w:r>
      <w:r>
        <w:rPr>
          <w:rFonts w:ascii="Arial" w:cs="Arial" w:eastAsia="Arial" w:hAnsi="Arial"/>
          <w:sz w:val="17"/>
          <w:szCs w:val="17"/>
          <w:color w:val="auto"/>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w:t>
      </w:r>
    </w:p>
    <w:p>
      <w:pPr>
        <w:spacing w:after="0" w:line="1" w:lineRule="exact"/>
        <w:rPr>
          <w:sz w:val="20"/>
          <w:szCs w:val="20"/>
          <w:color w:val="auto"/>
        </w:rPr>
      </w:pPr>
    </w:p>
    <w:p>
      <w:pPr>
        <w:jc w:val="both"/>
        <w:ind w:left="120" w:right="240" w:firstLine="5"/>
        <w:spacing w:after="0" w:line="246" w:lineRule="auto"/>
        <w:tabs>
          <w:tab w:leader="none" w:pos="361" w:val="left"/>
        </w:tabs>
        <w:numPr>
          <w:ilvl w:val="0"/>
          <w:numId w:val="74"/>
        </w:numPr>
        <w:rPr>
          <w:rFonts w:ascii="Arial" w:cs="Arial" w:eastAsia="Arial" w:hAnsi="Arial"/>
          <w:sz w:val="19"/>
          <w:szCs w:val="19"/>
          <w:color w:val="auto"/>
        </w:rPr>
      </w:pPr>
      <w:r>
        <w:rPr>
          <w:rFonts w:ascii="Arial" w:cs="Arial" w:eastAsia="Arial" w:hAnsi="Arial"/>
          <w:sz w:val="19"/>
          <w:szCs w:val="19"/>
          <w:color w:val="auto"/>
        </w:rPr>
        <w:t>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 (ii) solely because the level of ownership held by any Exchange Act Person (the “</w:t>
      </w:r>
      <w:r>
        <w:rPr>
          <w:rFonts w:ascii="Arial" w:cs="Arial" w:eastAsia="Arial" w:hAnsi="Arial"/>
          <w:sz w:val="19"/>
          <w:szCs w:val="19"/>
          <w:b w:val="1"/>
          <w:bCs w:val="1"/>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37" w:lineRule="exact"/>
        <w:rPr>
          <w:sz w:val="20"/>
          <w:szCs w:val="20"/>
          <w:color w:val="auto"/>
        </w:rPr>
      </w:pPr>
    </w:p>
    <w:p>
      <w:pPr>
        <w:jc w:val="both"/>
        <w:ind w:left="120" w:right="360" w:firstLine="1658"/>
        <w:spacing w:after="0" w:line="251" w:lineRule="auto"/>
        <w:rPr>
          <w:sz w:val="20"/>
          <w:szCs w:val="20"/>
          <w:color w:val="auto"/>
        </w:rPr>
      </w:pPr>
      <w:r>
        <w:rPr>
          <w:rFonts w:ascii="Arial" w:cs="Arial" w:eastAsia="Arial" w:hAnsi="Arial"/>
          <w:sz w:val="19"/>
          <w:szCs w:val="19"/>
          <w:color w:val="auto"/>
        </w:rPr>
        <w:t>b) 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27" w:lineRule="exact"/>
        <w:rPr>
          <w:sz w:val="20"/>
          <w:szCs w:val="20"/>
          <w:color w:val="auto"/>
        </w:rPr>
      </w:pPr>
    </w:p>
    <w:p>
      <w:pPr>
        <w:ind w:left="120" w:right="440" w:firstLine="1647"/>
        <w:spacing w:after="0" w:line="275" w:lineRule="auto"/>
        <w:rPr>
          <w:sz w:val="20"/>
          <w:szCs w:val="20"/>
          <w:color w:val="auto"/>
        </w:rPr>
      </w:pPr>
      <w:r>
        <w:rPr>
          <w:rFonts w:ascii="Arial" w:cs="Arial" w:eastAsia="Arial" w:hAnsi="Arial"/>
          <w:sz w:val="19"/>
          <w:szCs w:val="19"/>
          <w:color w:val="auto"/>
        </w:rPr>
        <w:t>c) The stockholders of the Company approve or the Board approves a plan of complete dissolution or liquidation of the Company, or a complete dissolution or liquidation of the Company shall otherwise occur; or</w:t>
      </w:r>
    </w:p>
    <w:p>
      <w:pPr>
        <w:spacing w:after="0" w:line="104" w:lineRule="exact"/>
        <w:rPr>
          <w:sz w:val="20"/>
          <w:szCs w:val="20"/>
          <w:color w:val="auto"/>
        </w:rPr>
      </w:pPr>
    </w:p>
    <w:p>
      <w:pPr>
        <w:ind w:left="1780"/>
        <w:spacing w:after="0"/>
        <w:tabs>
          <w:tab w:leader="none" w:pos="35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There is consummated a sale, lease, license or other disposition of all or substantially all of the</w:t>
      </w:r>
    </w:p>
    <w:p>
      <w:pPr>
        <w:spacing w:after="0" w:line="32" w:lineRule="exact"/>
        <w:rPr>
          <w:sz w:val="20"/>
          <w:szCs w:val="20"/>
          <w:color w:val="auto"/>
        </w:rPr>
      </w:pPr>
    </w:p>
    <w:p>
      <w:pPr>
        <w:jc w:val="both"/>
        <w:ind w:left="120" w:right="360"/>
        <w:spacing w:after="0" w:line="249" w:lineRule="auto"/>
        <w:rPr>
          <w:sz w:val="20"/>
          <w:szCs w:val="20"/>
          <w:color w:val="auto"/>
        </w:rPr>
      </w:pPr>
      <w:r>
        <w:rPr>
          <w:rFonts w:ascii="Arial" w:cs="Arial" w:eastAsia="Arial" w:hAnsi="Arial"/>
          <w:sz w:val="19"/>
          <w:szCs w:val="19"/>
          <w:color w:val="auto"/>
        </w:rPr>
        <w:t>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16" w:lineRule="exact"/>
        <w:rPr>
          <w:sz w:val="20"/>
          <w:szCs w:val="20"/>
          <w:color w:val="auto"/>
        </w:rPr>
      </w:pPr>
    </w:p>
    <w:p>
      <w:pPr>
        <w:jc w:val="both"/>
        <w:ind w:left="120" w:right="260" w:firstLine="942"/>
        <w:spacing w:after="0" w:line="289" w:lineRule="auto"/>
        <w:rPr>
          <w:sz w:val="20"/>
          <w:szCs w:val="20"/>
          <w:color w:val="auto"/>
        </w:rPr>
      </w:pPr>
      <w:r>
        <w:rPr>
          <w:rFonts w:ascii="Arial" w:cs="Arial" w:eastAsia="Arial" w:hAnsi="Arial"/>
          <w:sz w:val="17"/>
          <w:szCs w:val="17"/>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tcPr>
          <w:p>
            <w:pPr>
              <w:jc w:val="right"/>
              <w:ind w:right="884"/>
              <w:spacing w:after="0"/>
              <w:rPr>
                <w:sz w:val="20"/>
                <w:szCs w:val="20"/>
                <w:color w:val="auto"/>
              </w:rPr>
            </w:pPr>
            <w:r>
              <w:rPr>
                <w:rFonts w:ascii="Arial" w:cs="Arial" w:eastAsia="Arial" w:hAnsi="Arial"/>
                <w:sz w:val="19"/>
                <w:szCs w:val="19"/>
                <w:b w:val="1"/>
                <w:bCs w:val="1"/>
                <w:color w:val="auto"/>
              </w:rPr>
              <w:t>7.4.</w:t>
            </w:r>
          </w:p>
        </w:tc>
        <w:tc>
          <w:tcPr>
            <w:tcW w:w="9100" w:type="dxa"/>
            <w:vAlign w:val="bottom"/>
          </w:tcPr>
          <w:p>
            <w:pPr>
              <w:jc w:val="right"/>
              <w:ind w:right="1184"/>
              <w:spacing w:after="0"/>
              <w:rPr>
                <w:sz w:val="20"/>
                <w:szCs w:val="20"/>
                <w:color w:val="auto"/>
              </w:rPr>
            </w:pPr>
            <w:r>
              <w:rPr>
                <w:rFonts w:ascii="Arial" w:cs="Arial" w:eastAsia="Arial" w:hAnsi="Arial"/>
                <w:sz w:val="19"/>
                <w:szCs w:val="19"/>
                <w:color w:val="auto"/>
                <w:w w:val="95"/>
              </w:rPr>
              <w:t>“</w:t>
            </w:r>
            <w:r>
              <w:rPr>
                <w:rFonts w:ascii="Arial" w:cs="Arial" w:eastAsia="Arial" w:hAnsi="Arial"/>
                <w:sz w:val="19"/>
                <w:szCs w:val="19"/>
                <w:b w:val="1"/>
                <w:bCs w:val="1"/>
                <w:i w:val="1"/>
                <w:iCs w:val="1"/>
                <w:color w:val="auto"/>
                <w:w w:val="95"/>
              </w:rPr>
              <w:t>Change in Control Benefits Period</w:t>
            </w:r>
            <w:r>
              <w:rPr>
                <w:rFonts w:ascii="Arial" w:cs="Arial" w:eastAsia="Arial" w:hAnsi="Arial"/>
                <w:sz w:val="19"/>
                <w:szCs w:val="19"/>
                <w:color w:val="auto"/>
                <w:w w:val="95"/>
              </w:rPr>
              <w:t>” means the period of eighteen (18) months commencing on</w:t>
            </w:r>
          </w:p>
        </w:tc>
      </w:tr>
      <w:tr>
        <w:trPr>
          <w:trHeight w:val="246"/>
        </w:trPr>
        <w:tc>
          <w:tcPr>
            <w:tcW w:w="2160" w:type="dxa"/>
            <w:vAlign w:val="bottom"/>
          </w:tcPr>
          <w:p>
            <w:pPr>
              <w:jc w:val="right"/>
              <w:ind w:right="264"/>
              <w:spacing w:after="0"/>
              <w:rPr>
                <w:sz w:val="20"/>
                <w:szCs w:val="20"/>
                <w:color w:val="auto"/>
              </w:rPr>
            </w:pPr>
            <w:r>
              <w:rPr>
                <w:rFonts w:ascii="Arial" w:cs="Arial" w:eastAsia="Arial" w:hAnsi="Arial"/>
                <w:sz w:val="19"/>
                <w:szCs w:val="19"/>
                <w:color w:val="auto"/>
                <w:w w:val="97"/>
              </w:rPr>
              <w:t>the Termination Date.</w:t>
            </w:r>
          </w:p>
        </w:tc>
        <w:tc>
          <w:tcPr>
            <w:tcW w:w="9100" w:type="dxa"/>
            <w:vAlign w:val="bottom"/>
          </w:tcPr>
          <w:p>
            <w:pPr>
              <w:spacing w:after="0"/>
              <w:rPr>
                <w:sz w:val="21"/>
                <w:szCs w:val="21"/>
                <w:color w:val="auto"/>
              </w:rPr>
            </w:pPr>
          </w:p>
        </w:tc>
      </w:tr>
      <w:tr>
        <w:trPr>
          <w:trHeight w:val="434"/>
        </w:trPr>
        <w:tc>
          <w:tcPr>
            <w:tcW w:w="2160" w:type="dxa"/>
            <w:vAlign w:val="bottom"/>
          </w:tcPr>
          <w:p>
            <w:pPr>
              <w:spacing w:after="0"/>
              <w:rPr>
                <w:sz w:val="24"/>
                <w:szCs w:val="24"/>
                <w:color w:val="auto"/>
              </w:rPr>
            </w:pPr>
          </w:p>
        </w:tc>
        <w:tc>
          <w:tcPr>
            <w:tcW w:w="9100" w:type="dxa"/>
            <w:vAlign w:val="bottom"/>
          </w:tcPr>
          <w:p>
            <w:pPr>
              <w:jc w:val="right"/>
              <w:ind w:right="5444"/>
              <w:spacing w:after="0"/>
              <w:rPr>
                <w:sz w:val="20"/>
                <w:szCs w:val="20"/>
                <w:color w:val="auto"/>
              </w:rPr>
            </w:pPr>
            <w:r>
              <w:rPr>
                <w:rFonts w:ascii="Arial" w:cs="Arial" w:eastAsia="Arial" w:hAnsi="Arial"/>
                <w:sz w:val="19"/>
                <w:szCs w:val="19"/>
                <w:color w:val="auto"/>
              </w:rPr>
              <w:t>11</w:t>
            </w:r>
          </w:p>
        </w:tc>
      </w:tr>
      <w:tr>
        <w:trPr>
          <w:trHeight w:val="316"/>
        </w:trPr>
        <w:tc>
          <w:tcPr>
            <w:tcW w:w="216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[Type here]</w:t>
      </w: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7.5.</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the Termination 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 Severance Period</w:t>
      </w:r>
      <w:r>
        <w:rPr>
          <w:rFonts w:ascii="Arial" w:cs="Arial" w:eastAsia="Arial" w:hAnsi="Arial"/>
          <w:sz w:val="17"/>
          <w:szCs w:val="17"/>
          <w:color w:val="auto"/>
        </w:rPr>
        <w:t>” means the period of eighteen (18) months commencing</w:t>
      </w:r>
    </w:p>
    <w:p>
      <w:pPr>
        <w:spacing w:after="0" w:line="390" w:lineRule="exact"/>
        <w:rPr>
          <w:sz w:val="20"/>
          <w:szCs w:val="20"/>
          <w:color w:val="auto"/>
        </w:rPr>
      </w:pPr>
    </w:p>
    <w:p>
      <w:pPr>
        <w:sectPr>
          <w:pgSz w:w="11900" w:h="16838" w:orient="portrait"/>
          <w:cols w:equalWidth="0" w:num="2">
            <w:col w:w="2040" w:space="460"/>
            <w:col w:w="8480"/>
          </w:cols>
          <w:pgMar w:left="320" w:top="121" w:right="599" w:bottom="1440" w:gutter="0" w:footer="0" w:header="0"/>
          <w:type w:val="continuous"/>
        </w:sectPr>
      </w:pPr>
    </w:p>
    <w:p>
      <w:pPr>
        <w:jc w:val="both"/>
        <w:ind w:left="120" w:right="20" w:firstLine="833"/>
        <w:spacing w:after="0" w:line="257" w:lineRule="auto"/>
        <w:rPr>
          <w:sz w:val="20"/>
          <w:szCs w:val="20"/>
          <w:color w:val="auto"/>
        </w:rPr>
      </w:pPr>
      <w:r>
        <w:rPr>
          <w:rFonts w:ascii="Arial" w:cs="Arial" w:eastAsia="Arial" w:hAnsi="Arial"/>
          <w:sz w:val="19"/>
          <w:szCs w:val="19"/>
          <w:b w:val="1"/>
          <w:bCs w:val="1"/>
          <w:color w:val="auto"/>
        </w:rPr>
        <w:t xml:space="preserve">7.6. </w:t>
      </w: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 Termination</w:t>
      </w:r>
      <w:r>
        <w:rPr>
          <w:rFonts w:ascii="Arial" w:cs="Arial" w:eastAsia="Arial" w:hAnsi="Arial"/>
          <w:sz w:val="19"/>
          <w:szCs w:val="19"/>
          <w:color w:val="auto"/>
        </w:rPr>
        <w:t>” means an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or “</w:t>
      </w:r>
      <w:r>
        <w:rPr>
          <w:rFonts w:ascii="Arial" w:cs="Arial" w:eastAsia="Arial" w:hAnsi="Arial"/>
          <w:sz w:val="19"/>
          <w:szCs w:val="19"/>
          <w:b w:val="1"/>
          <w:bCs w:val="1"/>
          <w:i w:val="1"/>
          <w:iCs w:val="1"/>
          <w:color w:val="auto"/>
        </w:rPr>
        <w:t>Resignation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for Good Reason</w:t>
      </w:r>
      <w:r>
        <w:rPr>
          <w:rFonts w:ascii="Arial" w:cs="Arial" w:eastAsia="Arial" w:hAnsi="Arial"/>
          <w:sz w:val="19"/>
          <w:szCs w:val="19"/>
          <w:i w:val="1"/>
          <w:iCs w:val="1"/>
          <w:color w:val="auto"/>
        </w:rPr>
        <w:t>,</w:t>
      </w:r>
      <w:r>
        <w:rPr>
          <w:rFonts w:ascii="Arial" w:cs="Arial" w:eastAsia="Arial" w:hAnsi="Arial"/>
          <w:sz w:val="19"/>
          <w:szCs w:val="19"/>
          <w:color w:val="auto"/>
        </w:rPr>
        <w:t>” either of which occurs on, or within three (3) months prior to, or within twelve (12) months following, the effective date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a Change in Control, provided that any such termination is a “separation from service” within the meaning of Treasury Regulation Section 1.409A- 1(h). Death and disability shall not be deemed Change in Control Terminations.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1460" w:type="dxa"/>
            <w:vAlign w:val="bottom"/>
          </w:tcPr>
          <w:p>
            <w:pPr>
              <w:jc w:val="right"/>
              <w:ind w:right="284"/>
              <w:spacing w:after="0"/>
              <w:rPr>
                <w:sz w:val="20"/>
                <w:szCs w:val="20"/>
                <w:color w:val="auto"/>
              </w:rPr>
            </w:pPr>
            <w:r>
              <w:rPr>
                <w:rFonts w:ascii="Arial" w:cs="Arial" w:eastAsia="Arial" w:hAnsi="Arial"/>
                <w:sz w:val="19"/>
                <w:szCs w:val="19"/>
                <w:b w:val="1"/>
                <w:bCs w:val="1"/>
                <w:color w:val="auto"/>
              </w:rPr>
              <w:t>7.7.</w:t>
            </w:r>
          </w:p>
        </w:tc>
        <w:tc>
          <w:tcPr>
            <w:tcW w:w="9200" w:type="dxa"/>
            <w:vAlign w:val="bottom"/>
          </w:tcPr>
          <w:p>
            <w:pPr>
              <w:ind w:left="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means the Consolidated Omnibus Budget Reconciliation Act of 1985, as amended.</w:t>
            </w:r>
          </w:p>
        </w:tc>
      </w:tr>
      <w:tr>
        <w:trPr>
          <w:trHeight w:val="381"/>
        </w:trPr>
        <w:tc>
          <w:tcPr>
            <w:tcW w:w="1460" w:type="dxa"/>
            <w:vAlign w:val="bottom"/>
          </w:tcPr>
          <w:p>
            <w:pPr>
              <w:jc w:val="right"/>
              <w:ind w:right="224"/>
              <w:spacing w:after="0"/>
              <w:rPr>
                <w:sz w:val="20"/>
                <w:szCs w:val="20"/>
                <w:color w:val="auto"/>
              </w:rPr>
            </w:pPr>
            <w:r>
              <w:rPr>
                <w:rFonts w:ascii="Arial" w:cs="Arial" w:eastAsia="Arial" w:hAnsi="Arial"/>
                <w:sz w:val="19"/>
                <w:szCs w:val="19"/>
                <w:b w:val="1"/>
                <w:bCs w:val="1"/>
                <w:color w:val="auto"/>
              </w:rPr>
              <w:t>7.8.</w:t>
            </w:r>
          </w:p>
        </w:tc>
        <w:tc>
          <w:tcPr>
            <w:tcW w:w="9200" w:type="dxa"/>
            <w:vAlign w:val="bottom"/>
          </w:tcPr>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w:t>
            </w:r>
          </w:p>
        </w:tc>
      </w:tr>
      <w:tr>
        <w:trPr>
          <w:trHeight w:val="359"/>
        </w:trPr>
        <w:tc>
          <w:tcPr>
            <w:tcW w:w="1460" w:type="dxa"/>
            <w:vAlign w:val="bottom"/>
          </w:tcPr>
          <w:p>
            <w:pPr>
              <w:jc w:val="right"/>
              <w:ind w:right="244"/>
              <w:spacing w:after="0"/>
              <w:rPr>
                <w:sz w:val="20"/>
                <w:szCs w:val="20"/>
                <w:color w:val="auto"/>
              </w:rPr>
            </w:pPr>
            <w:r>
              <w:rPr>
                <w:rFonts w:ascii="Arial" w:cs="Arial" w:eastAsia="Arial" w:hAnsi="Arial"/>
                <w:sz w:val="19"/>
                <w:szCs w:val="19"/>
                <w:b w:val="1"/>
                <w:bCs w:val="1"/>
                <w:color w:val="auto"/>
              </w:rPr>
              <w:t>7.9.</w:t>
            </w:r>
          </w:p>
        </w:tc>
        <w:tc>
          <w:tcPr>
            <w:tcW w:w="9200" w:type="dxa"/>
            <w:vAlign w:val="bottom"/>
          </w:tcPr>
          <w:p>
            <w:pPr>
              <w:ind w:left="980"/>
              <w:spacing w:after="0"/>
              <w:rPr>
                <w:sz w:val="20"/>
                <w:szCs w:val="20"/>
                <w:color w:val="auto"/>
              </w:rPr>
            </w:pPr>
            <w:r>
              <w:rPr>
                <w:rFonts w:ascii="Arial" w:cs="Arial" w:eastAsia="Arial" w:hAnsi="Arial"/>
                <w:sz w:val="19"/>
                <w:szCs w:val="19"/>
                <w:color w:val="auto"/>
                <w:w w:val="94"/>
              </w:rPr>
              <w:t>“</w:t>
            </w:r>
            <w:r>
              <w:rPr>
                <w:rFonts w:ascii="Arial" w:cs="Arial" w:eastAsia="Arial" w:hAnsi="Arial"/>
                <w:sz w:val="19"/>
                <w:szCs w:val="19"/>
                <w:b w:val="1"/>
                <w:bCs w:val="1"/>
                <w:i w:val="1"/>
                <w:iCs w:val="1"/>
                <w:color w:val="auto"/>
                <w:w w:val="94"/>
              </w:rPr>
              <w:t>Company</w:t>
            </w:r>
            <w:r>
              <w:rPr>
                <w:rFonts w:ascii="Arial" w:cs="Arial" w:eastAsia="Arial" w:hAnsi="Arial"/>
                <w:sz w:val="19"/>
                <w:szCs w:val="19"/>
                <w:color w:val="auto"/>
                <w:w w:val="94"/>
              </w:rPr>
              <w:t>” means Syndax Pharmaceuticals, Inc. or, following a Change in Control, the surviving entity</w:t>
            </w:r>
          </w:p>
        </w:tc>
      </w:tr>
      <w:tr>
        <w:trPr>
          <w:trHeight w:val="246"/>
        </w:trPr>
        <w:tc>
          <w:tcPr>
            <w:tcW w:w="10660" w:type="dxa"/>
            <w:vAlign w:val="bottom"/>
            <w:gridSpan w:val="2"/>
          </w:tcPr>
          <w:p>
            <w:pPr>
              <w:spacing w:after="0"/>
              <w:rPr>
                <w:sz w:val="20"/>
                <w:szCs w:val="20"/>
                <w:color w:val="auto"/>
              </w:rPr>
            </w:pPr>
            <w:r>
              <w:rPr>
                <w:rFonts w:ascii="Arial" w:cs="Arial" w:eastAsia="Arial" w:hAnsi="Arial"/>
                <w:sz w:val="19"/>
                <w:szCs w:val="19"/>
                <w:color w:val="auto"/>
              </w:rPr>
              <w:t>resulting from such transaction, or any subsequent surviving entity resulting from any subsequent Change in Control.</w:t>
            </w:r>
          </w:p>
        </w:tc>
      </w:tr>
      <w:tr>
        <w:trPr>
          <w:trHeight w:val="375"/>
        </w:trPr>
        <w:tc>
          <w:tcPr>
            <w:tcW w:w="1460" w:type="dxa"/>
            <w:vAlign w:val="bottom"/>
          </w:tcPr>
          <w:p>
            <w:pPr>
              <w:jc w:val="right"/>
              <w:ind w:right="164"/>
              <w:spacing w:after="0"/>
              <w:rPr>
                <w:sz w:val="20"/>
                <w:szCs w:val="20"/>
                <w:color w:val="auto"/>
              </w:rPr>
            </w:pPr>
            <w:r>
              <w:rPr>
                <w:rFonts w:ascii="Arial" w:cs="Arial" w:eastAsia="Arial" w:hAnsi="Arial"/>
                <w:sz w:val="19"/>
                <w:szCs w:val="19"/>
                <w:b w:val="1"/>
                <w:bCs w:val="1"/>
                <w:color w:val="auto"/>
              </w:rPr>
              <w:t>7.10.</w:t>
            </w:r>
          </w:p>
        </w:tc>
        <w:tc>
          <w:tcPr>
            <w:tcW w:w="9200" w:type="dxa"/>
            <w:vAlign w:val="bottom"/>
          </w:tcPr>
          <w:p>
            <w:pPr>
              <w:ind w:left="1080"/>
              <w:spacing w:after="0"/>
              <w:rPr>
                <w:sz w:val="20"/>
                <w:szCs w:val="20"/>
                <w:color w:val="auto"/>
              </w:rPr>
            </w:pPr>
            <w:r>
              <w:rPr>
                <w:rFonts w:ascii="Arial" w:cs="Arial" w:eastAsia="Arial" w:hAnsi="Arial"/>
                <w:sz w:val="19"/>
                <w:szCs w:val="19"/>
                <w:color w:val="auto"/>
                <w:w w:val="95"/>
              </w:rPr>
              <w:t>“</w:t>
            </w:r>
            <w:r>
              <w:rPr>
                <w:rFonts w:ascii="Arial" w:cs="Arial" w:eastAsia="Arial" w:hAnsi="Arial"/>
                <w:sz w:val="19"/>
                <w:szCs w:val="19"/>
                <w:b w:val="1"/>
                <w:bCs w:val="1"/>
                <w:i w:val="1"/>
                <w:iCs w:val="1"/>
                <w:color w:val="auto"/>
                <w:w w:val="95"/>
              </w:rPr>
              <w:t>Confidentiality Agreement</w:t>
            </w:r>
            <w:r>
              <w:rPr>
                <w:rFonts w:ascii="Arial" w:cs="Arial" w:eastAsia="Arial" w:hAnsi="Arial"/>
                <w:sz w:val="19"/>
                <w:szCs w:val="19"/>
                <w:color w:val="auto"/>
                <w:w w:val="95"/>
              </w:rPr>
              <w:t>” means Executive’s Assignment of Developments, Non- Disclosure and</w:t>
            </w:r>
          </w:p>
        </w:tc>
      </w:tr>
    </w:tbl>
    <w:p>
      <w:pPr>
        <w:ind w:left="120"/>
        <w:spacing w:after="0"/>
        <w:rPr>
          <w:sz w:val="20"/>
          <w:szCs w:val="20"/>
          <w:color w:val="auto"/>
        </w:rPr>
      </w:pPr>
      <w:r>
        <w:rPr>
          <w:rFonts w:ascii="Arial" w:cs="Arial" w:eastAsia="Arial" w:hAnsi="Arial"/>
          <w:sz w:val="19"/>
          <w:szCs w:val="19"/>
          <w:color w:val="auto"/>
        </w:rPr>
        <w:t>Non-Solicitation Agreement with the Company, dated June 22, 2015 (or any successor agreement thereto).</w:t>
      </w:r>
    </w:p>
    <w:p>
      <w:pPr>
        <w:spacing w:after="0" w:line="114" w:lineRule="exact"/>
        <w:rPr>
          <w:sz w:val="20"/>
          <w:szCs w:val="20"/>
          <w:color w:val="auto"/>
        </w:rPr>
      </w:pPr>
    </w:p>
    <w:p>
      <w:pPr>
        <w:jc w:val="both"/>
        <w:ind w:left="120" w:firstLine="835"/>
        <w:spacing w:after="0" w:line="257" w:lineRule="auto"/>
        <w:rPr>
          <w:sz w:val="20"/>
          <w:szCs w:val="20"/>
          <w:color w:val="auto"/>
        </w:rPr>
      </w:pPr>
      <w:r>
        <w:rPr>
          <w:rFonts w:ascii="Arial" w:cs="Arial" w:eastAsia="Arial" w:hAnsi="Arial"/>
          <w:sz w:val="19"/>
          <w:szCs w:val="19"/>
          <w:b w:val="1"/>
          <w:bCs w:val="1"/>
          <w:color w:val="auto"/>
        </w:rPr>
        <w:t xml:space="preserve">7.11. </w:t>
      </w: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w:t>
      </w:r>
      <w:r>
        <w:rPr>
          <w:rFonts w:ascii="Arial" w:cs="Arial" w:eastAsia="Arial" w:hAnsi="Arial"/>
          <w:sz w:val="19"/>
          <w:szCs w:val="19"/>
          <w:color w:val="auto"/>
        </w:rPr>
        <w:t>” means an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or “</w:t>
      </w:r>
      <w:r>
        <w:rPr>
          <w:rFonts w:ascii="Arial" w:cs="Arial" w:eastAsia="Arial" w:hAnsi="Arial"/>
          <w:sz w:val="19"/>
          <w:szCs w:val="19"/>
          <w:b w:val="1"/>
          <w:bCs w:val="1"/>
          <w:i w:val="1"/>
          <w:iCs w:val="1"/>
          <w:color w:val="auto"/>
        </w:rPr>
        <w:t>Resignation for Good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Reason</w:t>
      </w:r>
      <w:r>
        <w:rPr>
          <w:rFonts w:ascii="Arial" w:cs="Arial" w:eastAsia="Arial" w:hAnsi="Arial"/>
          <w:sz w:val="19"/>
          <w:szCs w:val="19"/>
          <w:i w:val="1"/>
          <w:iCs w:val="1"/>
          <w:color w:val="auto"/>
        </w:rPr>
        <w:t>,</w:t>
      </w:r>
      <w:r>
        <w:rPr>
          <w:rFonts w:ascii="Arial" w:cs="Arial" w:eastAsia="Arial" w:hAnsi="Arial"/>
          <w:sz w:val="19"/>
          <w:szCs w:val="19"/>
          <w:color w:val="auto"/>
        </w:rPr>
        <w:t>” provided that any such termination is a “separation from service” within the meaning of Treasury Regulation Section 1.409A-1(h).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Death and disability shall not be deemed Covered Terminations. If an Involuntary Termination Without Cause or Resignation for Good Reason qualifies as a Change in Control Termination, it shall not constitute a Covered Termination.</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220" w:type="dxa"/>
            <w:vAlign w:val="bottom"/>
          </w:tcPr>
          <w:p>
            <w:pPr>
              <w:jc w:val="center"/>
              <w:ind w:right="184"/>
              <w:spacing w:after="0"/>
              <w:rPr>
                <w:sz w:val="20"/>
                <w:szCs w:val="20"/>
                <w:color w:val="auto"/>
              </w:rPr>
            </w:pPr>
            <w:r>
              <w:rPr>
                <w:rFonts w:ascii="Arial" w:cs="Arial" w:eastAsia="Arial" w:hAnsi="Arial"/>
                <w:sz w:val="19"/>
                <w:szCs w:val="19"/>
                <w:b w:val="1"/>
                <w:bCs w:val="1"/>
                <w:color w:val="auto"/>
                <w:w w:val="89"/>
              </w:rPr>
              <w:t>7.12.</w:t>
            </w:r>
          </w:p>
        </w:tc>
        <w:tc>
          <w:tcPr>
            <w:tcW w:w="8580" w:type="dxa"/>
            <w:vAlign w:val="bottom"/>
          </w:tcPr>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 Benefits Period</w:t>
            </w:r>
            <w:r>
              <w:rPr>
                <w:rFonts w:ascii="Arial" w:cs="Arial" w:eastAsia="Arial" w:hAnsi="Arial"/>
                <w:sz w:val="19"/>
                <w:szCs w:val="19"/>
                <w:color w:val="auto"/>
              </w:rPr>
              <w:t>” means the period of eighteen (18) months commencing</w:t>
            </w:r>
          </w:p>
        </w:tc>
      </w:tr>
      <w:tr>
        <w:trPr>
          <w:trHeight w:val="246"/>
        </w:trPr>
        <w:tc>
          <w:tcPr>
            <w:tcW w:w="2220" w:type="dxa"/>
            <w:vAlign w:val="bottom"/>
          </w:tcPr>
          <w:p>
            <w:pPr>
              <w:jc w:val="center"/>
              <w:ind w:right="204"/>
              <w:spacing w:after="0"/>
              <w:rPr>
                <w:sz w:val="20"/>
                <w:szCs w:val="20"/>
                <w:color w:val="auto"/>
              </w:rPr>
            </w:pPr>
            <w:r>
              <w:rPr>
                <w:rFonts w:ascii="Arial" w:cs="Arial" w:eastAsia="Arial" w:hAnsi="Arial"/>
                <w:sz w:val="19"/>
                <w:szCs w:val="19"/>
                <w:color w:val="auto"/>
                <w:w w:val="91"/>
              </w:rPr>
              <w:t>on the Termination Date.</w:t>
            </w:r>
          </w:p>
        </w:tc>
        <w:tc>
          <w:tcPr>
            <w:tcW w:w="8580" w:type="dxa"/>
            <w:vAlign w:val="bottom"/>
          </w:tcPr>
          <w:p>
            <w:pPr>
              <w:spacing w:after="0"/>
              <w:rPr>
                <w:sz w:val="21"/>
                <w:szCs w:val="21"/>
                <w:color w:val="auto"/>
              </w:rPr>
            </w:pPr>
          </w:p>
        </w:tc>
      </w:tr>
      <w:tr>
        <w:trPr>
          <w:trHeight w:val="359"/>
        </w:trPr>
        <w:tc>
          <w:tcPr>
            <w:tcW w:w="2220" w:type="dxa"/>
            <w:vAlign w:val="bottom"/>
          </w:tcPr>
          <w:p>
            <w:pPr>
              <w:jc w:val="center"/>
              <w:ind w:right="164"/>
              <w:spacing w:after="0"/>
              <w:rPr>
                <w:sz w:val="20"/>
                <w:szCs w:val="20"/>
                <w:color w:val="auto"/>
              </w:rPr>
            </w:pPr>
            <w:r>
              <w:rPr>
                <w:rFonts w:ascii="Arial" w:cs="Arial" w:eastAsia="Arial" w:hAnsi="Arial"/>
                <w:sz w:val="19"/>
                <w:szCs w:val="19"/>
                <w:b w:val="1"/>
                <w:bCs w:val="1"/>
                <w:color w:val="auto"/>
                <w:w w:val="94"/>
              </w:rPr>
              <w:t>7.13.</w:t>
            </w:r>
          </w:p>
        </w:tc>
        <w:tc>
          <w:tcPr>
            <w:tcW w:w="8580" w:type="dxa"/>
            <w:vAlign w:val="bottom"/>
          </w:tcPr>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 Severance Period</w:t>
            </w:r>
            <w:r>
              <w:rPr>
                <w:rFonts w:ascii="Arial" w:cs="Arial" w:eastAsia="Arial" w:hAnsi="Arial"/>
                <w:sz w:val="19"/>
                <w:szCs w:val="19"/>
                <w:color w:val="auto"/>
              </w:rPr>
              <w:t>” means the period of twelve (12) months commencing</w:t>
            </w:r>
          </w:p>
        </w:tc>
      </w:tr>
      <w:tr>
        <w:trPr>
          <w:trHeight w:val="246"/>
        </w:trPr>
        <w:tc>
          <w:tcPr>
            <w:tcW w:w="2220" w:type="dxa"/>
            <w:vAlign w:val="bottom"/>
          </w:tcPr>
          <w:p>
            <w:pPr>
              <w:jc w:val="center"/>
              <w:ind w:right="204"/>
              <w:spacing w:after="0"/>
              <w:rPr>
                <w:sz w:val="20"/>
                <w:szCs w:val="20"/>
                <w:color w:val="auto"/>
              </w:rPr>
            </w:pPr>
            <w:r>
              <w:rPr>
                <w:rFonts w:ascii="Arial" w:cs="Arial" w:eastAsia="Arial" w:hAnsi="Arial"/>
                <w:sz w:val="19"/>
                <w:szCs w:val="19"/>
                <w:color w:val="auto"/>
                <w:w w:val="91"/>
              </w:rPr>
              <w:t>on the Termination Date.</w:t>
            </w:r>
          </w:p>
        </w:tc>
        <w:tc>
          <w:tcPr>
            <w:tcW w:w="8580" w:type="dxa"/>
            <w:vAlign w:val="bottom"/>
          </w:tcPr>
          <w:p>
            <w:pPr>
              <w:spacing w:after="0"/>
              <w:rPr>
                <w:sz w:val="21"/>
                <w:szCs w:val="21"/>
                <w:color w:val="auto"/>
              </w:rPr>
            </w:pPr>
          </w:p>
        </w:tc>
      </w:tr>
      <w:tr>
        <w:trPr>
          <w:trHeight w:val="359"/>
        </w:trPr>
        <w:tc>
          <w:tcPr>
            <w:tcW w:w="2220" w:type="dxa"/>
            <w:vAlign w:val="bottom"/>
          </w:tcPr>
          <w:p>
            <w:pPr>
              <w:ind w:left="840"/>
              <w:spacing w:after="0"/>
              <w:rPr>
                <w:sz w:val="20"/>
                <w:szCs w:val="20"/>
                <w:color w:val="auto"/>
              </w:rPr>
            </w:pPr>
            <w:r>
              <w:rPr>
                <w:rFonts w:ascii="Arial" w:cs="Arial" w:eastAsia="Arial" w:hAnsi="Arial"/>
                <w:sz w:val="19"/>
                <w:szCs w:val="19"/>
                <w:b w:val="1"/>
                <w:bCs w:val="1"/>
                <w:color w:val="auto"/>
              </w:rPr>
              <w:t>7.14.</w:t>
            </w:r>
          </w:p>
        </w:tc>
        <w:tc>
          <w:tcPr>
            <w:tcW w:w="8580" w:type="dxa"/>
            <w:vAlign w:val="bottom"/>
          </w:tcPr>
          <w:p>
            <w:pPr>
              <w:ind w:left="380"/>
              <w:spacing w:after="0"/>
              <w:rPr>
                <w:sz w:val="20"/>
                <w:szCs w:val="20"/>
                <w:color w:val="auto"/>
              </w:rPr>
            </w:pPr>
            <w:r>
              <w:rPr>
                <w:rFonts w:ascii="Arial" w:cs="Arial" w:eastAsia="Arial" w:hAnsi="Arial"/>
                <w:sz w:val="19"/>
                <w:szCs w:val="19"/>
                <w:color w:val="auto"/>
                <w:w w:val="91"/>
              </w:rPr>
              <w:t>“</w:t>
            </w:r>
            <w:r>
              <w:rPr>
                <w:rFonts w:ascii="Arial" w:cs="Arial" w:eastAsia="Arial" w:hAnsi="Arial"/>
                <w:sz w:val="19"/>
                <w:szCs w:val="19"/>
                <w:b w:val="1"/>
                <w:bCs w:val="1"/>
                <w:i w:val="1"/>
                <w:iCs w:val="1"/>
                <w:color w:val="auto"/>
                <w:w w:val="91"/>
              </w:rPr>
              <w:t>Involuntary Termination Without Cause</w:t>
            </w:r>
            <w:r>
              <w:rPr>
                <w:rFonts w:ascii="Arial" w:cs="Arial" w:eastAsia="Arial" w:hAnsi="Arial"/>
                <w:sz w:val="19"/>
                <w:szCs w:val="19"/>
                <w:color w:val="auto"/>
                <w:w w:val="91"/>
              </w:rPr>
              <w:t>” means Executive’s dismissal or discharge by the Company for</w:t>
            </w:r>
          </w:p>
        </w:tc>
      </w:tr>
      <w:tr>
        <w:trPr>
          <w:trHeight w:val="246"/>
        </w:trPr>
        <w:tc>
          <w:tcPr>
            <w:tcW w:w="10800" w:type="dxa"/>
            <w:vAlign w:val="bottom"/>
            <w:gridSpan w:val="2"/>
          </w:tcPr>
          <w:p>
            <w:pPr>
              <w:spacing w:after="0"/>
              <w:rPr>
                <w:sz w:val="20"/>
                <w:szCs w:val="20"/>
                <w:color w:val="auto"/>
              </w:rPr>
            </w:pPr>
            <w:r>
              <w:rPr>
                <w:rFonts w:ascii="Arial" w:cs="Arial" w:eastAsia="Arial" w:hAnsi="Arial"/>
                <w:sz w:val="19"/>
                <w:szCs w:val="19"/>
                <w:color w:val="auto"/>
              </w:rPr>
              <w:t>reasons other than Cause and other than as a result of death or disability.</w:t>
            </w:r>
          </w:p>
        </w:tc>
      </w:tr>
      <w:tr>
        <w:trPr>
          <w:trHeight w:val="375"/>
        </w:trPr>
        <w:tc>
          <w:tcPr>
            <w:tcW w:w="2220" w:type="dxa"/>
            <w:vAlign w:val="bottom"/>
          </w:tcPr>
          <w:p>
            <w:pPr>
              <w:ind w:left="820"/>
              <w:spacing w:after="0"/>
              <w:rPr>
                <w:sz w:val="20"/>
                <w:szCs w:val="20"/>
                <w:color w:val="auto"/>
              </w:rPr>
            </w:pPr>
            <w:r>
              <w:rPr>
                <w:rFonts w:ascii="Arial" w:cs="Arial" w:eastAsia="Arial" w:hAnsi="Arial"/>
                <w:sz w:val="19"/>
                <w:szCs w:val="19"/>
                <w:b w:val="1"/>
                <w:bCs w:val="1"/>
                <w:color w:val="auto"/>
              </w:rPr>
              <w:t>7.15.</w:t>
            </w:r>
          </w:p>
        </w:tc>
        <w:tc>
          <w:tcPr>
            <w:tcW w:w="8580" w:type="dxa"/>
            <w:vAlign w:val="bottom"/>
          </w:tcPr>
          <w:p>
            <w:pPr>
              <w:ind w:left="400"/>
              <w:spacing w:after="0"/>
              <w:rPr>
                <w:sz w:val="20"/>
                <w:szCs w:val="20"/>
                <w:color w:val="auto"/>
              </w:rPr>
            </w:pPr>
            <w:r>
              <w:rPr>
                <w:rFonts w:ascii="Arial" w:cs="Arial" w:eastAsia="Arial" w:hAnsi="Arial"/>
                <w:sz w:val="19"/>
                <w:szCs w:val="19"/>
                <w:color w:val="auto"/>
                <w:w w:val="97"/>
              </w:rPr>
              <w:t>“</w:t>
            </w:r>
            <w:r>
              <w:rPr>
                <w:rFonts w:ascii="Arial" w:cs="Arial" w:eastAsia="Arial" w:hAnsi="Arial"/>
                <w:sz w:val="19"/>
                <w:szCs w:val="19"/>
                <w:b w:val="1"/>
                <w:bCs w:val="1"/>
                <w:i w:val="1"/>
                <w:iCs w:val="1"/>
                <w:color w:val="auto"/>
                <w:w w:val="97"/>
              </w:rPr>
              <w:t>Monthly Base Salary</w:t>
            </w:r>
            <w:r>
              <w:rPr>
                <w:rFonts w:ascii="Arial" w:cs="Arial" w:eastAsia="Arial" w:hAnsi="Arial"/>
                <w:sz w:val="19"/>
                <w:szCs w:val="19"/>
                <w:color w:val="auto"/>
                <w:w w:val="97"/>
              </w:rPr>
              <w:t>” means 1/12</w:t>
            </w:r>
            <w:r>
              <w:rPr>
                <w:rFonts w:ascii="Arial" w:cs="Arial" w:eastAsia="Arial" w:hAnsi="Arial"/>
                <w:sz w:val="16"/>
                <w:szCs w:val="16"/>
                <w:color w:val="auto"/>
                <w:w w:val="97"/>
              </w:rPr>
              <w:t>th</w:t>
            </w:r>
            <w:r>
              <w:rPr>
                <w:rFonts w:ascii="Arial" w:cs="Arial" w:eastAsia="Arial" w:hAnsi="Arial"/>
                <w:sz w:val="19"/>
                <w:szCs w:val="19"/>
                <w:color w:val="auto"/>
                <w:w w:val="97"/>
              </w:rPr>
              <w:t xml:space="preserve"> of the greater of (i) Executive’s annual base salary (excluding</w:t>
            </w:r>
          </w:p>
        </w:tc>
      </w:tr>
    </w:tbl>
    <w:p>
      <w:pPr>
        <w:jc w:val="both"/>
        <w:ind w:left="120" w:right="180"/>
        <w:spacing w:after="0" w:line="249" w:lineRule="auto"/>
        <w:rPr>
          <w:sz w:val="20"/>
          <w:szCs w:val="20"/>
          <w:color w:val="auto"/>
        </w:rPr>
      </w:pPr>
      <w:r>
        <w:rPr>
          <w:rFonts w:ascii="Arial" w:cs="Arial" w:eastAsia="Arial" w:hAnsi="Arial"/>
          <w:sz w:val="19"/>
          <w:szCs w:val="19"/>
          <w:color w:val="auto"/>
        </w:rPr>
        <w:t>incentive pay, premium pay, commissions, 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spacing w:after="0" w:line="123" w:lineRule="exact"/>
        <w:rPr>
          <w:sz w:val="20"/>
          <w:szCs w:val="20"/>
          <w:color w:val="auto"/>
        </w:rPr>
      </w:pPr>
    </w:p>
    <w:p>
      <w:pPr>
        <w:ind w:left="120" w:right="260" w:firstLine="816"/>
        <w:spacing w:after="0" w:line="281" w:lineRule="auto"/>
        <w:rPr>
          <w:sz w:val="20"/>
          <w:szCs w:val="20"/>
          <w:color w:val="auto"/>
        </w:rPr>
      </w:pPr>
      <w:r>
        <w:rPr>
          <w:rFonts w:ascii="Arial" w:cs="Arial" w:eastAsia="Arial" w:hAnsi="Arial"/>
          <w:sz w:val="19"/>
          <w:szCs w:val="19"/>
          <w:b w:val="1"/>
          <w:bCs w:val="1"/>
          <w:color w:val="auto"/>
        </w:rPr>
        <w:t xml:space="preserve">7.16. </w:t>
      </w:r>
      <w:r>
        <w:rPr>
          <w:rFonts w:ascii="Arial" w:cs="Arial" w:eastAsia="Arial" w:hAnsi="Arial"/>
          <w:sz w:val="19"/>
          <w:szCs w:val="19"/>
          <w:color w:val="auto"/>
        </w:rPr>
        <w:t>“</w:t>
      </w:r>
      <w:r>
        <w:rPr>
          <w:rFonts w:ascii="Arial" w:cs="Arial" w:eastAsia="Arial" w:hAnsi="Arial"/>
          <w:sz w:val="19"/>
          <w:szCs w:val="19"/>
          <w:b w:val="1"/>
          <w:bCs w:val="1"/>
          <w:i w:val="1"/>
          <w:iCs w:val="1"/>
          <w:color w:val="auto"/>
        </w:rPr>
        <w:t>Prior Employment Agreement</w:t>
      </w:r>
      <w:r>
        <w:rPr>
          <w:rFonts w:ascii="Arial" w:cs="Arial" w:eastAsia="Arial" w:hAnsi="Arial"/>
          <w:sz w:val="19"/>
          <w:szCs w:val="19"/>
          <w:color w:val="auto"/>
        </w:rPr>
        <w:t>” means that certain offer letter agreement, between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dated September 30, 2015, as previously amended and restated on April 27, 2020.</w:t>
      </w:r>
    </w:p>
    <w:p>
      <w:pPr>
        <w:spacing w:after="0" w:line="93" w:lineRule="exact"/>
        <w:rPr>
          <w:sz w:val="20"/>
          <w:szCs w:val="20"/>
          <w:color w:val="auto"/>
        </w:rPr>
      </w:pPr>
    </w:p>
    <w:p>
      <w:pPr>
        <w:jc w:val="both"/>
        <w:ind w:left="120" w:right="440" w:firstLine="801"/>
        <w:spacing w:after="0" w:line="257" w:lineRule="auto"/>
        <w:rPr>
          <w:sz w:val="20"/>
          <w:szCs w:val="20"/>
          <w:color w:val="auto"/>
        </w:rPr>
      </w:pPr>
      <w:r>
        <w:rPr>
          <w:rFonts w:ascii="Arial" w:cs="Arial" w:eastAsia="Arial" w:hAnsi="Arial"/>
          <w:sz w:val="19"/>
          <w:szCs w:val="19"/>
          <w:b w:val="1"/>
          <w:bCs w:val="1"/>
          <w:color w:val="auto"/>
        </w:rPr>
        <w:t xml:space="preserve">7.17. </w:t>
      </w:r>
      <w:r>
        <w:rPr>
          <w:rFonts w:ascii="Arial" w:cs="Arial" w:eastAsia="Arial" w:hAnsi="Arial"/>
          <w:sz w:val="19"/>
          <w:szCs w:val="19"/>
          <w:color w:val="auto"/>
        </w:rPr>
        <w:t>“</w:t>
      </w:r>
      <w:r>
        <w:rPr>
          <w:rFonts w:ascii="Arial" w:cs="Arial" w:eastAsia="Arial" w:hAnsi="Arial"/>
          <w:sz w:val="19"/>
          <w:szCs w:val="19"/>
          <w:b w:val="1"/>
          <w:bCs w:val="1"/>
          <w:i w:val="1"/>
          <w:iCs w:val="1"/>
          <w:color w:val="auto"/>
        </w:rPr>
        <w:t>Pro-Rata Bonus</w:t>
      </w:r>
      <w:r>
        <w:rPr>
          <w:rFonts w:ascii="Arial" w:cs="Arial" w:eastAsia="Arial" w:hAnsi="Arial"/>
          <w:sz w:val="19"/>
          <w:szCs w:val="19"/>
          <w:color w:val="auto"/>
        </w:rPr>
        <w:t>” means 1/12</w:t>
      </w:r>
      <w:r>
        <w:rPr>
          <w:rFonts w:ascii="Arial" w:cs="Arial" w:eastAsia="Arial" w:hAnsi="Arial"/>
          <w:sz w:val="16"/>
          <w:szCs w:val="16"/>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of the greater of (i) the average Target Performance Bonus paid to</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for the three years preceding the date of a Change in Control Termination (or such lesser number of years during which Executive has been employed by the Company), or (ii) the Target Performance Bonus, as in effect on the date of a Change in Control Termination.</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9"/>
          <w:szCs w:val="19"/>
          <w:color w:val="auto"/>
        </w:rPr>
        <w:t>[Type here]</w:t>
      </w:r>
    </w:p>
    <w:p>
      <w:pPr>
        <w:spacing w:after="0" w:line="368" w:lineRule="exact"/>
        <w:rPr>
          <w:sz w:val="20"/>
          <w:szCs w:val="20"/>
          <w:color w:val="auto"/>
        </w:rPr>
      </w:pPr>
    </w:p>
    <w:p>
      <w:pPr>
        <w:jc w:val="both"/>
        <w:ind w:left="120" w:right="160" w:firstLine="824"/>
        <w:spacing w:after="0" w:line="257" w:lineRule="auto"/>
        <w:rPr>
          <w:sz w:val="20"/>
          <w:szCs w:val="20"/>
          <w:color w:val="auto"/>
        </w:rPr>
      </w:pPr>
      <w:r>
        <w:rPr>
          <w:rFonts w:ascii="Arial" w:cs="Arial" w:eastAsia="Arial" w:hAnsi="Arial"/>
          <w:sz w:val="19"/>
          <w:szCs w:val="19"/>
          <w:b w:val="1"/>
          <w:bCs w:val="1"/>
          <w:color w:val="auto"/>
        </w:rPr>
        <w:t xml:space="preserve">7.18. </w:t>
      </w:r>
      <w:r>
        <w:rPr>
          <w:rFonts w:ascii="Arial" w:cs="Arial" w:eastAsia="Arial" w:hAnsi="Arial"/>
          <w:sz w:val="19"/>
          <w:szCs w:val="19"/>
          <w:color w:val="auto"/>
        </w:rPr>
        <w:t>“</w:t>
      </w:r>
      <w:r>
        <w:rPr>
          <w:rFonts w:ascii="Arial" w:cs="Arial" w:eastAsia="Arial" w:hAnsi="Arial"/>
          <w:sz w:val="19"/>
          <w:szCs w:val="19"/>
          <w:b w:val="1"/>
          <w:bCs w:val="1"/>
          <w:i w:val="1"/>
          <w:iCs w:val="1"/>
          <w:color w:val="auto"/>
        </w:rPr>
        <w:t>Resignation for Good Reason</w:t>
      </w:r>
      <w:r>
        <w:rPr>
          <w:rFonts w:ascii="Arial" w:cs="Arial" w:eastAsia="Arial" w:hAnsi="Arial"/>
          <w:sz w:val="19"/>
          <w:szCs w:val="19"/>
          <w:color w:val="auto"/>
        </w:rPr>
        <w:t>” means Executive’s resignation from all employee positions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then holds 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22" w:lineRule="exact"/>
        <w:rPr>
          <w:sz w:val="20"/>
          <w:szCs w:val="20"/>
          <w:color w:val="auto"/>
        </w:rPr>
      </w:pPr>
    </w:p>
    <w:p>
      <w:pPr>
        <w:jc w:val="both"/>
        <w:ind w:left="120" w:right="300" w:firstLine="1625"/>
        <w:spacing w:after="0" w:line="255" w:lineRule="auto"/>
        <w:rPr>
          <w:sz w:val="20"/>
          <w:szCs w:val="20"/>
          <w:color w:val="auto"/>
        </w:rPr>
      </w:pPr>
      <w:r>
        <w:rPr>
          <w:rFonts w:ascii="Arial" w:cs="Arial" w:eastAsia="Arial" w:hAnsi="Arial"/>
          <w:sz w:val="19"/>
          <w:szCs w:val="19"/>
          <w:color w:val="auto"/>
        </w:rPr>
        <w:t>a) 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ectPr>
          <w:pgSz w:w="11900" w:h="16838" w:orient="portrait"/>
          <w:cols w:equalWidth="0" w:num="1">
            <w:col w:w="10980"/>
          </w:cols>
          <w:pgMar w:left="320" w:top="122" w:right="599" w:bottom="1440" w:gutter="0" w:footer="0" w:header="0"/>
        </w:sectPr>
      </w:pPr>
    </w:p>
    <w:p>
      <w:pPr>
        <w:spacing w:after="0" w:line="123"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b)</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title or reporting relationships);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Executive’s duties, authority or responsibilities are materially diminished (not simply a change</w:t>
      </w:r>
    </w:p>
    <w:p>
      <w:pPr>
        <w:spacing w:after="0" w:line="408" w:lineRule="exact"/>
        <w:rPr>
          <w:sz w:val="20"/>
          <w:szCs w:val="20"/>
          <w:color w:val="auto"/>
        </w:rPr>
      </w:pPr>
    </w:p>
    <w:p>
      <w:pPr>
        <w:sectPr>
          <w:pgSz w:w="11900" w:h="16838" w:orient="portrait"/>
          <w:cols w:equalWidth="0" w:num="2">
            <w:col w:w="2900" w:space="720"/>
            <w:col w:w="7360"/>
          </w:cols>
          <w:pgMar w:left="320" w:top="122" w:right="599" w:bottom="1440" w:gutter="0" w:footer="0" w:header="0"/>
          <w:type w:val="continuous"/>
        </w:sectPr>
      </w:pPr>
    </w:p>
    <w:p>
      <w:pPr>
        <w:ind w:left="2260" w:hanging="415"/>
        <w:spacing w:after="0"/>
        <w:tabs>
          <w:tab w:leader="none" w:pos="22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 material breach by the Company of the terms of the Agreement;</w:t>
      </w:r>
    </w:p>
    <w:p>
      <w:pPr>
        <w:spacing w:after="0" w:line="136" w:lineRule="exact"/>
        <w:rPr>
          <w:sz w:val="20"/>
          <w:szCs w:val="20"/>
          <w:color w:val="auto"/>
        </w:rPr>
      </w:pPr>
    </w:p>
    <w:p>
      <w:pPr>
        <w:jc w:val="both"/>
        <w:ind w:left="120" w:firstLine="1669"/>
        <w:spacing w:after="0" w:line="249" w:lineRule="auto"/>
        <w:rPr>
          <w:sz w:val="20"/>
          <w:szCs w:val="20"/>
          <w:color w:val="auto"/>
        </w:rPr>
      </w:pPr>
      <w:r>
        <w:rPr>
          <w:rFonts w:ascii="Arial" w:cs="Arial" w:eastAsia="Arial" w:hAnsi="Arial"/>
          <w:sz w:val="19"/>
          <w:szCs w:val="19"/>
          <w:color w:val="auto"/>
        </w:rPr>
        <w:t>d) Either (i) Executive is required to establish residence in a location more than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9"/>
          <w:szCs w:val="19"/>
          <w:b w:val="1"/>
          <w:bCs w:val="1"/>
          <w:i w:val="1"/>
          <w:iCs w:val="1"/>
          <w:color w:val="auto"/>
        </w:rPr>
        <w:t>Executive’s Principal Place of Business</w:t>
      </w:r>
      <w:r>
        <w:rPr>
          <w:rFonts w:ascii="Arial" w:cs="Arial" w:eastAsia="Arial" w:hAnsi="Arial"/>
          <w:sz w:val="19"/>
          <w:szCs w:val="19"/>
          <w:color w:val="auto"/>
        </w:rPr>
        <w:t>”) as a result of a change in location by the Company of Executive’s Principal Place of Business; provided however, that the foregoing shall not include the establishment of a secondary residence within fifty (50) miles from the Company’s Waltham headquarters with Executive’s consent or any commute between Executive’s current principal personal residence and the Company’s Waltham headquarters; or</w:t>
      </w:r>
    </w:p>
    <w:p>
      <w:pPr>
        <w:spacing w:after="0" w:line="132" w:lineRule="exact"/>
        <w:rPr>
          <w:sz w:val="20"/>
          <w:szCs w:val="20"/>
          <w:color w:val="auto"/>
        </w:rPr>
      </w:pPr>
    </w:p>
    <w:p>
      <w:pPr>
        <w:ind w:left="120" w:right="140" w:firstLine="1651"/>
        <w:spacing w:after="0" w:line="275" w:lineRule="auto"/>
        <w:rPr>
          <w:sz w:val="20"/>
          <w:szCs w:val="20"/>
          <w:color w:val="auto"/>
        </w:rPr>
      </w:pPr>
      <w:r>
        <w:rPr>
          <w:rFonts w:ascii="Arial" w:cs="Arial" w:eastAsia="Arial" w:hAnsi="Arial"/>
          <w:sz w:val="19"/>
          <w:szCs w:val="19"/>
          <w:color w:val="auto"/>
        </w:rPr>
        <w:t>e) The failure of the Company to obtain a satisfactory agreement from any successor to materially assume and materially agree to perform under the terms of this Agreement.</w:t>
      </w:r>
    </w:p>
    <w:p>
      <w:pPr>
        <w:spacing w:after="0" w:line="98" w:lineRule="exact"/>
        <w:rPr>
          <w:sz w:val="20"/>
          <w:szCs w:val="20"/>
          <w:color w:val="auto"/>
        </w:rPr>
      </w:pPr>
    </w:p>
    <w:p>
      <w:pPr>
        <w:ind w:left="120" w:right="100" w:firstLine="827"/>
        <w:spacing w:after="0" w:line="281" w:lineRule="auto"/>
        <w:rPr>
          <w:sz w:val="20"/>
          <w:szCs w:val="20"/>
          <w:color w:val="auto"/>
        </w:rPr>
      </w:pPr>
      <w:r>
        <w:rPr>
          <w:rFonts w:ascii="Arial" w:cs="Arial" w:eastAsia="Arial" w:hAnsi="Arial"/>
          <w:sz w:val="19"/>
          <w:szCs w:val="19"/>
          <w:b w:val="1"/>
          <w:bCs w:val="1"/>
          <w:color w:val="auto"/>
        </w:rPr>
        <w:t xml:space="preserve">7.19. </w:t>
      </w: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means the effective date of the Change in Control Termination, the Covered</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or a termination for Cause, as applicable.</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ARTICLE 8</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GENERAL PROVISIONS</w:t>
      </w:r>
    </w:p>
    <w:p>
      <w:pPr>
        <w:spacing w:after="0" w:line="5" w:lineRule="exact"/>
        <w:rPr>
          <w:sz w:val="20"/>
          <w:szCs w:val="20"/>
          <w:color w:val="auto"/>
        </w:rPr>
      </w:pPr>
    </w:p>
    <w:p>
      <w:pPr>
        <w:jc w:val="both"/>
        <w:ind w:left="120" w:right="280" w:firstLine="814"/>
        <w:spacing w:after="0" w:line="272" w:lineRule="auto"/>
        <w:rPr>
          <w:sz w:val="20"/>
          <w:szCs w:val="20"/>
          <w:color w:val="auto"/>
        </w:rPr>
      </w:pPr>
      <w:r>
        <w:rPr>
          <w:rFonts w:ascii="Arial" w:cs="Arial" w:eastAsia="Arial" w:hAnsi="Arial"/>
          <w:sz w:val="18"/>
          <w:szCs w:val="18"/>
          <w:b w:val="1"/>
          <w:bCs w:val="1"/>
          <w:color w:val="auto"/>
        </w:rPr>
        <w:t>8.1. Employment Status</w:t>
      </w:r>
      <w:r>
        <w:rPr>
          <w:rFonts w:ascii="Arial" w:cs="Arial" w:eastAsia="Arial" w:hAnsi="Arial"/>
          <w:sz w:val="18"/>
          <w:szCs w:val="18"/>
          <w:color w:val="auto"/>
        </w:rPr>
        <w:t>. This Agreement does not constitute a contract of employment or impose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any obligation to remain as an employee, or impose on the Company any obligation (i) to retain Executive as an employee, (ii) to change the status of Executive as an at-will employee or (iii) to change the Company’s policies regarding termination of employment.</w:t>
      </w:r>
    </w:p>
    <w:p>
      <w:pPr>
        <w:spacing w:after="0" w:line="207" w:lineRule="exact"/>
        <w:rPr>
          <w:sz w:val="20"/>
          <w:szCs w:val="20"/>
          <w:color w:val="auto"/>
        </w:rPr>
      </w:pPr>
    </w:p>
    <w:p>
      <w:pPr>
        <w:jc w:val="both"/>
        <w:ind w:left="120" w:right="360" w:firstLine="807"/>
        <w:spacing w:after="0" w:line="254" w:lineRule="auto"/>
        <w:rPr>
          <w:sz w:val="20"/>
          <w:szCs w:val="20"/>
          <w:color w:val="auto"/>
        </w:rPr>
      </w:pPr>
      <w:r>
        <w:rPr>
          <w:rFonts w:ascii="Arial" w:cs="Arial" w:eastAsia="Arial" w:hAnsi="Arial"/>
          <w:sz w:val="19"/>
          <w:szCs w:val="19"/>
          <w:b w:val="1"/>
          <w:bCs w:val="1"/>
          <w:color w:val="auto"/>
        </w:rPr>
        <w:t>8.2. Notices</w:t>
      </w:r>
      <w:r>
        <w:rPr>
          <w:rFonts w:ascii="Arial" w:cs="Arial" w:eastAsia="Arial" w:hAnsi="Arial"/>
          <w:sz w:val="19"/>
          <w:szCs w:val="19"/>
          <w:color w:val="auto"/>
        </w:rPr>
        <w:t>. Any notices provided hereunder must be in writing, and such notices or any other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 shall be deemed effective upon 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spacing w:after="0" w:line="106" w:lineRule="exact"/>
        <w:rPr>
          <w:sz w:val="20"/>
          <w:szCs w:val="20"/>
          <w:color w:val="auto"/>
        </w:rPr>
      </w:pPr>
    </w:p>
    <w:p>
      <w:pPr>
        <w:jc w:val="both"/>
        <w:ind w:left="120" w:firstLine="835"/>
        <w:spacing w:after="0" w:line="263" w:lineRule="auto"/>
        <w:rPr>
          <w:sz w:val="20"/>
          <w:szCs w:val="20"/>
          <w:color w:val="auto"/>
        </w:rPr>
      </w:pPr>
      <w:r>
        <w:rPr>
          <w:rFonts w:ascii="Arial" w:cs="Arial" w:eastAsia="Arial" w:hAnsi="Arial"/>
          <w:sz w:val="19"/>
          <w:szCs w:val="19"/>
          <w:b w:val="1"/>
          <w:bCs w:val="1"/>
          <w:color w:val="auto"/>
        </w:rPr>
        <w:t>8.3. Severability</w:t>
      </w:r>
      <w:r>
        <w:rPr>
          <w:rFonts w:ascii="Arial" w:cs="Arial" w:eastAsia="Arial" w:hAnsi="Arial"/>
          <w:sz w:val="19"/>
          <w:szCs w:val="19"/>
          <w:color w:val="auto"/>
        </w:rPr>
        <w:t>. Whenever possible, each provision of this Agreement will be interpreted in such manner as to</w:t>
      </w:r>
      <w:r>
        <w:rPr>
          <w:rFonts w:ascii="Arial" w:cs="Arial" w:eastAsia="Arial" w:hAnsi="Arial"/>
          <w:sz w:val="19"/>
          <w:szCs w:val="19"/>
          <w:b w:val="1"/>
          <w:bCs w:val="1"/>
          <w:color w:val="auto"/>
        </w:rPr>
        <w:t xml:space="preserve"> </w:t>
      </w:r>
      <w:r>
        <w:rPr>
          <w:rFonts w:ascii="Arial" w:cs="Arial" w:eastAsia="Arial" w:hAnsi="Arial"/>
          <w:sz w:val="19"/>
          <w:szCs w:val="19"/>
          <w:color w:val="auto"/>
        </w:rPr>
        <w:t>be effective and valid under applicable law, but if any provision of this Agreement is held to be invalid, illegal or unenforceable in any respect under any applicable law or rule in any</w:t>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9"/>
          <w:szCs w:val="19"/>
          <w:color w:val="auto"/>
        </w:rPr>
        <w:t>[Type here]</w:t>
      </w:r>
    </w:p>
    <w:p>
      <w:pPr>
        <w:spacing w:after="0" w:line="374" w:lineRule="exact"/>
        <w:rPr>
          <w:sz w:val="20"/>
          <w:szCs w:val="20"/>
          <w:color w:val="auto"/>
        </w:rPr>
      </w:pPr>
    </w:p>
    <w:p>
      <w:pPr>
        <w:jc w:val="both"/>
        <w:ind w:left="120"/>
        <w:spacing w:after="0" w:line="260" w:lineRule="auto"/>
        <w:rPr>
          <w:sz w:val="20"/>
          <w:szCs w:val="20"/>
          <w:color w:val="auto"/>
        </w:rPr>
      </w:pPr>
      <w:r>
        <w:rPr>
          <w:rFonts w:ascii="Arial" w:cs="Arial" w:eastAsia="Arial" w:hAnsi="Arial"/>
          <w:sz w:val="19"/>
          <w:szCs w:val="19"/>
          <w:color w:val="auto"/>
        </w:rPr>
        <w:t>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12" w:lineRule="exact"/>
        <w:rPr>
          <w:sz w:val="20"/>
          <w:szCs w:val="20"/>
          <w:color w:val="auto"/>
        </w:rPr>
      </w:pPr>
    </w:p>
    <w:p>
      <w:pPr>
        <w:jc w:val="both"/>
        <w:ind w:left="120" w:firstLine="835"/>
        <w:spacing w:after="0" w:line="281" w:lineRule="auto"/>
        <w:rPr>
          <w:sz w:val="20"/>
          <w:szCs w:val="20"/>
          <w:color w:val="auto"/>
        </w:rPr>
      </w:pPr>
      <w:r>
        <w:rPr>
          <w:rFonts w:ascii="Arial" w:cs="Arial" w:eastAsia="Arial" w:hAnsi="Arial"/>
          <w:sz w:val="19"/>
          <w:szCs w:val="19"/>
          <w:b w:val="1"/>
          <w:bCs w:val="1"/>
          <w:color w:val="auto"/>
        </w:rPr>
        <w:t>8.4. Waiver</w:t>
      </w:r>
      <w:r>
        <w:rPr>
          <w:rFonts w:ascii="Arial" w:cs="Arial" w:eastAsia="Arial" w:hAnsi="Arial"/>
          <w:sz w:val="19"/>
          <w:szCs w:val="19"/>
          <w:color w:val="auto"/>
        </w:rPr>
        <w:t>. If either party should waive any breach of any provisions of this Agreement, he, she or it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thereby be deemed to have waived any preceding or succeeding breach of the same or any other provision of this Agreement.</w:t>
      </w:r>
    </w:p>
    <w:p>
      <w:pPr>
        <w:spacing w:after="0" w:line="67" w:lineRule="exact"/>
        <w:rPr>
          <w:sz w:val="20"/>
          <w:szCs w:val="20"/>
          <w:color w:val="auto"/>
        </w:rPr>
      </w:pPr>
    </w:p>
    <w:p>
      <w:pPr>
        <w:jc w:val="both"/>
        <w:ind w:left="120" w:right="20" w:firstLine="833"/>
        <w:spacing w:after="0" w:line="254" w:lineRule="auto"/>
        <w:rPr>
          <w:sz w:val="20"/>
          <w:szCs w:val="20"/>
          <w:color w:val="auto"/>
        </w:rPr>
      </w:pPr>
      <w:r>
        <w:rPr>
          <w:rFonts w:ascii="Arial" w:cs="Arial" w:eastAsia="Arial" w:hAnsi="Arial"/>
          <w:sz w:val="19"/>
          <w:szCs w:val="19"/>
          <w:b w:val="1"/>
          <w:bCs w:val="1"/>
          <w:color w:val="auto"/>
        </w:rPr>
        <w:t>8.5. Complete Agreement</w:t>
      </w:r>
      <w:r>
        <w:rPr>
          <w:rFonts w:ascii="Arial" w:cs="Arial" w:eastAsia="Arial" w:hAnsi="Arial"/>
          <w:sz w:val="19"/>
          <w:szCs w:val="19"/>
          <w:color w:val="auto"/>
        </w:rPr>
        <w:t>. This Agreement, including</w:t>
      </w:r>
      <w:r>
        <w:rPr>
          <w:rFonts w:ascii="Arial" w:cs="Arial" w:eastAsia="Arial" w:hAnsi="Arial"/>
          <w:sz w:val="19"/>
          <w:szCs w:val="19"/>
          <w:b w:val="1"/>
          <w:bCs w:val="1"/>
          <w:color w:val="auto"/>
        </w:rPr>
        <w:t xml:space="preserve"> Exhibit A</w:t>
      </w:r>
      <w:r>
        <w:rPr>
          <w:rFonts w:ascii="Arial" w:cs="Arial" w:eastAsia="Arial" w:hAnsi="Arial"/>
          <w:sz w:val="19"/>
          <w:szCs w:val="19"/>
          <w:color w:val="auto"/>
        </w:rPr>
        <w:t>,</w:t>
      </w:r>
      <w:r>
        <w:rPr>
          <w:rFonts w:ascii="Arial" w:cs="Arial" w:eastAsia="Arial" w:hAnsi="Arial"/>
          <w:sz w:val="19"/>
          <w:szCs w:val="19"/>
          <w:b w:val="1"/>
          <w:bCs w:val="1"/>
          <w:color w:val="auto"/>
        </w:rPr>
        <w:t xml:space="preserve"> Exhibit B </w:t>
      </w:r>
      <w:r>
        <w:rPr>
          <w:rFonts w:ascii="Arial" w:cs="Arial" w:eastAsia="Arial" w:hAnsi="Arial"/>
          <w:sz w:val="19"/>
          <w:szCs w:val="19"/>
          <w:color w:val="auto"/>
        </w:rPr>
        <w:t>and</w:t>
      </w:r>
      <w:r>
        <w:rPr>
          <w:rFonts w:ascii="Arial" w:cs="Arial" w:eastAsia="Arial" w:hAnsi="Arial"/>
          <w:sz w:val="19"/>
          <w:szCs w:val="19"/>
          <w:b w:val="1"/>
          <w:bCs w:val="1"/>
          <w:color w:val="auto"/>
        </w:rPr>
        <w:t xml:space="preserve"> Exhibit C</w:t>
      </w:r>
      <w:r>
        <w:rPr>
          <w:rFonts w:ascii="Arial" w:cs="Arial" w:eastAsia="Arial" w:hAnsi="Arial"/>
          <w:sz w:val="19"/>
          <w:szCs w:val="19"/>
          <w:color w:val="auto"/>
        </w:rPr>
        <w: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Agreement constitute the entire agreement between Executive and the Company and is the complete, final and exclusive embodiment of their agreement with regard to this subject matter, wholly superseding all written and oral agreements with respect to payments and benefits to Executive in the event of employment termination. It is entered into without reliance on any promise or representation other than those expressly contained herein.</w:t>
      </w:r>
    </w:p>
    <w:p>
      <w:pPr>
        <w:spacing w:after="0" w:line="119" w:lineRule="exact"/>
        <w:rPr>
          <w:sz w:val="20"/>
          <w:szCs w:val="20"/>
          <w:color w:val="auto"/>
        </w:rPr>
      </w:pPr>
    </w:p>
    <w:p>
      <w:pPr>
        <w:jc w:val="both"/>
        <w:ind w:left="120" w:right="40" w:firstLine="831"/>
        <w:spacing w:after="0" w:line="266" w:lineRule="auto"/>
        <w:rPr>
          <w:sz w:val="20"/>
          <w:szCs w:val="20"/>
          <w:color w:val="auto"/>
        </w:rPr>
      </w:pPr>
      <w:r>
        <w:rPr>
          <w:rFonts w:ascii="Arial" w:cs="Arial" w:eastAsia="Arial" w:hAnsi="Arial"/>
          <w:sz w:val="18"/>
          <w:szCs w:val="18"/>
          <w:b w:val="1"/>
          <w:bCs w:val="1"/>
          <w:color w:val="auto"/>
        </w:rPr>
        <w:t>8.6. Amendment or Termination of Agreement; Continuation of Agreement</w:t>
      </w:r>
      <w:r>
        <w:rPr>
          <w:rFonts w:ascii="Arial" w:cs="Arial" w:eastAsia="Arial" w:hAnsi="Arial"/>
          <w:sz w:val="18"/>
          <w:szCs w:val="18"/>
          <w:color w:val="auto"/>
        </w:rPr>
        <w:t>. This Agreement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or terminated only upon the mutual 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 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3 hereof.</w:t>
      </w:r>
    </w:p>
    <w:p>
      <w:pPr>
        <w:spacing w:after="0" w:line="97" w:lineRule="exact"/>
        <w:rPr>
          <w:sz w:val="20"/>
          <w:szCs w:val="20"/>
          <w:color w:val="auto"/>
        </w:rPr>
      </w:pPr>
    </w:p>
    <w:p>
      <w:pPr>
        <w:ind w:left="120" w:right="220" w:firstLine="818"/>
        <w:spacing w:after="0" w:line="281" w:lineRule="auto"/>
        <w:rPr>
          <w:sz w:val="20"/>
          <w:szCs w:val="20"/>
          <w:color w:val="auto"/>
        </w:rPr>
      </w:pPr>
      <w:r>
        <w:rPr>
          <w:rFonts w:ascii="Arial" w:cs="Arial" w:eastAsia="Arial" w:hAnsi="Arial"/>
          <w:sz w:val="19"/>
          <w:szCs w:val="19"/>
          <w:b w:val="1"/>
          <w:bCs w:val="1"/>
          <w:color w:val="auto"/>
        </w:rPr>
        <w:t>8.7. Counterparts</w:t>
      </w:r>
      <w:r>
        <w:rPr>
          <w:rFonts w:ascii="Arial" w:cs="Arial" w:eastAsia="Arial" w:hAnsi="Arial"/>
          <w:sz w:val="19"/>
          <w:szCs w:val="19"/>
          <w:color w:val="auto"/>
        </w:rPr>
        <w:t>. This Agreement may be executed in separate counterparts, any one of which need not</w:t>
      </w:r>
      <w:r>
        <w:rPr>
          <w:rFonts w:ascii="Arial" w:cs="Arial" w:eastAsia="Arial" w:hAnsi="Arial"/>
          <w:sz w:val="19"/>
          <w:szCs w:val="19"/>
          <w:b w:val="1"/>
          <w:bCs w:val="1"/>
          <w:color w:val="auto"/>
        </w:rPr>
        <w:t xml:space="preserve"> </w:t>
      </w:r>
      <w:r>
        <w:rPr>
          <w:rFonts w:ascii="Arial" w:cs="Arial" w:eastAsia="Arial" w:hAnsi="Arial"/>
          <w:sz w:val="19"/>
          <w:szCs w:val="19"/>
          <w:color w:val="auto"/>
        </w:rPr>
        <w:t>contain signatures of more than one party, but all of which taken together will constitute one and the same Agreement.</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800" w:type="dxa"/>
            <w:vAlign w:val="bottom"/>
          </w:tcPr>
          <w:p>
            <w:pPr>
              <w:jc w:val="right"/>
              <w:ind w:right="584"/>
              <w:spacing w:after="0"/>
              <w:rPr>
                <w:sz w:val="20"/>
                <w:szCs w:val="20"/>
                <w:color w:val="auto"/>
              </w:rPr>
            </w:pPr>
            <w:r>
              <w:rPr>
                <w:rFonts w:ascii="Arial" w:cs="Arial" w:eastAsia="Arial" w:hAnsi="Arial"/>
                <w:sz w:val="19"/>
                <w:szCs w:val="19"/>
                <w:b w:val="1"/>
                <w:bCs w:val="1"/>
                <w:color w:val="auto"/>
              </w:rPr>
              <w:t>8.8.</w:t>
            </w:r>
          </w:p>
        </w:tc>
        <w:tc>
          <w:tcPr>
            <w:tcW w:w="9000" w:type="dxa"/>
            <w:vAlign w:val="bottom"/>
          </w:tcPr>
          <w:p>
            <w:pPr>
              <w:ind w:left="660"/>
              <w:spacing w:after="0"/>
              <w:rPr>
                <w:sz w:val="20"/>
                <w:szCs w:val="20"/>
                <w:color w:val="auto"/>
              </w:rPr>
            </w:pPr>
            <w:r>
              <w:rPr>
                <w:rFonts w:ascii="Arial" w:cs="Arial" w:eastAsia="Arial" w:hAnsi="Arial"/>
                <w:sz w:val="19"/>
                <w:szCs w:val="19"/>
                <w:b w:val="1"/>
                <w:bCs w:val="1"/>
                <w:color w:val="auto"/>
                <w:w w:val="92"/>
              </w:rPr>
              <w:t>Headings</w:t>
            </w:r>
            <w:r>
              <w:rPr>
                <w:rFonts w:ascii="Arial" w:cs="Arial" w:eastAsia="Arial" w:hAnsi="Arial"/>
                <w:sz w:val="19"/>
                <w:szCs w:val="19"/>
                <w:color w:val="auto"/>
                <w:w w:val="92"/>
              </w:rPr>
              <w:t>. The headings of the Articles and Sections hereof are inserted for convenience only and shall not</w:t>
            </w:r>
          </w:p>
        </w:tc>
      </w:tr>
      <w:tr>
        <w:trPr>
          <w:trHeight w:val="246"/>
        </w:trPr>
        <w:tc>
          <w:tcPr>
            <w:tcW w:w="10800" w:type="dxa"/>
            <w:vAlign w:val="bottom"/>
            <w:gridSpan w:val="2"/>
          </w:tcPr>
          <w:p>
            <w:pPr>
              <w:spacing w:after="0"/>
              <w:rPr>
                <w:sz w:val="20"/>
                <w:szCs w:val="20"/>
                <w:color w:val="auto"/>
              </w:rPr>
            </w:pPr>
            <w:r>
              <w:rPr>
                <w:rFonts w:ascii="Arial" w:cs="Arial" w:eastAsia="Arial" w:hAnsi="Arial"/>
                <w:sz w:val="19"/>
                <w:szCs w:val="19"/>
                <w:color w:val="auto"/>
              </w:rPr>
              <w:t>be deemed to constitute a part hereof nor to affect the meaning thereof.</w:t>
            </w:r>
          </w:p>
        </w:tc>
      </w:tr>
      <w:tr>
        <w:trPr>
          <w:trHeight w:val="375"/>
        </w:trPr>
        <w:tc>
          <w:tcPr>
            <w:tcW w:w="1800" w:type="dxa"/>
            <w:vAlign w:val="bottom"/>
          </w:tcPr>
          <w:p>
            <w:pPr>
              <w:jc w:val="right"/>
              <w:ind w:right="584"/>
              <w:spacing w:after="0"/>
              <w:rPr>
                <w:sz w:val="20"/>
                <w:szCs w:val="20"/>
                <w:color w:val="auto"/>
              </w:rPr>
            </w:pPr>
            <w:r>
              <w:rPr>
                <w:rFonts w:ascii="Arial" w:cs="Arial" w:eastAsia="Arial" w:hAnsi="Arial"/>
                <w:sz w:val="19"/>
                <w:szCs w:val="19"/>
                <w:b w:val="1"/>
                <w:bCs w:val="1"/>
                <w:color w:val="auto"/>
              </w:rPr>
              <w:t>8.9.</w:t>
            </w:r>
          </w:p>
        </w:tc>
        <w:tc>
          <w:tcPr>
            <w:tcW w:w="9000" w:type="dxa"/>
            <w:vAlign w:val="bottom"/>
          </w:tcPr>
          <w:p>
            <w:pPr>
              <w:ind w:left="660"/>
              <w:spacing w:after="0"/>
              <w:rPr>
                <w:sz w:val="20"/>
                <w:szCs w:val="20"/>
                <w:color w:val="auto"/>
              </w:rPr>
            </w:pPr>
            <w:r>
              <w:rPr>
                <w:rFonts w:ascii="Arial" w:cs="Arial" w:eastAsia="Arial" w:hAnsi="Arial"/>
                <w:sz w:val="19"/>
                <w:szCs w:val="19"/>
                <w:b w:val="1"/>
                <w:bCs w:val="1"/>
                <w:color w:val="auto"/>
                <w:w w:val="90"/>
              </w:rPr>
              <w:t>Successors and Assigns</w:t>
            </w:r>
            <w:r>
              <w:rPr>
                <w:rFonts w:ascii="Arial" w:cs="Arial" w:eastAsia="Arial" w:hAnsi="Arial"/>
                <w:sz w:val="19"/>
                <w:szCs w:val="19"/>
                <w:color w:val="auto"/>
                <w:w w:val="90"/>
              </w:rPr>
              <w:t>. This Agreement is intended to bind and inure to the benefit of and be enforceable</w:t>
            </w:r>
          </w:p>
        </w:tc>
      </w:tr>
    </w:tbl>
    <w:p>
      <w:pPr>
        <w:jc w:val="both"/>
        <w:ind w:left="120" w:right="80"/>
        <w:spacing w:after="0" w:line="248" w:lineRule="auto"/>
        <w:rPr>
          <w:sz w:val="20"/>
          <w:szCs w:val="20"/>
          <w:color w:val="auto"/>
        </w:rPr>
      </w:pPr>
      <w:r>
        <w:rPr>
          <w:rFonts w:ascii="Arial" w:cs="Arial" w:eastAsia="Arial" w:hAnsi="Arial"/>
          <w:sz w:val="19"/>
          <w:szCs w:val="19"/>
          <w:color w:val="auto"/>
        </w:rPr>
        <w:t>by Executive, and the Company, and 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229" w:lineRule="exact"/>
        <w:rPr>
          <w:sz w:val="20"/>
          <w:szCs w:val="20"/>
          <w:color w:val="auto"/>
        </w:rPr>
      </w:pPr>
    </w:p>
    <w:p>
      <w:pPr>
        <w:jc w:val="both"/>
        <w:ind w:left="120" w:right="120" w:firstLine="825"/>
        <w:spacing w:after="0" w:line="251" w:lineRule="auto"/>
        <w:rPr>
          <w:sz w:val="20"/>
          <w:szCs w:val="20"/>
          <w:color w:val="auto"/>
        </w:rPr>
      </w:pPr>
      <w:r>
        <w:rPr>
          <w:rFonts w:ascii="Arial" w:cs="Arial" w:eastAsia="Arial" w:hAnsi="Arial"/>
          <w:sz w:val="19"/>
          <w:szCs w:val="19"/>
          <w:b w:val="1"/>
          <w:bCs w:val="1"/>
          <w:color w:val="auto"/>
        </w:rPr>
        <w:t>8.10. Choice of Law</w:t>
      </w:r>
      <w:r>
        <w:rPr>
          <w:rFonts w:ascii="Arial" w:cs="Arial" w:eastAsia="Arial" w:hAnsi="Arial"/>
          <w:sz w:val="19"/>
          <w:szCs w:val="19"/>
          <w:color w:val="auto"/>
        </w:rPr>
        <w:t>. Because of the Company’s and Executive’s interests in ensuring that disputes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[Type here]</w:t>
      </w:r>
    </w:p>
    <w:p>
      <w:pPr>
        <w:spacing w:after="0" w:line="200" w:lineRule="exact"/>
        <w:rPr>
          <w:sz w:val="20"/>
          <w:szCs w:val="20"/>
          <w:color w:val="auto"/>
        </w:rPr>
      </w:pPr>
    </w:p>
    <w:p>
      <w:pPr>
        <w:spacing w:after="0" w:line="300" w:lineRule="exact"/>
        <w:rPr>
          <w:sz w:val="20"/>
          <w:szCs w:val="20"/>
          <w:color w:val="auto"/>
        </w:rPr>
      </w:pPr>
    </w:p>
    <w:p>
      <w:pPr>
        <w:ind w:left="960"/>
        <w:spacing w:after="0"/>
        <w:tabs>
          <w:tab w:leader="none" w:pos="2640" w:val="left"/>
        </w:tabs>
        <w:rPr>
          <w:sz w:val="20"/>
          <w:szCs w:val="20"/>
          <w:color w:val="auto"/>
        </w:rPr>
      </w:pPr>
      <w:r>
        <w:rPr>
          <w:rFonts w:ascii="Arial" w:cs="Arial" w:eastAsia="Arial" w:hAnsi="Arial"/>
          <w:sz w:val="19"/>
          <w:szCs w:val="19"/>
          <w:b w:val="1"/>
          <w:bCs w:val="1"/>
          <w:color w:val="auto"/>
        </w:rPr>
        <w:t>8.11.</w:t>
      </w:r>
      <w:r>
        <w:rPr>
          <w:sz w:val="20"/>
          <w:szCs w:val="20"/>
          <w:color w:val="auto"/>
        </w:rPr>
        <w:tab/>
      </w:r>
      <w:r>
        <w:rPr>
          <w:rFonts w:ascii="Arial" w:cs="Arial" w:eastAsia="Arial" w:hAnsi="Arial"/>
          <w:sz w:val="17"/>
          <w:szCs w:val="17"/>
          <w:b w:val="1"/>
          <w:bCs w:val="1"/>
          <w:color w:val="auto"/>
        </w:rPr>
        <w:t xml:space="preserve">Arbitration. </w:t>
      </w:r>
      <w:r>
        <w:rPr>
          <w:rFonts w:ascii="Arial" w:cs="Arial" w:eastAsia="Arial" w:hAnsi="Arial"/>
          <w:sz w:val="17"/>
          <w:szCs w:val="17"/>
          <w:color w:val="auto"/>
        </w:rPr>
        <w:t>To ensure the rapid and economical resolution of any disputes that may arise under or relate</w:t>
      </w:r>
    </w:p>
    <w:p>
      <w:pPr>
        <w:spacing w:after="0" w:line="27"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to this Agreement or Executive’s 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by the Judicial Arbitration &amp; Mediation Services,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in accordance with its then-current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The JAMS Rules are also available online at </w:t>
      </w:r>
      <w:r>
        <w:rPr>
          <w:rFonts w:ascii="Arial" w:cs="Arial" w:eastAsia="Arial" w:hAnsi="Arial"/>
          <w:sz w:val="18"/>
          <w:szCs w:val="18"/>
          <w:u w:val="single" w:color="auto"/>
          <w:color w:val="0000FF"/>
        </w:rPr>
        <w:t>http://www.jamsadr.com/rules-employment-arbitration/</w:t>
      </w:r>
      <w:r>
        <w:rPr>
          <w:rFonts w:ascii="Arial" w:cs="Arial" w:eastAsia="Arial" w:hAnsi="Arial"/>
          <w:sz w:val="18"/>
          <w:szCs w:val="18"/>
          <w:color w:val="000000"/>
        </w:rPr>
        <w:t>. The parties or their representatives may also call JAMS at 800.352.5267 if they</w:t>
      </w:r>
      <w:r>
        <w:rPr>
          <w:rFonts w:ascii="Arial" w:cs="Arial" w:eastAsia="Arial" w:hAnsi="Arial"/>
          <w:sz w:val="18"/>
          <w:szCs w:val="18"/>
          <w:color w:val="0000FF"/>
        </w:rPr>
        <w:t xml:space="preserve"> </w:t>
      </w:r>
      <w:r>
        <w:rPr>
          <w:rFonts w:ascii="Arial" w:cs="Arial" w:eastAsia="Arial" w:hAnsi="Arial"/>
          <w:sz w:val="18"/>
          <w:szCs w:val="18"/>
          <w:color w:val="000000"/>
        </w:rPr>
        <w:t>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06" w:lineRule="exact"/>
        <w:rPr>
          <w:sz w:val="20"/>
          <w:szCs w:val="20"/>
          <w:color w:val="auto"/>
        </w:rPr>
      </w:pPr>
    </w:p>
    <w:p>
      <w:pPr>
        <w:ind w:left="120" w:right="180" w:firstLine="820"/>
        <w:spacing w:after="0" w:line="281" w:lineRule="auto"/>
        <w:rPr>
          <w:sz w:val="20"/>
          <w:szCs w:val="20"/>
          <w:color w:val="auto"/>
        </w:rPr>
      </w:pPr>
      <w:r>
        <w:rPr>
          <w:rFonts w:ascii="Arial" w:cs="Arial" w:eastAsia="Arial" w:hAnsi="Arial"/>
          <w:sz w:val="19"/>
          <w:szCs w:val="19"/>
          <w:b w:val="1"/>
          <w:bCs w:val="1"/>
          <w:color w:val="auto"/>
        </w:rPr>
        <w:t>8.12. Construction of Agreement</w:t>
      </w:r>
      <w:r>
        <w:rPr>
          <w:rFonts w:ascii="Arial" w:cs="Arial" w:eastAsia="Arial" w:hAnsi="Arial"/>
          <w:sz w:val="19"/>
          <w:szCs w:val="19"/>
          <w:color w:val="auto"/>
        </w:rPr>
        <w:t>. In the event of a conflict between the text of this Agreement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summary, description or other information regarding this Agreement, the text of this Agreement shall control.</w:t>
      </w:r>
    </w:p>
    <w:p>
      <w:pPr>
        <w:spacing w:after="0" w:line="93" w:lineRule="exact"/>
        <w:rPr>
          <w:sz w:val="20"/>
          <w:szCs w:val="20"/>
          <w:color w:val="auto"/>
        </w:rPr>
      </w:pPr>
    </w:p>
    <w:p>
      <w:pPr>
        <w:ind w:left="940"/>
        <w:spacing w:after="0"/>
        <w:tabs>
          <w:tab w:leader="none" w:pos="2640" w:val="left"/>
        </w:tabs>
        <w:rPr>
          <w:sz w:val="20"/>
          <w:szCs w:val="20"/>
          <w:color w:val="auto"/>
        </w:rPr>
      </w:pPr>
      <w:r>
        <w:rPr>
          <w:rFonts w:ascii="Arial" w:cs="Arial" w:eastAsia="Arial" w:hAnsi="Arial"/>
          <w:sz w:val="19"/>
          <w:szCs w:val="19"/>
          <w:b w:val="1"/>
          <w:bCs w:val="1"/>
          <w:color w:val="auto"/>
        </w:rPr>
        <w:t>8.13.</w:t>
      </w:r>
      <w:r>
        <w:rPr>
          <w:sz w:val="20"/>
          <w:szCs w:val="20"/>
          <w:color w:val="auto"/>
        </w:rPr>
        <w:tab/>
      </w:r>
      <w:r>
        <w:rPr>
          <w:rFonts w:ascii="Arial" w:cs="Arial" w:eastAsia="Arial" w:hAnsi="Arial"/>
          <w:sz w:val="19"/>
          <w:szCs w:val="19"/>
          <w:b w:val="1"/>
          <w:bCs w:val="1"/>
          <w:color w:val="auto"/>
        </w:rPr>
        <w:t>Circular 230 Disclaimer</w:t>
      </w:r>
      <w:r>
        <w:rPr>
          <w:rFonts w:ascii="Arial" w:cs="Arial" w:eastAsia="Arial" w:hAnsi="Arial"/>
          <w:sz w:val="19"/>
          <w:szCs w:val="19"/>
          <w:color w:val="auto"/>
        </w:rPr>
        <w:t>.</w:t>
      </w:r>
      <w:r>
        <w:rPr>
          <w:rFonts w:ascii="Arial" w:cs="Arial" w:eastAsia="Arial" w:hAnsi="Arial"/>
          <w:sz w:val="19"/>
          <w:szCs w:val="19"/>
          <w:b w:val="1"/>
          <w:bCs w:val="1"/>
          <w:color w:val="auto"/>
        </w:rPr>
        <w:t xml:space="preserve"> THE FOLLOWING DISCLAIMER IS PROVIDED IN ACCORDANCE</w:t>
      </w:r>
    </w:p>
    <w:p>
      <w:pPr>
        <w:spacing w:after="0" w:line="27" w:lineRule="exact"/>
        <w:rPr>
          <w:sz w:val="20"/>
          <w:szCs w:val="20"/>
          <w:color w:val="auto"/>
        </w:rPr>
      </w:pPr>
    </w:p>
    <w:p>
      <w:pPr>
        <w:jc w:val="both"/>
        <w:ind w:left="120" w:right="140"/>
        <w:spacing w:after="0" w:line="247" w:lineRule="auto"/>
        <w:rPr>
          <w:sz w:val="20"/>
          <w:szCs w:val="20"/>
          <w:color w:val="auto"/>
        </w:rPr>
      </w:pPr>
      <w:r>
        <w:rPr>
          <w:rFonts w:ascii="Arial" w:cs="Arial" w:eastAsia="Arial" w:hAnsi="Arial"/>
          <w:sz w:val="19"/>
          <w:szCs w:val="19"/>
          <w:b w:val="1"/>
          <w:bCs w:val="1"/>
          <w:color w:val="auto"/>
        </w:rPr>
        <w:t>WITH 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60"/>
          </w:cols>
          <w:pgMar w:left="320" w:top="122" w:right="61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color w:val="auto"/>
        </w:rPr>
        <w:t>[Type here]</w:t>
      </w:r>
    </w:p>
    <w:p>
      <w:pPr>
        <w:spacing w:after="0" w:line="200" w:lineRule="exact"/>
        <w:rPr>
          <w:sz w:val="20"/>
          <w:szCs w:val="20"/>
          <w:color w:val="auto"/>
        </w:rPr>
      </w:pPr>
    </w:p>
    <w:p>
      <w:pPr>
        <w:spacing w:after="0" w:line="299"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on the Effective Date written above.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 w:type="dxa"/>
            <w:vAlign w:val="bottom"/>
          </w:tcPr>
          <w:p>
            <w:pPr>
              <w:spacing w:after="0"/>
              <w:rPr>
                <w:sz w:val="21"/>
                <w:szCs w:val="21"/>
                <w:color w:val="auto"/>
              </w:rPr>
            </w:pPr>
          </w:p>
        </w:tc>
        <w:tc>
          <w:tcPr>
            <w:tcW w:w="7740" w:type="dxa"/>
            <w:vAlign w:val="bottom"/>
            <w:gridSpan w:val="6"/>
          </w:tcPr>
          <w:p>
            <w:pPr>
              <w:spacing w:after="0"/>
              <w:rPr>
                <w:sz w:val="20"/>
                <w:szCs w:val="20"/>
                <w:color w:val="auto"/>
              </w:rPr>
            </w:pPr>
            <w:r>
              <w:rPr>
                <w:rFonts w:ascii="Arial" w:cs="Arial" w:eastAsia="Arial" w:hAnsi="Arial"/>
                <w:sz w:val="19"/>
                <w:szCs w:val="19"/>
                <w:b w:val="1"/>
                <w:bCs w:val="1"/>
                <w:color w:val="auto"/>
              </w:rPr>
              <w:t>SYNDAX PHARMACEUTICALS, INC.</w:t>
            </w:r>
          </w:p>
        </w:tc>
        <w:tc>
          <w:tcPr>
            <w:tcW w:w="3400" w:type="dxa"/>
            <w:vAlign w:val="bottom"/>
            <w:gridSpan w:val="3"/>
          </w:tcPr>
          <w:p>
            <w:pPr>
              <w:ind w:left="280"/>
              <w:spacing w:after="0"/>
              <w:rPr>
                <w:sz w:val="20"/>
                <w:szCs w:val="20"/>
                <w:color w:val="auto"/>
              </w:rPr>
            </w:pPr>
            <w:r>
              <w:rPr>
                <w:rFonts w:ascii="Arial" w:cs="Arial" w:eastAsia="Arial" w:hAnsi="Arial"/>
                <w:sz w:val="19"/>
                <w:szCs w:val="19"/>
                <w:b w:val="1"/>
                <w:bCs w:val="1"/>
                <w:color w:val="auto"/>
              </w:rPr>
              <w:t>EXECUTIVE</w:t>
            </w:r>
          </w:p>
        </w:tc>
      </w:tr>
      <w:tr>
        <w:trPr>
          <w:trHeight w:val="441"/>
        </w:trPr>
        <w:tc>
          <w:tcPr>
            <w:tcW w:w="120" w:type="dxa"/>
            <w:vAlign w:val="bottom"/>
          </w:tcPr>
          <w:p>
            <w:pPr>
              <w:spacing w:after="0"/>
              <w:rPr>
                <w:sz w:val="24"/>
                <w:szCs w:val="24"/>
                <w:color w:val="auto"/>
              </w:rPr>
            </w:pPr>
          </w:p>
        </w:tc>
        <w:tc>
          <w:tcPr>
            <w:tcW w:w="2000" w:type="dxa"/>
            <w:vAlign w:val="bottom"/>
            <w:gridSpan w:val="5"/>
          </w:tcPr>
          <w:p>
            <w:pPr>
              <w:spacing w:after="0"/>
              <w:rPr>
                <w:sz w:val="20"/>
                <w:szCs w:val="20"/>
                <w:color w:val="auto"/>
              </w:rPr>
            </w:pPr>
            <w:r>
              <w:rPr>
                <w:rFonts w:ascii="Arial" w:cs="Arial" w:eastAsia="Arial" w:hAnsi="Arial"/>
                <w:sz w:val="19"/>
                <w:szCs w:val="19"/>
                <w:color w:val="auto"/>
              </w:rPr>
              <w:t>By: /s/ Luke J. Albrecht</w:t>
            </w:r>
          </w:p>
        </w:tc>
        <w:tc>
          <w:tcPr>
            <w:tcW w:w="5740" w:type="dxa"/>
            <w:vAlign w:val="bottom"/>
          </w:tcPr>
          <w:p>
            <w:pPr>
              <w:spacing w:after="0"/>
              <w:rPr>
                <w:sz w:val="24"/>
                <w:szCs w:val="24"/>
                <w:color w:val="auto"/>
              </w:rPr>
            </w:pPr>
          </w:p>
        </w:tc>
        <w:tc>
          <w:tcPr>
            <w:tcW w:w="3400" w:type="dxa"/>
            <w:vAlign w:val="bottom"/>
            <w:gridSpan w:val="3"/>
          </w:tcPr>
          <w:p>
            <w:pPr>
              <w:ind w:left="2440"/>
              <w:spacing w:after="0"/>
              <w:rPr>
                <w:sz w:val="20"/>
                <w:szCs w:val="20"/>
                <w:color w:val="auto"/>
              </w:rPr>
            </w:pPr>
            <w:r>
              <w:rPr>
                <w:rFonts w:ascii="Arial" w:cs="Arial" w:eastAsia="Arial" w:hAnsi="Arial"/>
                <w:sz w:val="19"/>
                <w:szCs w:val="19"/>
                <w:color w:val="auto"/>
              </w:rPr>
              <w:t>By: /s/</w:t>
            </w: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0" w:type="dxa"/>
            <w:vAlign w:val="bottom"/>
            <w:gridSpan w:val="5"/>
          </w:tcPr>
          <w:p>
            <w:pPr>
              <w:spacing w:after="0" w:line="204" w:lineRule="exact"/>
              <w:rPr>
                <w:sz w:val="20"/>
                <w:szCs w:val="20"/>
                <w:color w:val="auto"/>
              </w:rPr>
            </w:pPr>
            <w:r>
              <w:rPr>
                <w:rFonts w:ascii="Arial" w:cs="Arial" w:eastAsia="Arial" w:hAnsi="Arial"/>
                <w:sz w:val="19"/>
                <w:szCs w:val="19"/>
                <w:color w:val="auto"/>
              </w:rPr>
              <w:t>Michael A. Metzger</w:t>
            </w:r>
          </w:p>
        </w:tc>
        <w:tc>
          <w:tcPr>
            <w:tcW w:w="57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712"/>
        </w:trPr>
        <w:tc>
          <w:tcPr>
            <w:tcW w:w="120" w:type="dxa"/>
            <w:vAlign w:val="bottom"/>
          </w:tcPr>
          <w:p>
            <w:pPr>
              <w:spacing w:after="0"/>
              <w:rPr>
                <w:sz w:val="24"/>
                <w:szCs w:val="24"/>
                <w:color w:val="auto"/>
              </w:rPr>
            </w:pPr>
          </w:p>
        </w:tc>
        <w:tc>
          <w:tcPr>
            <w:tcW w:w="2000" w:type="dxa"/>
            <w:vAlign w:val="bottom"/>
            <w:gridSpan w:val="5"/>
          </w:tcPr>
          <w:p>
            <w:pPr>
              <w:spacing w:after="0"/>
              <w:rPr>
                <w:sz w:val="20"/>
                <w:szCs w:val="20"/>
                <w:color w:val="auto"/>
              </w:rPr>
            </w:pPr>
            <w:r>
              <w:rPr>
                <w:rFonts w:ascii="Arial" w:cs="Arial" w:eastAsia="Arial" w:hAnsi="Arial"/>
                <w:sz w:val="19"/>
                <w:szCs w:val="19"/>
                <w:color w:val="auto"/>
              </w:rPr>
              <w:t>Name: Luke J. Albrecht</w:t>
            </w:r>
          </w:p>
        </w:tc>
        <w:tc>
          <w:tcPr>
            <w:tcW w:w="5740" w:type="dxa"/>
            <w:vAlign w:val="bottom"/>
          </w:tcPr>
          <w:p>
            <w:pPr>
              <w:spacing w:after="0"/>
              <w:rPr>
                <w:sz w:val="24"/>
                <w:szCs w:val="24"/>
                <w:color w:val="auto"/>
              </w:rPr>
            </w:pPr>
          </w:p>
        </w:tc>
        <w:tc>
          <w:tcPr>
            <w:tcW w:w="3400" w:type="dxa"/>
            <w:vAlign w:val="bottom"/>
            <w:gridSpan w:val="3"/>
          </w:tcPr>
          <w:p>
            <w:pPr>
              <w:ind w:left="2480"/>
              <w:spacing w:after="0"/>
              <w:rPr>
                <w:sz w:val="20"/>
                <w:szCs w:val="20"/>
                <w:color w:val="auto"/>
              </w:rPr>
            </w:pPr>
            <w:r>
              <w:rPr>
                <w:rFonts w:ascii="Arial" w:cs="Arial" w:eastAsia="Arial" w:hAnsi="Arial"/>
                <w:sz w:val="19"/>
                <w:szCs w:val="19"/>
                <w:color w:val="auto"/>
              </w:rPr>
              <w:t>Name:</w:t>
            </w:r>
          </w:p>
        </w:tc>
      </w:tr>
      <w:tr>
        <w:trPr>
          <w:trHeight w:val="246"/>
        </w:trPr>
        <w:tc>
          <w:tcPr>
            <w:tcW w:w="120" w:type="dxa"/>
            <w:vAlign w:val="bottom"/>
          </w:tcPr>
          <w:p>
            <w:pPr>
              <w:spacing w:after="0"/>
              <w:rPr>
                <w:sz w:val="21"/>
                <w:szCs w:val="21"/>
                <w:color w:val="auto"/>
              </w:rPr>
            </w:pPr>
          </w:p>
        </w:tc>
        <w:tc>
          <w:tcPr>
            <w:tcW w:w="2000" w:type="dxa"/>
            <w:vAlign w:val="bottom"/>
            <w:gridSpan w:val="5"/>
          </w:tcPr>
          <w:p>
            <w:pPr>
              <w:spacing w:after="0"/>
              <w:rPr>
                <w:sz w:val="20"/>
                <w:szCs w:val="20"/>
                <w:color w:val="auto"/>
              </w:rPr>
            </w:pPr>
            <w:r>
              <w:rPr>
                <w:rFonts w:ascii="Arial" w:cs="Arial" w:eastAsia="Arial" w:hAnsi="Arial"/>
                <w:sz w:val="19"/>
                <w:szCs w:val="19"/>
                <w:color w:val="auto"/>
              </w:rPr>
              <w:t>Michael A. Metzger</w:t>
            </w:r>
          </w:p>
        </w:tc>
        <w:tc>
          <w:tcPr>
            <w:tcW w:w="57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447"/>
        </w:trPr>
        <w:tc>
          <w:tcPr>
            <w:tcW w:w="120" w:type="dxa"/>
            <w:vAlign w:val="bottom"/>
          </w:tcPr>
          <w:p>
            <w:pPr>
              <w:spacing w:after="0"/>
              <w:rPr>
                <w:sz w:val="24"/>
                <w:szCs w:val="24"/>
                <w:color w:val="auto"/>
              </w:rPr>
            </w:pPr>
          </w:p>
        </w:tc>
        <w:tc>
          <w:tcPr>
            <w:tcW w:w="7740" w:type="dxa"/>
            <w:vAlign w:val="bottom"/>
            <w:gridSpan w:val="6"/>
          </w:tcPr>
          <w:p>
            <w:pPr>
              <w:spacing w:after="0"/>
              <w:rPr>
                <w:sz w:val="20"/>
                <w:szCs w:val="20"/>
                <w:color w:val="auto"/>
              </w:rPr>
            </w:pPr>
            <w:r>
              <w:rPr>
                <w:rFonts w:ascii="Arial" w:cs="Arial" w:eastAsia="Arial" w:hAnsi="Arial"/>
                <w:sz w:val="19"/>
                <w:szCs w:val="19"/>
                <w:color w:val="auto"/>
              </w:rPr>
              <w:t>Title: Senior Vice President, General Counsel</w:t>
            </w: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9"/>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9"/>
                <w:szCs w:val="19"/>
                <w:color w:val="auto"/>
              </w:rPr>
              <w:t>&amp; Secretary</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10"/>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9"/>
                <w:szCs w:val="19"/>
                <w:color w:val="auto"/>
              </w:rPr>
              <w:t>Exhibit A:</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tcPr>
          <w:p>
            <w:pPr>
              <w:ind w:left="140"/>
              <w:spacing w:after="0"/>
              <w:rPr>
                <w:sz w:val="20"/>
                <w:szCs w:val="20"/>
                <w:color w:val="auto"/>
              </w:rPr>
            </w:pPr>
            <w:r>
              <w:rPr>
                <w:rFonts w:ascii="Arial" w:cs="Arial" w:eastAsia="Arial" w:hAnsi="Arial"/>
                <w:sz w:val="19"/>
                <w:szCs w:val="19"/>
                <w:color w:val="auto"/>
              </w:rPr>
              <w:t>Release (Individual Termination – Age 40 or Older)</w:t>
            </w: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46"/>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9"/>
                <w:szCs w:val="19"/>
                <w:color w:val="auto"/>
              </w:rPr>
              <w:t>Exhibit B:</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tcPr>
          <w:p>
            <w:pPr>
              <w:ind w:left="140"/>
              <w:spacing w:after="0"/>
              <w:rPr>
                <w:sz w:val="20"/>
                <w:szCs w:val="20"/>
                <w:color w:val="auto"/>
              </w:rPr>
            </w:pPr>
            <w:r>
              <w:rPr>
                <w:rFonts w:ascii="Arial" w:cs="Arial" w:eastAsia="Arial" w:hAnsi="Arial"/>
                <w:sz w:val="19"/>
                <w:szCs w:val="19"/>
                <w:color w:val="auto"/>
                <w:w w:val="98"/>
              </w:rPr>
              <w:t>Release (Individual and Group Termination – Under Age 40) Exhibit</w:t>
            </w: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46"/>
        </w:trPr>
        <w:tc>
          <w:tcPr>
            <w:tcW w:w="12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Arial" w:cs="Arial" w:eastAsia="Arial" w:hAnsi="Arial"/>
                <w:sz w:val="19"/>
                <w:szCs w:val="19"/>
                <w:color w:val="auto"/>
              </w:rPr>
              <w:t>C:</w:t>
            </w:r>
          </w:p>
        </w:tc>
        <w:tc>
          <w:tcPr>
            <w:tcW w:w="6520" w:type="dxa"/>
            <w:vAlign w:val="bottom"/>
            <w:gridSpan w:val="4"/>
          </w:tcPr>
          <w:p>
            <w:pPr>
              <w:ind w:left="300"/>
              <w:spacing w:after="0"/>
              <w:rPr>
                <w:sz w:val="20"/>
                <w:szCs w:val="20"/>
                <w:color w:val="auto"/>
              </w:rPr>
            </w:pPr>
            <w:r>
              <w:rPr>
                <w:rFonts w:ascii="Arial" w:cs="Arial" w:eastAsia="Arial" w:hAnsi="Arial"/>
                <w:sz w:val="19"/>
                <w:szCs w:val="19"/>
                <w:color w:val="auto"/>
              </w:rPr>
              <w:t>Release (Group Termination – Age 40 or Older)</w:t>
            </w: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973"/>
        </w:trPr>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[Type here]</w:t>
      </w: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EXHIBIT A RELEASE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(INDIVIDUAL TERMINATION – AGE 40 OR OLDER)</w:t>
      </w:r>
    </w:p>
    <w:p>
      <w:pPr>
        <w:spacing w:after="0" w:line="265" w:lineRule="exact"/>
        <w:rPr>
          <w:sz w:val="20"/>
          <w:szCs w:val="20"/>
          <w:color w:val="auto"/>
        </w:rPr>
      </w:pPr>
    </w:p>
    <w:p>
      <w:pPr>
        <w:ind w:left="120" w:right="360" w:firstLine="831"/>
        <w:spacing w:after="0" w:line="275" w:lineRule="auto"/>
        <w:rPr>
          <w:sz w:val="20"/>
          <w:szCs w:val="20"/>
          <w:color w:val="auto"/>
        </w:rPr>
      </w:pPr>
      <w:r>
        <w:rPr>
          <w:rFonts w:ascii="Arial" w:cs="Arial" w:eastAsia="Arial" w:hAnsi="Arial"/>
          <w:sz w:val="19"/>
          <w:szCs w:val="19"/>
          <w:color w:val="auto"/>
        </w:rPr>
        <w:t>Certain capitalized terms used in this Release are defined in the Executive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I have executed and of which this Release is a part.</w:t>
      </w:r>
    </w:p>
    <w:p>
      <w:pPr>
        <w:spacing w:after="0" w:line="9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 hereby confirm my obligations under the Confidentiality Agreement (or other comparable agreement that I have signed, if any).</w:t>
      </w:r>
    </w:p>
    <w:p>
      <w:pPr>
        <w:spacing w:after="0" w:line="186" w:lineRule="exact"/>
        <w:rPr>
          <w:sz w:val="20"/>
          <w:szCs w:val="20"/>
          <w:color w:val="auto"/>
        </w:rPr>
      </w:pPr>
    </w:p>
    <w:p>
      <w:pPr>
        <w:ind w:left="120" w:firstLine="846"/>
        <w:spacing w:after="0" w:line="261"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1" w:lineRule="exact"/>
        <w:rPr>
          <w:sz w:val="20"/>
          <w:szCs w:val="20"/>
          <w:color w:val="auto"/>
        </w:rPr>
      </w:pPr>
    </w:p>
    <w:p>
      <w:pPr>
        <w:ind w:left="120" w:right="40" w:firstLine="844"/>
        <w:spacing w:after="0" w:line="268"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t>[Type here]</w:t>
      </w:r>
    </w:p>
    <w:p>
      <w:pPr>
        <w:spacing w:after="0" w:line="387" w:lineRule="exact"/>
        <w:rPr>
          <w:sz w:val="20"/>
          <w:szCs w:val="20"/>
          <w:color w:val="auto"/>
        </w:rPr>
      </w:pPr>
    </w:p>
    <w:p>
      <w:pPr>
        <w:jc w:val="both"/>
        <w:ind w:left="120" w:right="420"/>
        <w:spacing w:after="0" w:line="281" w:lineRule="auto"/>
        <w:rPr>
          <w:sz w:val="20"/>
          <w:szCs w:val="20"/>
          <w:color w:val="auto"/>
        </w:rPr>
      </w:pPr>
      <w:r>
        <w:rPr>
          <w:rFonts w:ascii="Arial" w:cs="Arial" w:eastAsia="Arial" w:hAnsi="Arial"/>
          <w:sz w:val="18"/>
          <w:szCs w:val="18"/>
          <w:color w:val="auto"/>
        </w:rPr>
        <w:t>Release earlier); (D) I have seven (7) days following my execution of this Release to revoke the Release by providing a written notice of revocation to the Company’s Chief Executive Officer; and (E) this Release shall not be effective until the date upon which the revocation period has expired, which shall be the eighth (8th) day after I execute this Release (provided that I do not revoke it).</w:t>
      </w:r>
    </w:p>
    <w:p>
      <w:pPr>
        <w:spacing w:after="0" w:line="88" w:lineRule="exact"/>
        <w:rPr>
          <w:sz w:val="20"/>
          <w:szCs w:val="20"/>
          <w:color w:val="auto"/>
        </w:rPr>
      </w:pPr>
    </w:p>
    <w:p>
      <w:pPr>
        <w:jc w:val="both"/>
        <w:ind w:left="120" w:right="320" w:firstLine="831"/>
        <w:spacing w:after="0" w:line="305"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83" w:lineRule="exact"/>
        <w:rPr>
          <w:sz w:val="20"/>
          <w:szCs w:val="20"/>
          <w:color w:val="auto"/>
        </w:rPr>
      </w:pPr>
    </w:p>
    <w:p>
      <w:pPr>
        <w:ind w:left="120" w:firstLine="855"/>
        <w:spacing w:after="0" w:line="255" w:lineRule="auto"/>
        <w:rPr>
          <w:sz w:val="20"/>
          <w:szCs w:val="20"/>
          <w:color w:val="auto"/>
        </w:rPr>
      </w:pPr>
      <w:r>
        <w:rPr>
          <w:rFonts w:ascii="Arial" w:cs="Arial" w:eastAsia="Arial" w:hAnsi="Arial"/>
          <w:sz w:val="19"/>
          <w:szCs w:val="19"/>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96"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Signature</w:t>
      </w:r>
    </w:p>
    <w:p>
      <w:pPr>
        <w:spacing w:after="0" w:line="176"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Printed Name</w:t>
      </w:r>
    </w:p>
    <w:p>
      <w:pPr>
        <w:spacing w:after="0" w:line="200" w:lineRule="exact"/>
        <w:rPr>
          <w:sz w:val="20"/>
          <w:szCs w:val="20"/>
          <w:color w:val="auto"/>
        </w:rPr>
      </w:pPr>
    </w:p>
    <w:p>
      <w:pPr>
        <w:spacing w:after="0" w:line="278" w:lineRule="exact"/>
        <w:rPr>
          <w:sz w:val="20"/>
          <w:szCs w:val="20"/>
          <w:color w:val="auto"/>
        </w:rPr>
      </w:pPr>
    </w:p>
    <w:p>
      <w:pPr>
        <w:jc w:val="center"/>
        <w:ind w:right="160"/>
        <w:spacing w:after="0"/>
        <w:rPr>
          <w:sz w:val="20"/>
          <w:szCs w:val="20"/>
          <w:color w:val="auto"/>
        </w:rPr>
      </w:pPr>
      <w:r>
        <w:rPr>
          <w:rFonts w:ascii="Arial" w:cs="Arial" w:eastAsia="Arial" w:hAnsi="Arial"/>
          <w:sz w:val="19"/>
          <w:szCs w:val="19"/>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[Type here]</w:t>
      </w: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EXHIBIT B</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RELEASE</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(INDIVIDUAL AND GROUP TERMINATION – UNDER AGE 40)</w:t>
      </w:r>
    </w:p>
    <w:p>
      <w:pPr>
        <w:spacing w:after="0" w:line="313" w:lineRule="exact"/>
        <w:rPr>
          <w:sz w:val="20"/>
          <w:szCs w:val="20"/>
          <w:color w:val="auto"/>
        </w:rPr>
      </w:pPr>
    </w:p>
    <w:p>
      <w:pPr>
        <w:ind w:left="120" w:right="340" w:firstLine="831"/>
        <w:spacing w:after="0" w:line="275" w:lineRule="auto"/>
        <w:rPr>
          <w:sz w:val="20"/>
          <w:szCs w:val="20"/>
          <w:color w:val="auto"/>
        </w:rPr>
      </w:pPr>
      <w:r>
        <w:rPr>
          <w:rFonts w:ascii="Arial" w:cs="Arial" w:eastAsia="Arial" w:hAnsi="Arial"/>
          <w:sz w:val="19"/>
          <w:szCs w:val="19"/>
          <w:color w:val="auto"/>
        </w:rPr>
        <w:t>Certain capitalized terms used in this Release are defined in the Executive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I have executed and of which this Release is a part.</w:t>
      </w:r>
    </w:p>
    <w:p>
      <w:pPr>
        <w:spacing w:after="0" w:line="7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 hereby confirm my obligations under the Confidentiality Agreement (or other comparable agreement that I have signed, if any).</w:t>
      </w:r>
    </w:p>
    <w:p>
      <w:pPr>
        <w:spacing w:after="0" w:line="186" w:lineRule="exact"/>
        <w:rPr>
          <w:sz w:val="20"/>
          <w:szCs w:val="20"/>
          <w:color w:val="auto"/>
        </w:rPr>
      </w:pPr>
    </w:p>
    <w:p>
      <w:pPr>
        <w:ind w:left="120" w:right="60" w:firstLine="844"/>
        <w:spacing w:after="0" w:line="277" w:lineRule="auto"/>
        <w:rPr>
          <w:sz w:val="20"/>
          <w:szCs w:val="20"/>
          <w:color w:val="auto"/>
        </w:rPr>
      </w:pPr>
      <w:r>
        <w:rPr>
          <w:rFonts w:ascii="Arial" w:cs="Arial" w:eastAsia="Arial" w:hAnsi="Arial"/>
          <w:sz w:val="17"/>
          <w:szCs w:val="17"/>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7"/>
          <w:szCs w:val="17"/>
          <w:b w:val="1"/>
          <w:bCs w:val="1"/>
          <w:i w:val="1"/>
          <w:iCs w:val="1"/>
          <w:color w:val="auto"/>
        </w:rPr>
        <w:t>EEOC</w:t>
      </w:r>
      <w:r>
        <w:rPr>
          <w:rFonts w:ascii="Arial" w:cs="Arial" w:eastAsia="Arial" w:hAnsi="Arial"/>
          <w:sz w:val="17"/>
          <w:szCs w:val="17"/>
          <w:color w:val="auto"/>
        </w:rPr>
        <w:t>”), the National Labor Relations Board (“</w:t>
      </w:r>
      <w:r>
        <w:rPr>
          <w:rFonts w:ascii="Arial" w:cs="Arial" w:eastAsia="Arial" w:hAnsi="Arial"/>
          <w:sz w:val="17"/>
          <w:szCs w:val="17"/>
          <w:b w:val="1"/>
          <w:bCs w:val="1"/>
          <w:i w:val="1"/>
          <w:iCs w:val="1"/>
          <w:color w:val="auto"/>
        </w:rPr>
        <w:t>NLRB</w:t>
      </w:r>
      <w:r>
        <w:rPr>
          <w:rFonts w:ascii="Arial" w:cs="Arial" w:eastAsia="Arial" w:hAnsi="Arial"/>
          <w:sz w:val="17"/>
          <w:szCs w:val="17"/>
          <w:color w:val="auto"/>
        </w:rPr>
        <w:t>”), or any other government agency (provided, however, that I shall not be entitled to recover any monetary damages or to obtain non- monetary relief if the agency were to pursue any claims relating to my employment with the Company).</w:t>
      </w:r>
    </w:p>
    <w:p>
      <w:pPr>
        <w:spacing w:after="0" w:line="112" w:lineRule="exact"/>
        <w:rPr>
          <w:sz w:val="20"/>
          <w:szCs w:val="20"/>
          <w:color w:val="auto"/>
        </w:rPr>
      </w:pPr>
    </w:p>
    <w:p>
      <w:pPr>
        <w:ind w:left="120" w:firstLine="846"/>
        <w:spacing w:after="0" w:line="252" w:lineRule="auto"/>
        <w:rPr>
          <w:sz w:val="20"/>
          <w:szCs w:val="20"/>
          <w:color w:val="auto"/>
        </w:rPr>
      </w:pPr>
      <w:r>
        <w:rPr>
          <w:rFonts w:ascii="Arial" w:cs="Arial" w:eastAsia="Arial" w:hAnsi="Arial"/>
          <w:sz w:val="19"/>
          <w:szCs w:val="19"/>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 hereby represent that I have been paid all compensation owed and for all hours worked, I</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[Type here]</w:t>
      </w:r>
    </w:p>
    <w:p>
      <w:pPr>
        <w:spacing w:after="0" w:line="374" w:lineRule="exact"/>
        <w:rPr>
          <w:sz w:val="20"/>
          <w:szCs w:val="20"/>
          <w:color w:val="auto"/>
        </w:rPr>
      </w:pPr>
    </w:p>
    <w:p>
      <w:pPr>
        <w:jc w:val="both"/>
        <w:ind w:left="120" w:right="520"/>
        <w:spacing w:after="0" w:line="260" w:lineRule="auto"/>
        <w:rPr>
          <w:sz w:val="20"/>
          <w:szCs w:val="20"/>
          <w:color w:val="auto"/>
        </w:rPr>
      </w:pPr>
      <w:r>
        <w:rPr>
          <w:rFonts w:ascii="Arial" w:cs="Arial" w:eastAsia="Arial" w:hAnsi="Arial"/>
          <w:sz w:val="19"/>
          <w:szCs w:val="19"/>
          <w:color w:val="auto"/>
        </w:rPr>
        <w:t>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13" w:lineRule="exact"/>
        <w:rPr>
          <w:sz w:val="20"/>
          <w:szCs w:val="20"/>
          <w:color w:val="auto"/>
        </w:rPr>
      </w:pPr>
    </w:p>
    <w:p>
      <w:pPr>
        <w:ind w:left="120" w:firstLine="855"/>
        <w:spacing w:after="0" w:line="255" w:lineRule="auto"/>
        <w:rPr>
          <w:sz w:val="20"/>
          <w:szCs w:val="20"/>
          <w:color w:val="auto"/>
        </w:rPr>
      </w:pPr>
      <w:r>
        <w:rPr>
          <w:rFonts w:ascii="Arial" w:cs="Arial" w:eastAsia="Arial" w:hAnsi="Arial"/>
          <w:sz w:val="19"/>
          <w:szCs w:val="19"/>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351"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Signature</w:t>
      </w:r>
    </w:p>
    <w:p>
      <w:pPr>
        <w:spacing w:after="0" w:line="176"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Printed Name</w:t>
      </w:r>
    </w:p>
    <w:p>
      <w:pPr>
        <w:spacing w:after="0" w:line="200" w:lineRule="exact"/>
        <w:rPr>
          <w:sz w:val="20"/>
          <w:szCs w:val="20"/>
          <w:color w:val="auto"/>
        </w:rPr>
      </w:pPr>
    </w:p>
    <w:p>
      <w:pPr>
        <w:spacing w:after="0" w:line="278" w:lineRule="exact"/>
        <w:rPr>
          <w:sz w:val="20"/>
          <w:szCs w:val="20"/>
          <w:color w:val="auto"/>
        </w:rPr>
      </w:pPr>
    </w:p>
    <w:p>
      <w:pPr>
        <w:jc w:val="center"/>
        <w:ind w:right="240"/>
        <w:spacing w:after="0"/>
        <w:rPr>
          <w:sz w:val="20"/>
          <w:szCs w:val="20"/>
          <w:color w:val="auto"/>
        </w:rPr>
      </w:pPr>
      <w:r>
        <w:rPr>
          <w:rFonts w:ascii="Arial" w:cs="Arial" w:eastAsia="Arial" w:hAnsi="Arial"/>
          <w:sz w:val="19"/>
          <w:szCs w:val="19"/>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59" w:name="page160"/>
    <w:bookmarkEnd w:id="159"/>
    <w:p>
      <w:pPr>
        <w:spacing w:after="0"/>
        <w:rPr>
          <w:sz w:val="20"/>
          <w:szCs w:val="20"/>
          <w:color w:val="auto"/>
        </w:rPr>
      </w:pPr>
      <w:r>
        <w:rPr>
          <w:rFonts w:ascii="Arial" w:cs="Arial" w:eastAsia="Arial" w:hAnsi="Arial"/>
          <w:sz w:val="19"/>
          <w:szCs w:val="19"/>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EXHIBIT C</w:t>
      </w: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RELEASE</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(GROUP TERMINATION – AGE 40 OR OLDER)</w:t>
      </w:r>
    </w:p>
    <w:p>
      <w:pPr>
        <w:spacing w:after="0" w:line="313" w:lineRule="exact"/>
        <w:rPr>
          <w:sz w:val="20"/>
          <w:szCs w:val="20"/>
          <w:color w:val="auto"/>
        </w:rPr>
      </w:pPr>
    </w:p>
    <w:p>
      <w:pPr>
        <w:ind w:left="120" w:right="360" w:firstLine="831"/>
        <w:spacing w:after="0" w:line="275" w:lineRule="auto"/>
        <w:rPr>
          <w:sz w:val="20"/>
          <w:szCs w:val="20"/>
          <w:color w:val="auto"/>
        </w:rPr>
      </w:pPr>
      <w:r>
        <w:rPr>
          <w:rFonts w:ascii="Arial" w:cs="Arial" w:eastAsia="Arial" w:hAnsi="Arial"/>
          <w:sz w:val="19"/>
          <w:szCs w:val="19"/>
          <w:color w:val="auto"/>
        </w:rPr>
        <w:t>Certain capitalized terms used in this Release are defined in the Executive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I have executed and of which this Release is a part.</w:t>
      </w:r>
    </w:p>
    <w:p>
      <w:pPr>
        <w:spacing w:after="0" w:line="9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 hereby confirm my obligations under the Confidentiality Agreement (or other comparable agreement that I have signed, if any).</w:t>
      </w:r>
    </w:p>
    <w:p>
      <w:pPr>
        <w:spacing w:after="0" w:line="186" w:lineRule="exact"/>
        <w:rPr>
          <w:sz w:val="20"/>
          <w:szCs w:val="20"/>
          <w:color w:val="auto"/>
        </w:rPr>
      </w:pPr>
    </w:p>
    <w:p>
      <w:pPr>
        <w:ind w:left="120" w:firstLine="846"/>
        <w:spacing w:after="0" w:line="261"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1" w:lineRule="exact"/>
        <w:rPr>
          <w:sz w:val="20"/>
          <w:szCs w:val="20"/>
          <w:color w:val="auto"/>
        </w:rPr>
      </w:pPr>
    </w:p>
    <w:p>
      <w:pPr>
        <w:ind w:left="120" w:right="40" w:firstLine="846"/>
        <w:spacing w:after="0" w:line="268"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7804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[Type here]</w:t>
      </w:r>
    </w:p>
    <w:p>
      <w:pPr>
        <w:spacing w:after="0" w:line="387"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color w:val="auto"/>
        </w:rPr>
        <w:t>earlier); (D) I have seven (7) days following my execution of this Release to revoke the Release by providing a written notice of revocation to the Company’s Chief 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98" w:lineRule="exact"/>
        <w:rPr>
          <w:sz w:val="20"/>
          <w:szCs w:val="20"/>
          <w:color w:val="auto"/>
        </w:rPr>
      </w:pPr>
    </w:p>
    <w:p>
      <w:pPr>
        <w:jc w:val="both"/>
        <w:ind w:left="120" w:right="220" w:firstLine="831"/>
        <w:spacing w:after="0" w:line="305"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149" w:lineRule="exact"/>
        <w:rPr>
          <w:sz w:val="20"/>
          <w:szCs w:val="20"/>
          <w:color w:val="auto"/>
        </w:rPr>
      </w:pPr>
    </w:p>
    <w:p>
      <w:pPr>
        <w:ind w:left="120" w:right="280" w:firstLine="846"/>
        <w:spacing w:after="0" w:line="252" w:lineRule="auto"/>
        <w:rPr>
          <w:sz w:val="20"/>
          <w:szCs w:val="20"/>
          <w:color w:val="auto"/>
        </w:rPr>
      </w:pPr>
      <w:r>
        <w:rPr>
          <w:rFonts w:ascii="Arial" w:cs="Arial" w:eastAsia="Arial" w:hAnsi="Arial"/>
          <w:sz w:val="19"/>
          <w:szCs w:val="19"/>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01"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Signature</w:t>
      </w:r>
    </w:p>
    <w:p>
      <w:pPr>
        <w:spacing w:after="0" w:line="176"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Printed Name</w:t>
      </w:r>
    </w:p>
    <w:p>
      <w:pPr>
        <w:spacing w:after="0" w:line="200" w:lineRule="exact"/>
        <w:rPr>
          <w:sz w:val="20"/>
          <w:szCs w:val="20"/>
          <w:color w:val="auto"/>
        </w:rPr>
      </w:pPr>
    </w:p>
    <w:p>
      <w:pPr>
        <w:spacing w:after="0" w:line="278" w:lineRule="exact"/>
        <w:rPr>
          <w:sz w:val="20"/>
          <w:szCs w:val="20"/>
          <w:color w:val="auto"/>
        </w:rPr>
      </w:pPr>
    </w:p>
    <w:p>
      <w:pPr>
        <w:jc w:val="center"/>
        <w:ind w:right="140"/>
        <w:spacing w:after="0"/>
        <w:rPr>
          <w:sz w:val="20"/>
          <w:szCs w:val="20"/>
          <w:color w:val="auto"/>
        </w:rPr>
      </w:pPr>
      <w:r>
        <w:rPr>
          <w:rFonts w:ascii="Arial" w:cs="Arial" w:eastAsia="Arial" w:hAnsi="Arial"/>
          <w:sz w:val="19"/>
          <w:szCs w:val="19"/>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C-2</w:t>
      </w:r>
    </w:p>
    <w:p>
      <w:pPr>
        <w:sectPr>
          <w:pgSz w:w="11900" w:h="16838" w:orient="portrait"/>
          <w:cols w:equalWidth="0" w:num="1">
            <w:col w:w="11020"/>
          </w:cols>
          <w:pgMar w:left="320" w:top="122" w:right="5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9"/>
          <w:szCs w:val="19"/>
          <w:color w:val="auto"/>
        </w:rPr>
        <w:t>Exhibit 10.19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SYNDAX PHARMACEUTICALS,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&amp; RESTATED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NON-EMPLOYEE DIRECTOR COMPENSATION POLICY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Effective: February 2, 2022</w:t>
      </w:r>
    </w:p>
    <w:p>
      <w:pPr>
        <w:spacing w:after="0" w:line="234"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who is not also serving as an employee of Syndax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any of its subsidiaries will receive the compensation described in this Amended and Restated Non-Employee Director Compensation Policy for his or her Board service. This policy may be amended at any time in the sole discretion of the Board.</w:t>
      </w:r>
    </w:p>
    <w:p>
      <w:pPr>
        <w:spacing w:after="0" w:line="16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19"/>
          <w:szCs w:val="19"/>
          <w:color w:val="auto"/>
        </w:rPr>
        <w:t>Each non-employee director serving on the Board of the Company will receive an annual base cash fee for his or her services of $41,400. Each non-employee director other than the non-executive chairperson of the Board (the “</w:t>
      </w:r>
      <w:r>
        <w:rPr>
          <w:rFonts w:ascii="Arial" w:cs="Arial" w:eastAsia="Arial" w:hAnsi="Arial"/>
          <w:sz w:val="19"/>
          <w:szCs w:val="19"/>
          <w:b w:val="1"/>
          <w:bCs w:val="1"/>
          <w:i w:val="1"/>
          <w:iCs w:val="1"/>
          <w:color w:val="auto"/>
        </w:rPr>
        <w:t>Chair</w:t>
      </w:r>
      <w:r>
        <w:rPr>
          <w:rFonts w:ascii="Arial" w:cs="Arial" w:eastAsia="Arial" w:hAnsi="Arial"/>
          <w:sz w:val="19"/>
          <w:szCs w:val="19"/>
          <w:color w:val="auto"/>
        </w:rPr>
        <w:t>”) shall also receive an annual award of deferred settlement restricted stock units to purchase 16,000 shares and the Chair shall also receive an annual award of deferred settlement restricted stock units to purchase 32,000 shares (each as adjusted for stock splits, stock dividends, recapitalization and similar events) of the Company’s common stock on the same date that the Board awards annual stock option grants to the Company’s executive officers (each an “</w:t>
      </w:r>
      <w:r>
        <w:rPr>
          <w:rFonts w:ascii="Arial" w:cs="Arial" w:eastAsia="Arial" w:hAnsi="Arial"/>
          <w:sz w:val="19"/>
          <w:szCs w:val="19"/>
          <w:b w:val="1"/>
          <w:bCs w:val="1"/>
          <w:i w:val="1"/>
          <w:iCs w:val="1"/>
          <w:color w:val="auto"/>
        </w:rPr>
        <w:t>Annual Option Award</w:t>
      </w:r>
      <w:r>
        <w:rPr>
          <w:rFonts w:ascii="Arial" w:cs="Arial" w:eastAsia="Arial" w:hAnsi="Arial"/>
          <w:sz w:val="19"/>
          <w:szCs w:val="19"/>
          <w:color w:val="auto"/>
        </w:rPr>
        <w:t>”). Each Annual Option Award will vest on the one-year anniversary of the date of grant, subject to the director’s continued service to the Company.</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Newly appointed non-employee directors will receive at the time of his or her appointment to the Board, a one-time initial award of options to purchase 35,000 shares (as adjusted for stock splits, stock dividends, recapitalization and similar events) of the Company’s common stock (the “</w:t>
      </w:r>
      <w:r>
        <w:rPr>
          <w:rFonts w:ascii="Arial" w:cs="Arial" w:eastAsia="Arial" w:hAnsi="Arial"/>
          <w:sz w:val="19"/>
          <w:szCs w:val="19"/>
          <w:b w:val="1"/>
          <w:bCs w:val="1"/>
          <w:i w:val="1"/>
          <w:iCs w:val="1"/>
          <w:color w:val="auto"/>
        </w:rPr>
        <w:t>New Director Award</w:t>
      </w:r>
      <w:r>
        <w:rPr>
          <w:rFonts w:ascii="Arial" w:cs="Arial" w:eastAsia="Arial" w:hAnsi="Arial"/>
          <w:sz w:val="19"/>
          <w:szCs w:val="19"/>
          <w:color w:val="auto"/>
        </w:rPr>
        <w:t>”). Each New Director Award will vest monthly over a three-year period.</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Chair will also receive an annual cash retainer of $72,450 for his or her service in such role.</w:t>
      </w:r>
    </w:p>
    <w:p>
      <w:pPr>
        <w:spacing w:after="0" w:line="22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Each non-employee director, other than the chairperson of such committee, who serves on the following committees will receive an annual cash retainer, for each committee on which he or she serves, as listed below:</w:t>
      </w:r>
    </w:p>
    <w:p>
      <w:pPr>
        <w:spacing w:after="0" w:line="170" w:lineRule="exact"/>
        <w:rPr>
          <w:sz w:val="20"/>
          <w:szCs w:val="20"/>
          <w:color w:val="auto"/>
        </w:rPr>
      </w:pPr>
    </w:p>
    <w:p>
      <w:pPr>
        <w:ind w:left="1280" w:hanging="421"/>
        <w:spacing w:after="0"/>
        <w:tabs>
          <w:tab w:leader="none" w:pos="12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Audit committee – $10,350</w:t>
      </w:r>
    </w:p>
    <w:p>
      <w:pPr>
        <w:spacing w:after="0" w:line="20" w:lineRule="exact"/>
        <w:rPr>
          <w:rFonts w:ascii="Arial" w:cs="Arial" w:eastAsia="Arial" w:hAnsi="Arial"/>
          <w:sz w:val="19"/>
          <w:szCs w:val="19"/>
          <w:color w:val="auto"/>
        </w:rPr>
      </w:pPr>
    </w:p>
    <w:p>
      <w:pPr>
        <w:ind w:left="1280" w:hanging="421"/>
        <w:spacing w:after="0"/>
        <w:tabs>
          <w:tab w:leader="none" w:pos="12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Compensation committee – $7,765</w:t>
      </w:r>
    </w:p>
    <w:p>
      <w:pPr>
        <w:spacing w:after="0" w:line="4" w:lineRule="exact"/>
        <w:rPr>
          <w:rFonts w:ascii="Arial" w:cs="Arial" w:eastAsia="Arial" w:hAnsi="Arial"/>
          <w:sz w:val="19"/>
          <w:szCs w:val="19"/>
          <w:color w:val="auto"/>
        </w:rPr>
      </w:pPr>
    </w:p>
    <w:p>
      <w:pPr>
        <w:ind w:left="1280" w:hanging="421"/>
        <w:spacing w:after="0"/>
        <w:tabs>
          <w:tab w:leader="none" w:pos="12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Science &amp; Technology committee – $7,765</w:t>
      </w:r>
    </w:p>
    <w:p>
      <w:pPr>
        <w:spacing w:after="0" w:line="4" w:lineRule="exact"/>
        <w:rPr>
          <w:rFonts w:ascii="Arial" w:cs="Arial" w:eastAsia="Arial" w:hAnsi="Arial"/>
          <w:sz w:val="19"/>
          <w:szCs w:val="19"/>
          <w:color w:val="auto"/>
        </w:rPr>
      </w:pPr>
    </w:p>
    <w:p>
      <w:pPr>
        <w:ind w:left="1280" w:hanging="421"/>
        <w:spacing w:after="0"/>
        <w:tabs>
          <w:tab w:leader="none" w:pos="12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Nominating and corporate governance committee – $5,175</w:t>
      </w:r>
    </w:p>
    <w:p>
      <w:pPr>
        <w:spacing w:after="0" w:line="212"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Each chairperson of the audit, compensation, nominating and corporate governance and science and technology committees will receive an additional annual cash retainer as follows:</w:t>
      </w:r>
    </w:p>
    <w:p>
      <w:pPr>
        <w:spacing w:after="0" w:line="170" w:lineRule="exact"/>
        <w:rPr>
          <w:sz w:val="20"/>
          <w:szCs w:val="20"/>
          <w:color w:val="auto"/>
        </w:rPr>
      </w:pPr>
    </w:p>
    <w:p>
      <w:pPr>
        <w:ind w:left="1280" w:hanging="421"/>
        <w:spacing w:after="0"/>
        <w:tabs>
          <w:tab w:leader="none" w:pos="12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Audit committee – $20,700</w:t>
      </w:r>
    </w:p>
    <w:p>
      <w:pPr>
        <w:spacing w:after="0" w:line="20" w:lineRule="exact"/>
        <w:rPr>
          <w:rFonts w:ascii="Arial" w:cs="Arial" w:eastAsia="Arial" w:hAnsi="Arial"/>
          <w:sz w:val="19"/>
          <w:szCs w:val="19"/>
          <w:color w:val="auto"/>
        </w:rPr>
      </w:pPr>
    </w:p>
    <w:p>
      <w:pPr>
        <w:ind w:left="1280" w:hanging="421"/>
        <w:spacing w:after="0"/>
        <w:tabs>
          <w:tab w:leader="none" w:pos="12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Compensation committee – $15,525</w:t>
      </w:r>
    </w:p>
    <w:p>
      <w:pPr>
        <w:spacing w:after="0" w:line="4" w:lineRule="exact"/>
        <w:rPr>
          <w:rFonts w:ascii="Arial" w:cs="Arial" w:eastAsia="Arial" w:hAnsi="Arial"/>
          <w:sz w:val="19"/>
          <w:szCs w:val="19"/>
          <w:color w:val="auto"/>
        </w:rPr>
      </w:pPr>
    </w:p>
    <w:p>
      <w:pPr>
        <w:ind w:left="1280" w:hanging="421"/>
        <w:spacing w:after="0"/>
        <w:tabs>
          <w:tab w:leader="none" w:pos="12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Science &amp; Technology committee – $15,525</w:t>
      </w:r>
    </w:p>
    <w:p>
      <w:pPr>
        <w:spacing w:after="0" w:line="4" w:lineRule="exact"/>
        <w:rPr>
          <w:rFonts w:ascii="Arial" w:cs="Arial" w:eastAsia="Arial" w:hAnsi="Arial"/>
          <w:sz w:val="19"/>
          <w:szCs w:val="19"/>
          <w:color w:val="auto"/>
        </w:rPr>
      </w:pPr>
    </w:p>
    <w:p>
      <w:pPr>
        <w:ind w:left="1280" w:hanging="421"/>
        <w:spacing w:after="0"/>
        <w:tabs>
          <w:tab w:leader="none" w:pos="12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Nominating and corporate governance committee – $10,350</w:t>
      </w:r>
    </w:p>
    <w:p>
      <w:pPr>
        <w:spacing w:after="0" w:line="212"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The Company will also reimburse each of the directors for his or her travel expenses incurred in connection with his or her attendance at Board and committee meetings. All cash retainers will be paid in equal quarterly installments.</w:t>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9"/>
          <w:szCs w:val="19"/>
          <w:color w:val="auto"/>
        </w:rPr>
        <w:t>Exhibit 10.35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LOAN AND SECURITY AGREEMENT</w:t>
      </w:r>
    </w:p>
    <w:p>
      <w:pPr>
        <w:spacing w:after="0" w:line="199"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19"/>
          <w:szCs w:val="19"/>
          <w:color w:val="auto"/>
        </w:rPr>
        <w:t>THIS FIRST AMENDMENT TO LOAN AND SECURITY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December 22, 2021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 is entered into by and among SYNDAX PHARMACEUTICALS, INC., a Delaware corporation, and each of its Qualified Subsidiaries (hereinafter collectively referred to as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parties to this Agreement (collectively, referred to as the “</w:t>
      </w:r>
      <w:r>
        <w:rPr>
          <w:rFonts w:ascii="Arial" w:cs="Arial" w:eastAsia="Arial" w:hAnsi="Arial"/>
          <w:sz w:val="19"/>
          <w:szCs w:val="19"/>
          <w:u w:val="single" w:color="auto"/>
          <w:color w:val="auto"/>
        </w:rPr>
        <w:t>Lenders</w:t>
      </w:r>
      <w:r>
        <w:rPr>
          <w:rFonts w:ascii="Arial" w:cs="Arial" w:eastAsia="Arial" w:hAnsi="Arial"/>
          <w:sz w:val="19"/>
          <w:szCs w:val="19"/>
          <w:color w:val="auto"/>
        </w:rPr>
        <w:t>”) and HERCULES CAPITAL, INC., a Maryland corporation, in its capacity as administrative agent and collateral agent for itself and the Lenders (together with its successors and assigns,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80" w:lineRule="exact"/>
        <w:rPr>
          <w:sz w:val="20"/>
          <w:szCs w:val="20"/>
          <w:color w:val="auto"/>
        </w:rPr>
      </w:pPr>
    </w:p>
    <w:p>
      <w:pPr>
        <w:jc w:val="both"/>
        <w:ind w:firstLine="869"/>
        <w:spacing w:after="0" w:line="260" w:lineRule="auto"/>
        <w:tabs>
          <w:tab w:leader="none" w:pos="1665" w:val="left"/>
        </w:tabs>
        <w:numPr>
          <w:ilvl w:val="0"/>
          <w:numId w:val="78"/>
        </w:numPr>
        <w:rPr>
          <w:rFonts w:ascii="Arial" w:cs="Arial" w:eastAsia="Arial" w:hAnsi="Arial"/>
          <w:sz w:val="18"/>
          <w:szCs w:val="18"/>
          <w:color w:val="auto"/>
        </w:rPr>
      </w:pPr>
      <w:r>
        <w:rPr>
          <w:rFonts w:ascii="Arial" w:cs="Arial" w:eastAsia="Arial" w:hAnsi="Arial"/>
          <w:sz w:val="19"/>
          <w:szCs w:val="19"/>
          <w:color w:val="auto"/>
        </w:rPr>
        <w:t>Borrower, Lenders and Agent are parties to that certain Loan and Security Agreement, dated as of February 7, 2020 (the “</w:t>
      </w:r>
      <w:r>
        <w:rPr>
          <w:rFonts w:ascii="Arial" w:cs="Arial" w:eastAsia="Arial" w:hAnsi="Arial"/>
          <w:sz w:val="19"/>
          <w:szCs w:val="19"/>
          <w:u w:val="single" w:color="auto"/>
          <w:color w:val="auto"/>
        </w:rPr>
        <w:t>Existing Loan Agreement</w:t>
      </w:r>
      <w:r>
        <w:rPr>
          <w:rFonts w:ascii="Arial" w:cs="Arial" w:eastAsia="Arial" w:hAnsi="Arial"/>
          <w:sz w:val="19"/>
          <w:szCs w:val="19"/>
          <w:color w:val="auto"/>
        </w:rPr>
        <w:t>”; and the Existing Loan Agreement, as amended by this Amendment and as further amended, restated, supplemented or otherwise modified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w:t>
      </w:r>
    </w:p>
    <w:p>
      <w:pPr>
        <w:spacing w:after="0" w:line="170" w:lineRule="exact"/>
        <w:rPr>
          <w:rFonts w:ascii="Arial" w:cs="Arial" w:eastAsia="Arial" w:hAnsi="Arial"/>
          <w:sz w:val="18"/>
          <w:szCs w:val="18"/>
          <w:color w:val="auto"/>
        </w:rPr>
      </w:pPr>
    </w:p>
    <w:p>
      <w:pPr>
        <w:ind w:left="1660" w:hanging="791"/>
        <w:spacing w:after="0"/>
        <w:tabs>
          <w:tab w:leader="none" w:pos="1660" w:val="left"/>
        </w:tabs>
        <w:numPr>
          <w:ilvl w:val="0"/>
          <w:numId w:val="78"/>
        </w:numPr>
        <w:rPr>
          <w:rFonts w:ascii="Arial" w:cs="Arial" w:eastAsia="Arial" w:hAnsi="Arial"/>
          <w:sz w:val="17"/>
          <w:szCs w:val="17"/>
          <w:color w:val="auto"/>
        </w:rPr>
      </w:pPr>
      <w:r>
        <w:rPr>
          <w:rFonts w:ascii="Arial" w:cs="Arial" w:eastAsia="Arial" w:hAnsi="Arial"/>
          <w:sz w:val="18"/>
          <w:szCs w:val="18"/>
          <w:color w:val="auto"/>
        </w:rPr>
        <w:t>Borrower, Lenders and Agent desire to modify the terms of the Existing Loan Agreement as set forth in this Amendment.</w:t>
      </w:r>
    </w:p>
    <w:p>
      <w:pPr>
        <w:spacing w:after="0" w:line="2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Definitions; Interpretation.</w:t>
      </w:r>
    </w:p>
    <w:p>
      <w:pPr>
        <w:spacing w:after="0" w:line="227" w:lineRule="exact"/>
        <w:rPr>
          <w:sz w:val="20"/>
          <w:szCs w:val="20"/>
          <w:color w:val="auto"/>
        </w:rPr>
      </w:pPr>
    </w:p>
    <w:p>
      <w:pPr>
        <w:ind w:firstLine="869"/>
        <w:spacing w:after="0" w:line="281" w:lineRule="auto"/>
        <w:tabs>
          <w:tab w:leader="none" w:pos="1689" w:val="left"/>
        </w:tabs>
        <w:numPr>
          <w:ilvl w:val="0"/>
          <w:numId w:val="79"/>
        </w:numPr>
        <w:rPr>
          <w:rFonts w:ascii="Arial" w:cs="Arial" w:eastAsia="Arial" w:hAnsi="Arial"/>
          <w:sz w:val="18"/>
          <w:szCs w:val="18"/>
          <w:color w:val="auto"/>
        </w:rPr>
      </w:pPr>
      <w:r>
        <w:rPr>
          <w:rFonts w:ascii="Arial" w:cs="Arial" w:eastAsia="Arial" w:hAnsi="Arial"/>
          <w:sz w:val="19"/>
          <w:szCs w:val="19"/>
          <w:b w:val="1"/>
          <w:bCs w:val="1"/>
          <w:color w:val="auto"/>
        </w:rPr>
        <w:t>Terms Defined in Loan Agreement</w:t>
      </w:r>
      <w:r>
        <w:rPr>
          <w:rFonts w:ascii="Arial" w:cs="Arial" w:eastAsia="Arial" w:hAnsi="Arial"/>
          <w:sz w:val="19"/>
          <w:szCs w:val="19"/>
          <w:color w:val="auto"/>
        </w:rPr>
        <w:t>. All capitalized terms used in this Amendment (including in the recitals hereof) and</w:t>
      </w:r>
      <w:r>
        <w:rPr>
          <w:rFonts w:ascii="Arial" w:cs="Arial" w:eastAsia="Arial" w:hAnsi="Arial"/>
          <w:sz w:val="19"/>
          <w:szCs w:val="19"/>
          <w:b w:val="1"/>
          <w:bCs w:val="1"/>
          <w:color w:val="auto"/>
        </w:rPr>
        <w:t xml:space="preserve"> </w:t>
      </w:r>
      <w:r>
        <w:rPr>
          <w:rFonts w:ascii="Arial" w:cs="Arial" w:eastAsia="Arial" w:hAnsi="Arial"/>
          <w:sz w:val="19"/>
          <w:szCs w:val="19"/>
          <w:color w:val="auto"/>
        </w:rPr>
        <w:t>not otherwise defined herein shall have the meanings assigned to them in the Loan Agreement.</w:t>
      </w:r>
    </w:p>
    <w:p>
      <w:pPr>
        <w:spacing w:after="0" w:line="145" w:lineRule="exact"/>
        <w:rPr>
          <w:rFonts w:ascii="Arial" w:cs="Arial" w:eastAsia="Arial" w:hAnsi="Arial"/>
          <w:sz w:val="18"/>
          <w:szCs w:val="18"/>
          <w:color w:val="auto"/>
        </w:rPr>
      </w:pPr>
    </w:p>
    <w:p>
      <w:pPr>
        <w:ind w:firstLine="869"/>
        <w:spacing w:after="0" w:line="281" w:lineRule="auto"/>
        <w:tabs>
          <w:tab w:leader="none" w:pos="1699" w:val="left"/>
        </w:tabs>
        <w:numPr>
          <w:ilvl w:val="0"/>
          <w:numId w:val="79"/>
        </w:numPr>
        <w:rPr>
          <w:rFonts w:ascii="Arial" w:cs="Arial" w:eastAsia="Arial" w:hAnsi="Arial"/>
          <w:sz w:val="18"/>
          <w:szCs w:val="18"/>
          <w:color w:val="auto"/>
        </w:rPr>
      </w:pPr>
      <w:r>
        <w:rPr>
          <w:rFonts w:ascii="Arial" w:cs="Arial" w:eastAsia="Arial" w:hAnsi="Arial"/>
          <w:sz w:val="19"/>
          <w:szCs w:val="19"/>
          <w:b w:val="1"/>
          <w:bCs w:val="1"/>
          <w:color w:val="auto"/>
        </w:rPr>
        <w:t>Rules of Construction</w:t>
      </w:r>
      <w:r>
        <w:rPr>
          <w:rFonts w:ascii="Arial" w:cs="Arial" w:eastAsia="Arial" w:hAnsi="Arial"/>
          <w:sz w:val="19"/>
          <w:szCs w:val="19"/>
          <w:color w:val="auto"/>
        </w:rPr>
        <w:t>. The rules of construction that appear in the last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Loan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applicable to this Amendment and are incorporated herein by this reference.</w:t>
      </w:r>
    </w:p>
    <w:p>
      <w:pPr>
        <w:spacing w:after="0" w:line="14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Amendments to the Loan Agreement.</w:t>
      </w:r>
    </w:p>
    <w:p>
      <w:pPr>
        <w:spacing w:after="0" w:line="233"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8"/>
          <w:szCs w:val="18"/>
          <w:color w:val="auto"/>
        </w:rPr>
        <w:t xml:space="preserve">Upon satisfaction of the conditions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the Existing Loan Agreement is hereby amended as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follows:</w:t>
      </w:r>
    </w:p>
    <w:p>
      <w:pPr>
        <w:spacing w:after="0" w:line="199" w:lineRule="exact"/>
        <w:rPr>
          <w:sz w:val="20"/>
          <w:szCs w:val="20"/>
          <w:color w:val="auto"/>
        </w:rPr>
      </w:pPr>
    </w:p>
    <w:p>
      <w:pPr>
        <w:ind w:left="2520" w:hanging="787"/>
        <w:spacing w:after="0"/>
        <w:tabs>
          <w:tab w:leader="none" w:pos="2520" w:val="left"/>
        </w:tabs>
        <w:numPr>
          <w:ilvl w:val="1"/>
          <w:numId w:val="80"/>
        </w:numPr>
        <w:rPr>
          <w:rFonts w:ascii="Arial" w:cs="Arial" w:eastAsia="Arial" w:hAnsi="Arial"/>
          <w:sz w:val="18"/>
          <w:szCs w:val="18"/>
          <w:color w:val="auto"/>
        </w:rPr>
      </w:pP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sets forth a clean copy of the Loan Agreement as amended hereby;</w:t>
      </w:r>
    </w:p>
    <w:p>
      <w:pPr>
        <w:spacing w:after="0" w:line="215" w:lineRule="exact"/>
        <w:rPr>
          <w:rFonts w:ascii="Arial" w:cs="Arial" w:eastAsia="Arial" w:hAnsi="Arial"/>
          <w:sz w:val="18"/>
          <w:szCs w:val="18"/>
          <w:color w:val="auto"/>
        </w:rPr>
      </w:pPr>
    </w:p>
    <w:p>
      <w:pPr>
        <w:jc w:val="both"/>
        <w:ind w:firstLine="1733"/>
        <w:spacing w:after="0" w:line="260" w:lineRule="auto"/>
        <w:tabs>
          <w:tab w:leader="none" w:pos="2573" w:val="left"/>
        </w:tabs>
        <w:numPr>
          <w:ilvl w:val="1"/>
          <w:numId w:val="80"/>
        </w:numPr>
        <w:rPr>
          <w:rFonts w:ascii="Arial" w:cs="Arial" w:eastAsia="Arial" w:hAnsi="Arial"/>
          <w:sz w:val="18"/>
          <w:szCs w:val="18"/>
          <w:color w:val="auto"/>
        </w:rPr>
      </w:pPr>
      <w:r>
        <w:rPr>
          <w:rFonts w:ascii="Arial" w:cs="Arial" w:eastAsia="Arial" w:hAnsi="Arial"/>
          <w:sz w:val="19"/>
          <w:szCs w:val="19"/>
          <w:color w:val="auto"/>
        </w:rPr>
        <w:t xml:space="preserve">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deletions of the text in the Existing Loan Agreement (including, to the extent included in such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each Schedule or Exhibit to the Existing Loan Agreement) are indicated by </w:t>
      </w:r>
      <w:r>
        <w:rPr>
          <w:rFonts w:ascii="Arial" w:cs="Arial" w:eastAsia="Arial" w:hAnsi="Arial"/>
          <w:sz w:val="19"/>
          <w:szCs w:val="19"/>
          <w:color w:val="auto"/>
          <w:strike w:val="1"/>
        </w:rPr>
        <w:t>struck-through text</w:t>
      </w:r>
      <w:r>
        <w:rPr>
          <w:rFonts w:ascii="Arial" w:cs="Arial" w:eastAsia="Arial" w:hAnsi="Arial"/>
          <w:sz w:val="19"/>
          <w:szCs w:val="19"/>
          <w:color w:val="auto"/>
        </w:rPr>
        <w:t xml:space="preserve">, and insertions of text are indicated by </w:t>
      </w:r>
      <w:r>
        <w:rPr>
          <w:rFonts w:ascii="Arial" w:cs="Arial" w:eastAsia="Arial" w:hAnsi="Arial"/>
          <w:sz w:val="19"/>
          <w:szCs w:val="19"/>
          <w:b w:val="1"/>
          <w:bCs w:val="1"/>
          <w:u w:val="single" w:color="auto"/>
          <w:color w:val="auto"/>
        </w:rPr>
        <w:t>bold, double-underlined text</w:t>
      </w:r>
      <w:r>
        <w:rPr>
          <w:rFonts w:ascii="Arial" w:cs="Arial" w:eastAsia="Arial" w:hAnsi="Arial"/>
          <w:sz w:val="19"/>
          <w:szCs w:val="19"/>
          <w:color w:val="auto"/>
        </w:rPr>
        <w:t>.</w:t>
      </w:r>
    </w:p>
    <w:p>
      <w:pPr>
        <w:spacing w:after="0" w:line="164" w:lineRule="exact"/>
        <w:rPr>
          <w:rFonts w:ascii="Arial" w:cs="Arial" w:eastAsia="Arial" w:hAnsi="Arial"/>
          <w:sz w:val="18"/>
          <w:szCs w:val="18"/>
          <w:color w:val="auto"/>
        </w:rPr>
      </w:pPr>
    </w:p>
    <w:p>
      <w:pPr>
        <w:jc w:val="both"/>
        <w:ind w:firstLine="869"/>
        <w:spacing w:after="0" w:line="263" w:lineRule="auto"/>
        <w:tabs>
          <w:tab w:leader="none" w:pos="1699" w:val="left"/>
        </w:tabs>
        <w:numPr>
          <w:ilvl w:val="0"/>
          <w:numId w:val="81"/>
        </w:numPr>
        <w:rPr>
          <w:rFonts w:ascii="Arial" w:cs="Arial" w:eastAsia="Arial" w:hAnsi="Arial"/>
          <w:sz w:val="18"/>
          <w:szCs w:val="18"/>
          <w:color w:val="auto"/>
        </w:rPr>
      </w:pPr>
      <w:r>
        <w:rPr>
          <w:rFonts w:ascii="Arial" w:cs="Arial" w:eastAsia="Arial" w:hAnsi="Arial"/>
          <w:sz w:val="19"/>
          <w:szCs w:val="19"/>
          <w:b w:val="1"/>
          <w:bCs w:val="1"/>
          <w:color w:val="auto"/>
        </w:rPr>
        <w:t>References Within Existing Loan Agreement</w:t>
      </w:r>
      <w:r>
        <w:rPr>
          <w:rFonts w:ascii="Arial" w:cs="Arial" w:eastAsia="Arial" w:hAnsi="Arial"/>
          <w:sz w:val="19"/>
          <w:szCs w:val="19"/>
          <w:color w:val="auto"/>
        </w:rPr>
        <w:t>. Each reference in the Existing Loan Agreement to “this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words “hereof,” “herein,” “hereunder,” or words of like import, shall mean and be a reference to the Existing Loan Agreement as amended by this Amendment. This Amendment shall be a Loan Document.</w:t>
      </w:r>
    </w:p>
    <w:p>
      <w:pPr>
        <w:spacing w:after="0" w:line="162"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9"/>
          <w:szCs w:val="19"/>
          <w:b w:val="1"/>
          <w:bCs w:val="1"/>
          <w:color w:val="auto"/>
        </w:rPr>
        <w:t>Conditions of Effectiveness</w:t>
      </w:r>
      <w:r>
        <w:rPr>
          <w:rFonts w:ascii="Arial" w:cs="Arial" w:eastAsia="Arial" w:hAnsi="Arial"/>
          <w:sz w:val="19"/>
          <w:szCs w:val="19"/>
          <w:color w:val="auto"/>
        </w:rPr>
        <w:t>. The effectiveness of</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9"/>
          <w:szCs w:val="19"/>
          <w:color w:val="auto"/>
        </w:rPr>
        <w:t>of this Amendment shall be subject to Agent’s receipt of the</w:t>
      </w:r>
      <w:r>
        <w:rPr>
          <w:rFonts w:ascii="Arial" w:cs="Arial" w:eastAsia="Arial" w:hAnsi="Arial"/>
          <w:sz w:val="18"/>
          <w:szCs w:val="18"/>
          <w:b w:val="1"/>
          <w:bCs w:val="1"/>
          <w:color w:val="auto"/>
        </w:rPr>
        <w:t xml:space="preserve"> </w:t>
      </w:r>
      <w:r>
        <w:rPr>
          <w:rFonts w:ascii="Arial" w:cs="Arial" w:eastAsia="Arial" w:hAnsi="Arial"/>
          <w:sz w:val="19"/>
          <w:szCs w:val="19"/>
          <w:color w:val="auto"/>
        </w:rPr>
        <w:t>following documents, in form and substance satisfactory to Agent, or, as applicable, the following conditions being met:</w:t>
      </w:r>
    </w:p>
    <w:p>
      <w:pPr>
        <w:spacing w:after="0" w:line="152" w:lineRule="exact"/>
        <w:rPr>
          <w:sz w:val="20"/>
          <w:szCs w:val="20"/>
          <w:color w:val="auto"/>
        </w:rPr>
      </w:pPr>
    </w:p>
    <w:p>
      <w:pPr>
        <w:ind w:left="1700" w:hanging="831"/>
        <w:spacing w:after="0"/>
        <w:tabs>
          <w:tab w:leader="none" w:pos="1700" w:val="left"/>
        </w:tabs>
        <w:numPr>
          <w:ilvl w:val="0"/>
          <w:numId w:val="82"/>
        </w:numPr>
        <w:rPr>
          <w:rFonts w:ascii="Arial" w:cs="Arial" w:eastAsia="Arial" w:hAnsi="Arial"/>
          <w:sz w:val="18"/>
          <w:szCs w:val="18"/>
          <w:color w:val="auto"/>
        </w:rPr>
      </w:pPr>
      <w:r>
        <w:rPr>
          <w:rFonts w:ascii="Arial" w:cs="Arial" w:eastAsia="Arial" w:hAnsi="Arial"/>
          <w:sz w:val="19"/>
          <w:szCs w:val="19"/>
          <w:color w:val="auto"/>
        </w:rPr>
        <w:t>this Amendment, executed by Agent, each Lender and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293370</wp:posOffset>
            </wp:positionV>
            <wp:extent cx="717804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jc w:val="both"/>
        <w:ind w:firstLine="869"/>
        <w:spacing w:after="0" w:line="270" w:lineRule="auto"/>
        <w:tabs>
          <w:tab w:leader="none" w:pos="1699" w:val="left"/>
        </w:tabs>
        <w:numPr>
          <w:ilvl w:val="0"/>
          <w:numId w:val="83"/>
        </w:numPr>
        <w:rPr>
          <w:rFonts w:ascii="Arial" w:cs="Arial" w:eastAsia="Arial" w:hAnsi="Arial"/>
          <w:sz w:val="17"/>
          <w:szCs w:val="17"/>
          <w:color w:val="auto"/>
        </w:rPr>
      </w:pPr>
      <w:r>
        <w:rPr>
          <w:rFonts w:ascii="Arial" w:cs="Arial" w:eastAsia="Arial" w:hAnsi="Arial"/>
          <w:sz w:val="18"/>
          <w:szCs w:val="18"/>
          <w:color w:val="auto"/>
        </w:rPr>
        <w:t>a duly executed certificate of an officer of Borrower certifying and attaching copies of (A) the certificate of formation, certified as of a recent date by the jurisdiction of organization of Borrower and as in effect as of the Amendment Effective Date; (B) the bylaws, operating agreement or similar governing document of Borrower, as in effect as of the Amendment Effective Date; (C) resolutions of Borrower’s Board evidencing approval of this Amendment, as such resolutions remain in full force and effect as of the Amendment Effective Date; and (D) a schedule setting forth the name, title and specimen signature of officers or other authorized signers on behalf of Borrower;</w:t>
      </w:r>
    </w:p>
    <w:p>
      <w:pPr>
        <w:spacing w:after="0" w:line="163" w:lineRule="exact"/>
        <w:rPr>
          <w:rFonts w:ascii="Arial" w:cs="Arial" w:eastAsia="Arial" w:hAnsi="Arial"/>
          <w:sz w:val="17"/>
          <w:szCs w:val="17"/>
          <w:color w:val="auto"/>
        </w:rPr>
      </w:pPr>
    </w:p>
    <w:p>
      <w:pPr>
        <w:ind w:left="1700" w:hanging="831"/>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9"/>
          <w:szCs w:val="19"/>
          <w:color w:val="auto"/>
        </w:rPr>
        <w:t>a perfection certificate, executed by Borrower, in form and substance reasonably satisfactory to Agent;</w:t>
      </w:r>
    </w:p>
    <w:p>
      <w:pPr>
        <w:spacing w:after="0" w:line="215" w:lineRule="exact"/>
        <w:rPr>
          <w:rFonts w:ascii="Arial" w:cs="Arial" w:eastAsia="Arial" w:hAnsi="Arial"/>
          <w:sz w:val="18"/>
          <w:szCs w:val="18"/>
          <w:color w:val="auto"/>
        </w:rPr>
      </w:pPr>
    </w:p>
    <w:p>
      <w:pPr>
        <w:ind w:left="1700" w:hanging="831"/>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9"/>
          <w:szCs w:val="19"/>
          <w:color w:val="auto"/>
        </w:rPr>
        <w:t>a certificate of good standing for Borrower from its jurisdiction of organization;</w:t>
      </w:r>
    </w:p>
    <w:p>
      <w:pPr>
        <w:spacing w:after="0" w:line="215" w:lineRule="exact"/>
        <w:rPr>
          <w:rFonts w:ascii="Arial" w:cs="Arial" w:eastAsia="Arial" w:hAnsi="Arial"/>
          <w:sz w:val="18"/>
          <w:szCs w:val="18"/>
          <w:color w:val="auto"/>
        </w:rPr>
      </w:pPr>
    </w:p>
    <w:p>
      <w:pPr>
        <w:ind w:left="1700" w:hanging="831"/>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9"/>
          <w:szCs w:val="19"/>
          <w:color w:val="auto"/>
        </w:rPr>
        <w:t>such other documents as Agent may reasonably request;</w:t>
      </w:r>
    </w:p>
    <w:p>
      <w:pPr>
        <w:spacing w:after="0" w:line="215" w:lineRule="exact"/>
        <w:rPr>
          <w:rFonts w:ascii="Arial" w:cs="Arial" w:eastAsia="Arial" w:hAnsi="Arial"/>
          <w:sz w:val="18"/>
          <w:szCs w:val="18"/>
          <w:color w:val="auto"/>
        </w:rPr>
      </w:pPr>
    </w:p>
    <w:p>
      <w:pPr>
        <w:ind w:left="1680" w:hanging="811"/>
        <w:spacing w:after="0"/>
        <w:tabs>
          <w:tab w:leader="none" w:pos="1680" w:val="left"/>
        </w:tabs>
        <w:numPr>
          <w:ilvl w:val="0"/>
          <w:numId w:val="83"/>
        </w:numPr>
        <w:rPr>
          <w:rFonts w:ascii="Arial" w:cs="Arial" w:eastAsia="Arial" w:hAnsi="Arial"/>
          <w:sz w:val="16"/>
          <w:szCs w:val="16"/>
          <w:color w:val="auto"/>
        </w:rPr>
      </w:pPr>
      <w:r>
        <w:rPr>
          <w:rFonts w:ascii="Arial" w:cs="Arial" w:eastAsia="Arial" w:hAnsi="Arial"/>
          <w:sz w:val="17"/>
          <w:szCs w:val="17"/>
          <w:color w:val="auto"/>
        </w:rPr>
        <w:t>an amended and restated pledge agreement, executed by Agent, Borrower and acknowledged by Borrower’s subsidiaries</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party thereto;</w:t>
      </w:r>
    </w:p>
    <w:p>
      <w:pPr>
        <w:spacing w:after="0" w:line="199" w:lineRule="exact"/>
        <w:rPr>
          <w:rFonts w:ascii="Arial" w:cs="Arial" w:eastAsia="Arial" w:hAnsi="Arial"/>
          <w:sz w:val="16"/>
          <w:szCs w:val="16"/>
          <w:color w:val="auto"/>
        </w:rPr>
      </w:pPr>
    </w:p>
    <w:p>
      <w:pPr>
        <w:jc w:val="both"/>
        <w:ind w:firstLine="869"/>
        <w:spacing w:after="0" w:line="260" w:lineRule="auto"/>
        <w:tabs>
          <w:tab w:leader="none" w:pos="1699" w:val="left"/>
        </w:tabs>
        <w:numPr>
          <w:ilvl w:val="0"/>
          <w:numId w:val="83"/>
        </w:numPr>
        <w:rPr>
          <w:rFonts w:ascii="Arial" w:cs="Arial" w:eastAsia="Arial" w:hAnsi="Arial"/>
          <w:sz w:val="18"/>
          <w:szCs w:val="18"/>
          <w:color w:val="auto"/>
        </w:rPr>
      </w:pPr>
      <w:r>
        <w:rPr>
          <w:rFonts w:ascii="Arial" w:cs="Arial" w:eastAsia="Arial" w:hAnsi="Arial"/>
          <w:sz w:val="19"/>
          <w:szCs w:val="19"/>
          <w:color w:val="auto"/>
        </w:rPr>
        <w:t>evidence, satisfactory to Agent in its sole discretion, of the effectiveness of that certain Collaboration and License Agreement, dated as of September 24, 2021 (the “Incyte Collaboration Agreement”), by and between Borrower and Incyte Corporation, a Delaware corporation (“Incyte”);</w:t>
      </w:r>
    </w:p>
    <w:p>
      <w:pPr>
        <w:spacing w:after="0" w:line="170" w:lineRule="exact"/>
        <w:rPr>
          <w:rFonts w:ascii="Arial" w:cs="Arial" w:eastAsia="Arial" w:hAnsi="Arial"/>
          <w:sz w:val="18"/>
          <w:szCs w:val="18"/>
          <w:color w:val="auto"/>
        </w:rPr>
      </w:pPr>
    </w:p>
    <w:p>
      <w:pPr>
        <w:ind w:firstLine="869"/>
        <w:spacing w:after="0" w:line="275" w:lineRule="auto"/>
        <w:tabs>
          <w:tab w:leader="none" w:pos="1699" w:val="left"/>
        </w:tabs>
        <w:numPr>
          <w:ilvl w:val="0"/>
          <w:numId w:val="83"/>
        </w:numPr>
        <w:rPr>
          <w:rFonts w:ascii="Arial" w:cs="Arial" w:eastAsia="Arial" w:hAnsi="Arial"/>
          <w:sz w:val="18"/>
          <w:szCs w:val="18"/>
          <w:color w:val="auto"/>
        </w:rPr>
      </w:pPr>
      <w:r>
        <w:rPr>
          <w:rFonts w:ascii="Arial" w:cs="Arial" w:eastAsia="Arial" w:hAnsi="Arial"/>
          <w:sz w:val="19"/>
          <w:szCs w:val="19"/>
          <w:color w:val="auto"/>
        </w:rPr>
        <w:t>evidence, satisfactory to Agent in its sole discretion, that Borrower has received the initial license fee from Incyte pursuant to Section 8.1(a) of the Incyte Collaboration Agreement;</w:t>
      </w:r>
    </w:p>
    <w:p>
      <w:pPr>
        <w:spacing w:after="0" w:line="156" w:lineRule="exact"/>
        <w:rPr>
          <w:rFonts w:ascii="Arial" w:cs="Arial" w:eastAsia="Arial" w:hAnsi="Arial"/>
          <w:sz w:val="18"/>
          <w:szCs w:val="18"/>
          <w:color w:val="auto"/>
        </w:rPr>
      </w:pPr>
    </w:p>
    <w:p>
      <w:pPr>
        <w:ind w:firstLine="869"/>
        <w:spacing w:after="0" w:line="275" w:lineRule="auto"/>
        <w:tabs>
          <w:tab w:leader="none" w:pos="1660" w:val="left"/>
        </w:tabs>
        <w:numPr>
          <w:ilvl w:val="0"/>
          <w:numId w:val="83"/>
        </w:numPr>
        <w:rPr>
          <w:rFonts w:ascii="Arial" w:cs="Arial" w:eastAsia="Arial" w:hAnsi="Arial"/>
          <w:sz w:val="18"/>
          <w:szCs w:val="18"/>
          <w:color w:val="auto"/>
        </w:rPr>
      </w:pPr>
      <w:r>
        <w:rPr>
          <w:rFonts w:ascii="Arial" w:cs="Arial" w:eastAsia="Arial" w:hAnsi="Arial"/>
          <w:sz w:val="19"/>
          <w:szCs w:val="19"/>
          <w:color w:val="auto"/>
        </w:rPr>
        <w:t>Borrower shall have paid (i) all invoiced costs and expenses then due in accordance with Section 5(e), and (ii) all other fees, costs and expenses, if any, due and payable as of the Amendment Effective Date under the Loan Agreement; and</w:t>
      </w:r>
    </w:p>
    <w:p>
      <w:pPr>
        <w:spacing w:after="0" w:line="156" w:lineRule="exact"/>
        <w:rPr>
          <w:rFonts w:ascii="Arial" w:cs="Arial" w:eastAsia="Arial" w:hAnsi="Arial"/>
          <w:sz w:val="18"/>
          <w:szCs w:val="18"/>
          <w:color w:val="auto"/>
        </w:rPr>
      </w:pPr>
    </w:p>
    <w:p>
      <w:pPr>
        <w:ind w:left="1660" w:hanging="791"/>
        <w:spacing w:after="0"/>
        <w:tabs>
          <w:tab w:leader="none" w:pos="1660" w:val="left"/>
        </w:tabs>
        <w:numPr>
          <w:ilvl w:val="0"/>
          <w:numId w:val="83"/>
        </w:numPr>
        <w:rPr>
          <w:rFonts w:ascii="Arial" w:cs="Arial" w:eastAsia="Arial" w:hAnsi="Arial"/>
          <w:sz w:val="17"/>
          <w:szCs w:val="17"/>
          <w:color w:val="auto"/>
        </w:rPr>
      </w:pPr>
      <w:r>
        <w:rPr>
          <w:rFonts w:ascii="Arial" w:cs="Arial" w:eastAsia="Arial" w:hAnsi="Arial"/>
          <w:sz w:val="18"/>
          <w:szCs w:val="18"/>
          <w:color w:val="auto"/>
        </w:rPr>
        <w:t>On the Amendment Effective Date, after giving effect to the amendment of the Existing Loan Agreement contemplated</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hereby:</w:t>
      </w:r>
    </w:p>
    <w:p>
      <w:pPr>
        <w:spacing w:after="0" w:line="199" w:lineRule="exact"/>
        <w:rPr>
          <w:rFonts w:ascii="Arial" w:cs="Arial" w:eastAsia="Arial" w:hAnsi="Arial"/>
          <w:sz w:val="17"/>
          <w:szCs w:val="17"/>
          <w:color w:val="auto"/>
        </w:rPr>
      </w:pPr>
    </w:p>
    <w:p>
      <w:pPr>
        <w:jc w:val="both"/>
        <w:ind w:firstLine="1733"/>
        <w:spacing w:after="0" w:line="305" w:lineRule="auto"/>
        <w:tabs>
          <w:tab w:leader="none" w:pos="2524" w:val="left"/>
        </w:tabs>
        <w:numPr>
          <w:ilvl w:val="1"/>
          <w:numId w:val="83"/>
        </w:numPr>
        <w:rPr>
          <w:rFonts w:ascii="Arial" w:cs="Arial" w:eastAsia="Arial" w:hAnsi="Arial"/>
          <w:sz w:val="16"/>
          <w:szCs w:val="16"/>
          <w:color w:val="auto"/>
        </w:rPr>
      </w:pPr>
      <w:r>
        <w:rPr>
          <w:rFonts w:ascii="Arial" w:cs="Arial" w:eastAsia="Arial" w:hAnsi="Arial"/>
          <w:sz w:val="17"/>
          <w:szCs w:val="17"/>
          <w:color w:val="auto"/>
        </w:rPr>
        <w:t>The representations and warranties contained in Section 4 shall be true and correct on and as of the Amendment Effective Date as though made on and as of such date, except to the extent such representations and warranties expressly relate to an earlier date, after giving effect in all cases to any standard(s) of materiality contained in the Agreement as to such representations and warranties; and</w:t>
      </w:r>
    </w:p>
    <w:p>
      <w:pPr>
        <w:spacing w:after="0" w:line="135" w:lineRule="exact"/>
        <w:rPr>
          <w:rFonts w:ascii="Arial" w:cs="Arial" w:eastAsia="Arial" w:hAnsi="Arial"/>
          <w:sz w:val="16"/>
          <w:szCs w:val="16"/>
          <w:color w:val="auto"/>
        </w:rPr>
      </w:pPr>
    </w:p>
    <w:p>
      <w:pPr>
        <w:ind w:left="2580" w:hanging="847"/>
        <w:spacing w:after="0"/>
        <w:tabs>
          <w:tab w:leader="none" w:pos="2580" w:val="left"/>
        </w:tabs>
        <w:numPr>
          <w:ilvl w:val="1"/>
          <w:numId w:val="83"/>
        </w:numPr>
        <w:rPr>
          <w:rFonts w:ascii="Arial" w:cs="Arial" w:eastAsia="Arial" w:hAnsi="Arial"/>
          <w:sz w:val="17"/>
          <w:szCs w:val="17"/>
          <w:color w:val="auto"/>
        </w:rPr>
      </w:pPr>
      <w:r>
        <w:rPr>
          <w:rFonts w:ascii="Arial" w:cs="Arial" w:eastAsia="Arial" w:hAnsi="Arial"/>
          <w:sz w:val="18"/>
          <w:szCs w:val="18"/>
          <w:color w:val="auto"/>
        </w:rPr>
        <w:t>There exist no Events of Default or events that with the passage of time would result in an Event of Default.</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To induce Agent and Lenders to enter into this Amendment, Borrower hereby confirms,</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as of the date hereof, (a) that the representations and warranties made by it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the Loan Agreement and in the other Loan Documents are true and correct in all material respects;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materiality qualifier shall not be applicable to any representations and warranties that already are qualified or modified by materiality in the text thereof;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to the extent such representations and warranties by their terms expressly relate only to a prior date such representations and warranties shall be true and correct in all material respects as of such prior date, and that no Event of Default has occurred and is continuing and (b) that there has not been and there does not exist a Material Adverse Effect. For the purposes of this </w:t>
      </w:r>
      <w:r>
        <w:rPr>
          <w:rFonts w:ascii="Arial" w:cs="Arial" w:eastAsia="Arial" w:hAnsi="Arial"/>
          <w:sz w:val="19"/>
          <w:szCs w:val="19"/>
          <w:u w:val="single" w:color="auto"/>
          <w:color w:val="auto"/>
        </w:rPr>
        <w:t>Section 4</w:t>
      </w:r>
      <w:r>
        <w:rPr>
          <w:rFonts w:ascii="Arial" w:cs="Arial" w:eastAsia="Arial" w:hAnsi="Arial"/>
          <w:sz w:val="19"/>
          <w:szCs w:val="19"/>
          <w:color w:val="auto"/>
        </w:rPr>
        <w:t>, each reference in Section 5 of the Loan Agreement to “this Agreement,” and the words “hereof,” “herein,” “hereunder,” or</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7804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words of like import in such Section, shall mean and be a reference to the Loan Agreement as amended by this Amendment.</w:t>
      </w:r>
    </w:p>
    <w:p>
      <w:pPr>
        <w:spacing w:after="0" w:line="20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Miscellaneous.</w:t>
      </w:r>
    </w:p>
    <w:p>
      <w:pPr>
        <w:spacing w:after="0" w:line="227" w:lineRule="exact"/>
        <w:rPr>
          <w:sz w:val="20"/>
          <w:szCs w:val="20"/>
          <w:color w:val="auto"/>
        </w:rPr>
      </w:pPr>
    </w:p>
    <w:p>
      <w:pPr>
        <w:ind w:left="1700" w:hanging="831"/>
        <w:spacing w:after="0"/>
        <w:tabs>
          <w:tab w:leader="none" w:pos="1700" w:val="left"/>
        </w:tabs>
        <w:numPr>
          <w:ilvl w:val="1"/>
          <w:numId w:val="84"/>
        </w:numPr>
        <w:rPr>
          <w:rFonts w:ascii="Arial" w:cs="Arial" w:eastAsia="Arial" w:hAnsi="Arial"/>
          <w:sz w:val="18"/>
          <w:szCs w:val="18"/>
          <w:color w:val="auto"/>
        </w:rPr>
      </w:pPr>
      <w:r>
        <w:rPr>
          <w:rFonts w:ascii="Arial" w:cs="Arial" w:eastAsia="Arial" w:hAnsi="Arial"/>
          <w:sz w:val="19"/>
          <w:szCs w:val="19"/>
          <w:b w:val="1"/>
          <w:bCs w:val="1"/>
          <w:color w:val="auto"/>
        </w:rPr>
        <w:t>Loan Documents Otherwise Not Affected; Reaffirmation; No Novation</w:t>
      </w:r>
      <w:r>
        <w:rPr>
          <w:rFonts w:ascii="Arial" w:cs="Arial" w:eastAsia="Arial" w:hAnsi="Arial"/>
          <w:sz w:val="19"/>
          <w:szCs w:val="19"/>
          <w:color w:val="auto"/>
        </w:rPr>
        <w:t>.</w:t>
      </w:r>
    </w:p>
    <w:p>
      <w:pPr>
        <w:spacing w:after="0" w:line="221" w:lineRule="exact"/>
        <w:rPr>
          <w:rFonts w:ascii="Arial" w:cs="Arial" w:eastAsia="Arial" w:hAnsi="Arial"/>
          <w:sz w:val="18"/>
          <w:szCs w:val="18"/>
          <w:color w:val="auto"/>
        </w:rPr>
      </w:pPr>
    </w:p>
    <w:p>
      <w:pPr>
        <w:jc w:val="both"/>
        <w:ind w:firstLine="1733"/>
        <w:spacing w:after="0" w:line="274" w:lineRule="auto"/>
        <w:tabs>
          <w:tab w:leader="none" w:pos="2524" w:val="left"/>
        </w:tabs>
        <w:numPr>
          <w:ilvl w:val="2"/>
          <w:numId w:val="84"/>
        </w:numPr>
        <w:rPr>
          <w:rFonts w:ascii="Arial" w:cs="Arial" w:eastAsia="Arial" w:hAnsi="Arial"/>
          <w:sz w:val="17"/>
          <w:szCs w:val="17"/>
          <w:color w:val="auto"/>
        </w:rPr>
      </w:pPr>
      <w:r>
        <w:rPr>
          <w:rFonts w:ascii="Arial" w:cs="Arial" w:eastAsia="Arial" w:hAnsi="Arial"/>
          <w:sz w:val="18"/>
          <w:szCs w:val="18"/>
          <w:color w:val="auto"/>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58" w:lineRule="exact"/>
        <w:rPr>
          <w:rFonts w:ascii="Arial" w:cs="Arial" w:eastAsia="Arial" w:hAnsi="Arial"/>
          <w:sz w:val="17"/>
          <w:szCs w:val="17"/>
          <w:color w:val="auto"/>
        </w:rPr>
      </w:pPr>
    </w:p>
    <w:p>
      <w:pPr>
        <w:jc w:val="both"/>
        <w:ind w:firstLine="1733"/>
        <w:spacing w:after="0" w:line="278" w:lineRule="auto"/>
        <w:tabs>
          <w:tab w:leader="none" w:pos="2573" w:val="left"/>
        </w:tabs>
        <w:numPr>
          <w:ilvl w:val="2"/>
          <w:numId w:val="84"/>
        </w:numPr>
        <w:rPr>
          <w:rFonts w:ascii="Arial" w:cs="Arial" w:eastAsia="Arial" w:hAnsi="Arial"/>
          <w:sz w:val="16"/>
          <w:szCs w:val="16"/>
          <w:color w:val="auto"/>
        </w:rPr>
      </w:pPr>
      <w:r>
        <w:rPr>
          <w:rFonts w:ascii="Arial" w:cs="Arial" w:eastAsia="Arial" w:hAnsi="Arial"/>
          <w:sz w:val="17"/>
          <w:szCs w:val="17"/>
          <w:color w:val="auto"/>
        </w:rPr>
        <w:t>Borrower hereby expressly (1) reaffirms, ratifies and confirms its Secured Obligations under the Loan Agreement and the other Loan Documents, (2) reaffirms, ratifies and confirms the grant of security under Section 3 of the Loan Agreement, subject to the provisions set forth in Section 3.2 of the Loan Agreement, (3) reaffirms that such grant of security in the Collateral secures all Secured Obligations under the Loan Agreement, including without limitation any Term Loan Advances funded on or after the Amendment Effective Date, as of the date hereof, and with effect from (and including) the Amendment Effective Date, such grant of security in the Collateral:</w:t>
      </w:r>
    </w:p>
    <w:p>
      <w:pPr>
        <w:spacing w:after="0" w:line="1" w:lineRule="exact"/>
        <w:rPr>
          <w:rFonts w:ascii="Arial" w:cs="Arial" w:eastAsia="Arial" w:hAnsi="Arial"/>
          <w:sz w:val="16"/>
          <w:szCs w:val="16"/>
          <w:color w:val="auto"/>
        </w:rPr>
      </w:pPr>
    </w:p>
    <w:p>
      <w:pPr>
        <w:jc w:val="both"/>
        <w:ind w:firstLine="5"/>
        <w:spacing w:after="0" w:line="249" w:lineRule="auto"/>
        <w:tabs>
          <w:tab w:leader="none" w:pos="284"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81" w:lineRule="exact"/>
        <w:rPr>
          <w:rFonts w:ascii="Arial" w:cs="Arial" w:eastAsia="Arial" w:hAnsi="Arial"/>
          <w:sz w:val="19"/>
          <w:szCs w:val="19"/>
          <w:color w:val="auto"/>
        </w:rPr>
      </w:pPr>
    </w:p>
    <w:p>
      <w:pPr>
        <w:jc w:val="both"/>
        <w:ind w:firstLine="1733"/>
        <w:spacing w:after="0" w:line="252" w:lineRule="auto"/>
        <w:tabs>
          <w:tab w:leader="none" w:pos="2622" w:val="left"/>
        </w:tabs>
        <w:numPr>
          <w:ilvl w:val="2"/>
          <w:numId w:val="85"/>
        </w:numPr>
        <w:rPr>
          <w:rFonts w:ascii="Arial" w:cs="Arial" w:eastAsia="Arial" w:hAnsi="Arial"/>
          <w:sz w:val="18"/>
          <w:szCs w:val="18"/>
          <w:color w:val="auto"/>
        </w:rPr>
      </w:pPr>
      <w:r>
        <w:rPr>
          <w:rFonts w:ascii="Arial" w:cs="Arial" w:eastAsia="Arial" w:hAnsi="Arial"/>
          <w:sz w:val="19"/>
          <w:szCs w:val="19"/>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74" w:lineRule="exact"/>
        <w:rPr>
          <w:rFonts w:ascii="Arial" w:cs="Arial" w:eastAsia="Arial" w:hAnsi="Arial"/>
          <w:sz w:val="18"/>
          <w:szCs w:val="18"/>
          <w:color w:val="auto"/>
        </w:rPr>
      </w:pPr>
    </w:p>
    <w:p>
      <w:pPr>
        <w:jc w:val="both"/>
        <w:ind w:firstLine="869"/>
        <w:spacing w:after="0" w:line="257" w:lineRule="auto"/>
        <w:tabs>
          <w:tab w:leader="none" w:pos="1699" w:val="left"/>
        </w:tabs>
        <w:numPr>
          <w:ilvl w:val="1"/>
          <w:numId w:val="85"/>
        </w:numPr>
        <w:rPr>
          <w:rFonts w:ascii="Arial" w:cs="Arial" w:eastAsia="Arial" w:hAnsi="Arial"/>
          <w:sz w:val="18"/>
          <w:szCs w:val="18"/>
          <w:color w:val="auto"/>
        </w:rPr>
      </w:pPr>
      <w:r>
        <w:rPr>
          <w:rFonts w:ascii="Arial" w:cs="Arial" w:eastAsia="Arial" w:hAnsi="Arial"/>
          <w:sz w:val="19"/>
          <w:szCs w:val="19"/>
          <w:b w:val="1"/>
          <w:bCs w:val="1"/>
          <w:color w:val="auto"/>
        </w:rPr>
        <w:t>Conditions</w:t>
      </w:r>
      <w:r>
        <w:rPr>
          <w:rFonts w:ascii="Arial" w:cs="Arial" w:eastAsia="Arial" w:hAnsi="Arial"/>
          <w:sz w:val="19"/>
          <w:szCs w:val="19"/>
          <w:color w:val="auto"/>
        </w:rPr>
        <w:t>. For purposes of determining compliance with the conditions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color w:val="auto"/>
        </w:rPr>
        <w:t>, each Lender that has</w:t>
      </w:r>
      <w:r>
        <w:rPr>
          <w:rFonts w:ascii="Arial" w:cs="Arial" w:eastAsia="Arial" w:hAnsi="Arial"/>
          <w:sz w:val="19"/>
          <w:szCs w:val="19"/>
          <w:b w:val="1"/>
          <w:bCs w:val="1"/>
          <w:color w:val="auto"/>
        </w:rPr>
        <w:t xml:space="preserve"> </w:t>
      </w:r>
      <w:r>
        <w:rPr>
          <w:rFonts w:ascii="Arial" w:cs="Arial" w:eastAsia="Arial" w:hAnsi="Arial"/>
          <w:sz w:val="19"/>
          <w:szCs w:val="19"/>
          <w:color w:val="auto"/>
        </w:rPr>
        <w:t>signed this Amendment shall be deemed to have consented to, approved or accepted or to be satisfied with, each document or other matter required thereunder to be consented to or approved by or acceptable or satisfactory to the Lenders unless Agent shall have received notice from such Lender prior to the date hereof specifying its objection thereto.</w:t>
      </w:r>
    </w:p>
    <w:p>
      <w:pPr>
        <w:spacing w:after="0" w:line="168" w:lineRule="exact"/>
        <w:rPr>
          <w:rFonts w:ascii="Arial" w:cs="Arial" w:eastAsia="Arial" w:hAnsi="Arial"/>
          <w:sz w:val="18"/>
          <w:szCs w:val="18"/>
          <w:color w:val="auto"/>
        </w:rPr>
      </w:pPr>
    </w:p>
    <w:p>
      <w:pPr>
        <w:jc w:val="both"/>
        <w:ind w:firstLine="869"/>
        <w:spacing w:after="0" w:line="266" w:lineRule="auto"/>
        <w:tabs>
          <w:tab w:leader="none" w:pos="1684" w:val="left"/>
        </w:tabs>
        <w:numPr>
          <w:ilvl w:val="1"/>
          <w:numId w:val="85"/>
        </w:numPr>
        <w:rPr>
          <w:rFonts w:ascii="Arial" w:cs="Arial" w:eastAsia="Arial" w:hAnsi="Arial"/>
          <w:sz w:val="17"/>
          <w:szCs w:val="17"/>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In consideration of the agreements of Agent and Lenders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Borrower, on behalf of itself and its successors, assigns, and other legal representatives, hereby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each Lender and all such other persons being hereinafter referred to collectively as the “</w:t>
      </w:r>
      <w:r>
        <w:rPr>
          <w:rFonts w:ascii="Arial" w:cs="Arial" w:eastAsia="Arial" w:hAnsi="Arial"/>
          <w:sz w:val="18"/>
          <w:szCs w:val="18"/>
          <w:u w:val="single" w:color="auto"/>
          <w:color w:val="auto"/>
        </w:rPr>
        <w:t>Releasees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Releasee</w:t>
      </w:r>
      <w:r>
        <w:rPr>
          <w:rFonts w:ascii="Arial" w:cs="Arial" w:eastAsia="Arial" w:hAnsi="Arial"/>
          <w:sz w:val="18"/>
          <w:szCs w:val="18"/>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7804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5" w:name="page166"/>
    <w:bookmarkEnd w:id="165"/>
    <w:p>
      <w:pPr>
        <w:jc w:val="both"/>
        <w:spacing w:after="0" w:line="289" w:lineRule="auto"/>
        <w:rPr>
          <w:sz w:val="20"/>
          <w:szCs w:val="20"/>
          <w:color w:val="auto"/>
        </w:rPr>
      </w:pPr>
      <w:r>
        <w:rPr>
          <w:rFonts w:ascii="Arial" w:cs="Arial" w:eastAsia="Arial" w:hAnsi="Arial"/>
          <w:sz w:val="17"/>
          <w:szCs w:val="17"/>
          <w:color w:val="auto"/>
        </w:rPr>
        <w:t>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 Borrower waives the provisions of California Civil Code section 1542, which states:</w:t>
      </w:r>
    </w:p>
    <w:p>
      <w:pPr>
        <w:spacing w:after="0" w:line="374" w:lineRule="exact"/>
        <w:rPr>
          <w:sz w:val="20"/>
          <w:szCs w:val="20"/>
          <w:color w:val="auto"/>
        </w:rPr>
      </w:pPr>
    </w:p>
    <w:p>
      <w:pPr>
        <w:jc w:val="both"/>
        <w:ind w:left="860" w:right="860"/>
        <w:spacing w:after="0" w:line="255"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 The provisions of this section shall survive payment in full of the Secured Obligations, full performance of all the terms of this Amendment and the other Loan Documents.</w:t>
      </w:r>
    </w:p>
    <w:p>
      <w:pPr>
        <w:spacing w:after="0" w:line="174" w:lineRule="exact"/>
        <w:rPr>
          <w:sz w:val="20"/>
          <w:szCs w:val="20"/>
          <w:color w:val="auto"/>
        </w:rPr>
      </w:pPr>
    </w:p>
    <w:p>
      <w:pPr>
        <w:jc w:val="both"/>
        <w:ind w:firstLine="869"/>
        <w:spacing w:after="0" w:line="263" w:lineRule="auto"/>
        <w:tabs>
          <w:tab w:leader="none" w:pos="1699" w:val="left"/>
        </w:tabs>
        <w:numPr>
          <w:ilvl w:val="0"/>
          <w:numId w:val="86"/>
        </w:numPr>
        <w:rPr>
          <w:rFonts w:ascii="Arial" w:cs="Arial" w:eastAsia="Arial" w:hAnsi="Arial"/>
          <w:sz w:val="18"/>
          <w:szCs w:val="18"/>
          <w:color w:val="auto"/>
        </w:rPr>
      </w:pPr>
      <w:r>
        <w:rPr>
          <w:rFonts w:ascii="Arial" w:cs="Arial" w:eastAsia="Arial" w:hAnsi="Arial"/>
          <w:sz w:val="19"/>
          <w:szCs w:val="19"/>
          <w:b w:val="1"/>
          <w:bCs w:val="1"/>
          <w:color w:val="auto"/>
        </w:rPr>
        <w:t>No Reliance</w:t>
      </w:r>
      <w:r>
        <w:rPr>
          <w:rFonts w:ascii="Arial" w:cs="Arial" w:eastAsia="Arial" w:hAnsi="Arial"/>
          <w:sz w:val="19"/>
          <w:szCs w:val="19"/>
          <w:color w:val="auto"/>
        </w:rPr>
        <w:t>. Borrower hereby acknowledges and confirms to Agent and Lenders that Borrower is executing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on the basis of its own investigation and for its own reasons without reliance upon any agreement, representation, understanding or communication by or on behalf of any other Person.</w:t>
      </w:r>
    </w:p>
    <w:p>
      <w:pPr>
        <w:spacing w:after="0" w:line="162" w:lineRule="exact"/>
        <w:rPr>
          <w:rFonts w:ascii="Arial" w:cs="Arial" w:eastAsia="Arial" w:hAnsi="Arial"/>
          <w:sz w:val="18"/>
          <w:szCs w:val="18"/>
          <w:color w:val="auto"/>
        </w:rPr>
      </w:pPr>
    </w:p>
    <w:p>
      <w:pPr>
        <w:jc w:val="both"/>
        <w:ind w:firstLine="869"/>
        <w:spacing w:after="0" w:line="257" w:lineRule="auto"/>
        <w:tabs>
          <w:tab w:leader="none" w:pos="1689" w:val="left"/>
        </w:tabs>
        <w:numPr>
          <w:ilvl w:val="0"/>
          <w:numId w:val="86"/>
        </w:numPr>
        <w:rPr>
          <w:rFonts w:ascii="Arial" w:cs="Arial" w:eastAsia="Arial" w:hAnsi="Arial"/>
          <w:sz w:val="18"/>
          <w:szCs w:val="18"/>
          <w:color w:val="auto"/>
        </w:rPr>
      </w:pPr>
      <w:r>
        <w:rPr>
          <w:rFonts w:ascii="Arial" w:cs="Arial" w:eastAsia="Arial" w:hAnsi="Arial"/>
          <w:sz w:val="19"/>
          <w:szCs w:val="19"/>
          <w:b w:val="1"/>
          <w:bCs w:val="1"/>
          <w:color w:val="auto"/>
        </w:rPr>
        <w:t>Costs and Expenses</w:t>
      </w:r>
      <w:r>
        <w:rPr>
          <w:rFonts w:ascii="Arial" w:cs="Arial" w:eastAsia="Arial" w:hAnsi="Arial"/>
          <w:sz w:val="19"/>
          <w:szCs w:val="19"/>
          <w:color w:val="auto"/>
        </w:rPr>
        <w:t>. Borrower agrees to pay to Agent on the date hereof the reasonable and documented out-of-pocket</w:t>
      </w:r>
      <w:r>
        <w:rPr>
          <w:rFonts w:ascii="Arial" w:cs="Arial" w:eastAsia="Arial" w:hAnsi="Arial"/>
          <w:sz w:val="19"/>
          <w:szCs w:val="19"/>
          <w:b w:val="1"/>
          <w:bCs w:val="1"/>
          <w:color w:val="auto"/>
        </w:rPr>
        <w:t xml:space="preserve"> </w:t>
      </w:r>
      <w:r>
        <w:rPr>
          <w:rFonts w:ascii="Arial" w:cs="Arial" w:eastAsia="Arial" w:hAnsi="Arial"/>
          <w:sz w:val="19"/>
          <w:szCs w:val="19"/>
          <w:color w:val="auto"/>
        </w:rPr>
        <w:t>costs and expenses of Agent and each Lender party hereto, and the fees and disbursements of counsel to Agent and each Lender party hereto in connection with the negotiation, preparation, execution and delivery of this Amendment and any other documents to be delivered in connection herewith on the date hereof.</w:t>
      </w:r>
    </w:p>
    <w:p>
      <w:pPr>
        <w:spacing w:after="0" w:line="168" w:lineRule="exact"/>
        <w:rPr>
          <w:rFonts w:ascii="Arial" w:cs="Arial" w:eastAsia="Arial" w:hAnsi="Arial"/>
          <w:sz w:val="18"/>
          <w:szCs w:val="18"/>
          <w:color w:val="auto"/>
        </w:rPr>
      </w:pPr>
    </w:p>
    <w:p>
      <w:pPr>
        <w:ind w:left="1680" w:hanging="811"/>
        <w:spacing w:after="0"/>
        <w:tabs>
          <w:tab w:leader="none" w:pos="1680" w:val="left"/>
        </w:tabs>
        <w:numPr>
          <w:ilvl w:val="0"/>
          <w:numId w:val="86"/>
        </w:numPr>
        <w:rPr>
          <w:rFonts w:ascii="Arial" w:cs="Arial" w:eastAsia="Arial" w:hAnsi="Arial"/>
          <w:sz w:val="17"/>
          <w:szCs w:val="17"/>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26" w:lineRule="exact"/>
        <w:rPr>
          <w:rFonts w:ascii="Arial" w:cs="Arial" w:eastAsia="Arial" w:hAnsi="Arial"/>
          <w:sz w:val="17"/>
          <w:szCs w:val="17"/>
          <w:color w:val="auto"/>
        </w:rPr>
      </w:pPr>
    </w:p>
    <w:p>
      <w:pPr>
        <w:jc w:val="both"/>
        <w:ind w:firstLine="869"/>
        <w:spacing w:after="0" w:line="263" w:lineRule="auto"/>
        <w:tabs>
          <w:tab w:leader="none" w:pos="1699" w:val="left"/>
        </w:tabs>
        <w:numPr>
          <w:ilvl w:val="0"/>
          <w:numId w:val="86"/>
        </w:numPr>
        <w:rPr>
          <w:rFonts w:ascii="Arial" w:cs="Arial" w:eastAsia="Arial" w:hAnsi="Arial"/>
          <w:sz w:val="18"/>
          <w:szCs w:val="18"/>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AMENDMENT AND THE OTHER LOAN DOCUMENTS SHALL BE GOVERNED BY, AND</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AND ENFORCED IN ACCORDANCE WITH, THE LAWS OF THE STATE OF CALIFORNIA, EXCLUDING CONFLICT OF LAWS PRINCIPLES THAT WOULD CAUSE THE APPLICATION OF LAWS OF ANY OTHER JURISDICTION.</w:t>
      </w:r>
    </w:p>
    <w:p>
      <w:pPr>
        <w:spacing w:after="0" w:line="162" w:lineRule="exact"/>
        <w:rPr>
          <w:rFonts w:ascii="Arial" w:cs="Arial" w:eastAsia="Arial" w:hAnsi="Arial"/>
          <w:sz w:val="18"/>
          <w:szCs w:val="18"/>
          <w:color w:val="auto"/>
        </w:rPr>
      </w:pPr>
    </w:p>
    <w:p>
      <w:pPr>
        <w:jc w:val="both"/>
        <w:ind w:firstLine="869"/>
        <w:spacing w:after="0" w:line="257" w:lineRule="auto"/>
        <w:tabs>
          <w:tab w:leader="none" w:pos="1699" w:val="left"/>
        </w:tabs>
        <w:numPr>
          <w:ilvl w:val="0"/>
          <w:numId w:val="86"/>
        </w:numPr>
        <w:rPr>
          <w:rFonts w:ascii="Arial" w:cs="Arial" w:eastAsia="Arial" w:hAnsi="Arial"/>
          <w:sz w:val="18"/>
          <w:szCs w:val="18"/>
          <w:color w:val="auto"/>
        </w:rPr>
      </w:pPr>
      <w:r>
        <w:rPr>
          <w:rFonts w:ascii="Arial" w:cs="Arial" w:eastAsia="Arial" w:hAnsi="Arial"/>
          <w:sz w:val="19"/>
          <w:szCs w:val="19"/>
          <w:b w:val="1"/>
          <w:bCs w:val="1"/>
          <w:color w:val="auto"/>
        </w:rPr>
        <w:t>Complete Agreement; Amendments</w:t>
      </w:r>
      <w:r>
        <w:rPr>
          <w:rFonts w:ascii="Arial" w:cs="Arial" w:eastAsia="Arial" w:hAnsi="Arial"/>
          <w:sz w:val="19"/>
          <w:szCs w:val="19"/>
          <w:color w:val="auto"/>
        </w:rPr>
        <w:t>. This Amendment and the Loan Documents represent the entire agreement about</w:t>
      </w:r>
      <w:r>
        <w:rPr>
          <w:rFonts w:ascii="Arial" w:cs="Arial" w:eastAsia="Arial" w:hAnsi="Arial"/>
          <w:sz w:val="19"/>
          <w:szCs w:val="19"/>
          <w:b w:val="1"/>
          <w:bCs w:val="1"/>
          <w:color w:val="auto"/>
        </w:rPr>
        <w:t xml:space="preserve"> </w:t>
      </w:r>
      <w:r>
        <w:rPr>
          <w:rFonts w:ascii="Arial" w:cs="Arial" w:eastAsia="Arial" w:hAnsi="Arial"/>
          <w:sz w:val="19"/>
          <w:szCs w:val="19"/>
          <w:color w:val="auto"/>
        </w:rPr>
        <w:t>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68" w:lineRule="exact"/>
        <w:rPr>
          <w:rFonts w:ascii="Arial" w:cs="Arial" w:eastAsia="Arial" w:hAnsi="Arial"/>
          <w:sz w:val="18"/>
          <w:szCs w:val="18"/>
          <w:color w:val="auto"/>
        </w:rPr>
      </w:pPr>
    </w:p>
    <w:p>
      <w:pPr>
        <w:ind w:firstLine="869"/>
        <w:spacing w:after="0" w:line="281" w:lineRule="auto"/>
        <w:tabs>
          <w:tab w:leader="none" w:pos="1660" w:val="left"/>
        </w:tabs>
        <w:numPr>
          <w:ilvl w:val="0"/>
          <w:numId w:val="86"/>
        </w:numPr>
        <w:rPr>
          <w:rFonts w:ascii="Arial" w:cs="Arial" w:eastAsia="Arial" w:hAnsi="Arial"/>
          <w:sz w:val="18"/>
          <w:szCs w:val="18"/>
          <w:color w:val="auto"/>
        </w:rPr>
      </w:pPr>
      <w:r>
        <w:rPr>
          <w:rFonts w:ascii="Arial" w:cs="Arial" w:eastAsia="Arial" w:hAnsi="Arial"/>
          <w:sz w:val="19"/>
          <w:szCs w:val="19"/>
          <w:b w:val="1"/>
          <w:bCs w:val="1"/>
          <w:color w:val="auto"/>
        </w:rPr>
        <w:t xml:space="preserve">Severability of Provisions. </w:t>
      </w:r>
      <w:r>
        <w:rPr>
          <w:rFonts w:ascii="Arial" w:cs="Arial" w:eastAsia="Arial" w:hAnsi="Arial"/>
          <w:sz w:val="19"/>
          <w:szCs w:val="19"/>
          <w:color w:val="auto"/>
        </w:rPr>
        <w:t>Each provision of this Amendment is severable from every other provision in determining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enforceability of any provision.</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7804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6" w:name="page167"/>
    <w:bookmarkEnd w:id="166"/>
    <w:p>
      <w:pPr>
        <w:jc w:val="both"/>
        <w:ind w:firstLine="869"/>
        <w:spacing w:after="0" w:line="257" w:lineRule="auto"/>
        <w:tabs>
          <w:tab w:leader="none" w:pos="1660" w:val="left"/>
        </w:tabs>
        <w:numPr>
          <w:ilvl w:val="0"/>
          <w:numId w:val="87"/>
        </w:numPr>
        <w:rPr>
          <w:rFonts w:ascii="Arial" w:cs="Arial" w:eastAsia="Arial" w:hAnsi="Arial"/>
          <w:sz w:val="18"/>
          <w:szCs w:val="18"/>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Amendment may be executed in any number of counterparts and by different parties on separate</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68" w:lineRule="exact"/>
        <w:rPr>
          <w:rFonts w:ascii="Arial" w:cs="Arial" w:eastAsia="Arial" w:hAnsi="Arial"/>
          <w:sz w:val="18"/>
          <w:szCs w:val="18"/>
          <w:color w:val="auto"/>
        </w:rPr>
      </w:pPr>
    </w:p>
    <w:p>
      <w:pPr>
        <w:ind w:left="1700" w:hanging="831"/>
        <w:spacing w:after="0"/>
        <w:tabs>
          <w:tab w:leader="none" w:pos="1700" w:val="left"/>
        </w:tabs>
        <w:numPr>
          <w:ilvl w:val="0"/>
          <w:numId w:val="87"/>
        </w:numPr>
        <w:rPr>
          <w:rFonts w:ascii="Arial" w:cs="Arial" w:eastAsia="Arial" w:hAnsi="Arial"/>
          <w:sz w:val="18"/>
          <w:szCs w:val="18"/>
          <w:color w:val="auto"/>
        </w:rPr>
      </w:pPr>
      <w:r>
        <w:rPr>
          <w:rFonts w:ascii="Arial" w:cs="Arial" w:eastAsia="Arial" w:hAnsi="Arial"/>
          <w:sz w:val="19"/>
          <w:szCs w:val="19"/>
          <w:b w:val="1"/>
          <w:bCs w:val="1"/>
          <w:color w:val="auto"/>
        </w:rPr>
        <w:t>Loan Documents</w:t>
      </w:r>
      <w:r>
        <w:rPr>
          <w:rFonts w:ascii="Arial" w:cs="Arial" w:eastAsia="Arial" w:hAnsi="Arial"/>
          <w:sz w:val="19"/>
          <w:szCs w:val="19"/>
          <w:color w:val="auto"/>
        </w:rPr>
        <w:t>. This Amendment and the documents related hereto shall constitute Loan Documents.</w:t>
      </w:r>
    </w:p>
    <w:p>
      <w:pPr>
        <w:spacing w:after="0" w:line="215" w:lineRule="exact"/>
        <w:rPr>
          <w:rFonts w:ascii="Arial" w:cs="Arial" w:eastAsia="Arial" w:hAnsi="Arial"/>
          <w:sz w:val="18"/>
          <w:szCs w:val="18"/>
          <w:color w:val="auto"/>
        </w:rPr>
      </w:pPr>
    </w:p>
    <w:p>
      <w:pPr>
        <w:jc w:val="both"/>
        <w:ind w:firstLine="869"/>
        <w:spacing w:after="0" w:line="250" w:lineRule="auto"/>
        <w:tabs>
          <w:tab w:leader="none" w:pos="1660" w:val="left"/>
        </w:tabs>
        <w:numPr>
          <w:ilvl w:val="0"/>
          <w:numId w:val="87"/>
        </w:numPr>
        <w:rPr>
          <w:rFonts w:ascii="Arial" w:cs="Arial" w:eastAsia="Arial" w:hAnsi="Arial"/>
          <w:sz w:val="18"/>
          <w:szCs w:val="18"/>
          <w:color w:val="auto"/>
        </w:rPr>
      </w:pPr>
      <w:r>
        <w:rPr>
          <w:rFonts w:ascii="Arial" w:cs="Arial" w:eastAsia="Arial" w:hAnsi="Arial"/>
          <w:sz w:val="19"/>
          <w:szCs w:val="19"/>
          <w:b w:val="1"/>
          <w:bCs w:val="1"/>
          <w:color w:val="auto"/>
        </w:rPr>
        <w:t>Electronic Execution of Certain Other Documents</w:t>
      </w:r>
      <w:r>
        <w:rPr>
          <w:rFonts w:ascii="Arial" w:cs="Arial" w:eastAsia="Arial" w:hAnsi="Arial"/>
          <w:sz w:val="19"/>
          <w:szCs w:val="19"/>
          <w:color w:val="auto"/>
        </w:rPr>
        <w:t>. The words “execution,” “execute”, “signed,” “signature,” and words</w:t>
      </w:r>
      <w:r>
        <w:rPr>
          <w:rFonts w:ascii="Arial" w:cs="Arial" w:eastAsia="Arial" w:hAnsi="Arial"/>
          <w:sz w:val="19"/>
          <w:szCs w:val="19"/>
          <w:b w:val="1"/>
          <w:bCs w:val="1"/>
          <w:color w:val="auto"/>
        </w:rPr>
        <w:t xml:space="preserve"> </w:t>
      </w:r>
      <w:r>
        <w:rPr>
          <w:rFonts w:ascii="Arial" w:cs="Arial" w:eastAsia="Arial" w:hAnsi="Arial"/>
          <w:sz w:val="19"/>
          <w:szCs w:val="19"/>
          <w:color w:val="auto"/>
        </w:rPr>
        <w:t>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7804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t>IN WITNESS WHEREOF, the parties hereto have duly executed this Amendment, as of the date first above written.</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BORROWER:</w:t>
      </w:r>
    </w:p>
    <w:p>
      <w:pPr>
        <w:spacing w:after="0" w:line="209"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SYNDAX PHARMACEUTICALS, INC.</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By:</w:t>
      </w:r>
    </w:p>
    <w:p>
      <w:pPr>
        <w:spacing w:after="0" w:line="21" w:lineRule="exact"/>
        <w:rPr>
          <w:sz w:val="20"/>
          <w:szCs w:val="20"/>
          <w:color w:val="auto"/>
        </w:rPr>
      </w:pPr>
    </w:p>
    <w:p>
      <w:pPr>
        <w:ind w:left="10160"/>
        <w:spacing w:after="0"/>
        <w:rPr>
          <w:sz w:val="20"/>
          <w:szCs w:val="20"/>
          <w:color w:val="auto"/>
        </w:rPr>
      </w:pPr>
      <w:r>
        <w:rPr>
          <w:rFonts w:ascii="Arial" w:cs="Arial" w:eastAsia="Arial" w:hAnsi="Arial"/>
          <w:sz w:val="19"/>
          <w:szCs w:val="19"/>
          <w:u w:val="single" w:color="auto"/>
          <w:color w:val="auto"/>
        </w:rPr>
        <w:t>/s/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9"/>
          <w:szCs w:val="19"/>
          <w:u w:val="single" w:color="auto"/>
          <w:color w:val="auto"/>
        </w:rPr>
        <w:t>Luke J.</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9"/>
          <w:szCs w:val="19"/>
          <w:u w:val="single" w:color="auto"/>
          <w:color w:val="auto"/>
        </w:rPr>
        <w:t>Albrecht</w:t>
      </w:r>
    </w:p>
    <w:p>
      <w:pPr>
        <w:spacing w:after="0" w:line="199" w:lineRule="exact"/>
        <w:rPr>
          <w:sz w:val="20"/>
          <w:szCs w:val="20"/>
          <w:color w:val="auto"/>
        </w:rPr>
      </w:pPr>
    </w:p>
    <w:p>
      <w:pPr>
        <w:jc w:val="center"/>
        <w:ind w:left="1360"/>
        <w:spacing w:after="0"/>
        <w:rPr>
          <w:sz w:val="20"/>
          <w:szCs w:val="20"/>
          <w:color w:val="auto"/>
        </w:rPr>
      </w:pPr>
      <w:r>
        <w:rPr>
          <w:rFonts w:ascii="Arial" w:cs="Arial" w:eastAsia="Arial" w:hAnsi="Arial"/>
          <w:sz w:val="19"/>
          <w:szCs w:val="19"/>
          <w:color w:val="auto"/>
        </w:rPr>
        <w:t>Name:</w:t>
      </w:r>
    </w:p>
    <w:p>
      <w:pPr>
        <w:spacing w:after="0" w:line="21" w:lineRule="exact"/>
        <w:rPr>
          <w:sz w:val="20"/>
          <w:szCs w:val="20"/>
          <w:color w:val="auto"/>
        </w:rPr>
      </w:pPr>
    </w:p>
    <w:p>
      <w:pPr>
        <w:ind w:left="10160"/>
        <w:spacing w:after="0"/>
        <w:rPr>
          <w:sz w:val="20"/>
          <w:szCs w:val="20"/>
          <w:color w:val="auto"/>
        </w:rPr>
      </w:pPr>
      <w:r>
        <w:rPr>
          <w:rFonts w:ascii="Arial" w:cs="Arial" w:eastAsia="Arial" w:hAnsi="Arial"/>
          <w:sz w:val="19"/>
          <w:szCs w:val="19"/>
          <w:u w:val="single" w:color="auto"/>
          <w:color w:val="auto"/>
        </w:rPr>
        <w:t>Luk</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9"/>
          <w:szCs w:val="19"/>
          <w:u w:val="single" w:color="auto"/>
          <w:color w:val="auto"/>
        </w:rPr>
        <w:t>J.</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9"/>
          <w:szCs w:val="19"/>
          <w:u w:val="single" w:color="auto"/>
          <w:color w:val="auto"/>
        </w:rPr>
        <w:t>Albrecht</w:t>
      </w:r>
    </w:p>
    <w:p>
      <w:pPr>
        <w:spacing w:after="0" w:line="199" w:lineRule="exact"/>
        <w:rPr>
          <w:sz w:val="20"/>
          <w:szCs w:val="20"/>
          <w:color w:val="auto"/>
        </w:rPr>
      </w:pPr>
    </w:p>
    <w:p>
      <w:pPr>
        <w:jc w:val="center"/>
        <w:ind w:left="1260"/>
        <w:spacing w:after="0"/>
        <w:rPr>
          <w:sz w:val="20"/>
          <w:szCs w:val="20"/>
          <w:color w:val="auto"/>
        </w:rPr>
      </w:pPr>
      <w:r>
        <w:rPr>
          <w:rFonts w:ascii="Arial" w:cs="Arial" w:eastAsia="Arial" w:hAnsi="Arial"/>
          <w:sz w:val="19"/>
          <w:szCs w:val="19"/>
          <w:color w:val="auto"/>
        </w:rPr>
        <w:t>Title: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Seni</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9"/>
          <w:szCs w:val="19"/>
          <w:u w:val="single" w:color="auto"/>
          <w:color w:val="auto"/>
        </w:rPr>
        <w:t>Vice President,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[SIGNATURES CONTINUE ON THE NEXT PAGE]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130810</wp:posOffset>
            </wp:positionV>
            <wp:extent cx="717804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480"/>
          </w:cols>
          <w:pgMar w:left="1180" w:top="543" w:right="239" w:bottom="1440" w:gutter="0" w:footer="0" w:header="0"/>
        </w:sectPr>
      </w:pPr>
    </w:p>
    <w:bookmarkStart w:id="168" w:name="page169"/>
    <w:bookmarkEnd w:id="168"/>
    <w:p>
      <w:pPr>
        <w:ind w:left="4940"/>
        <w:spacing w:after="0"/>
        <w:rPr>
          <w:sz w:val="20"/>
          <w:szCs w:val="20"/>
          <w:color w:val="auto"/>
        </w:rPr>
      </w:pPr>
      <w:r>
        <w:rPr>
          <w:rFonts w:ascii="Arial" w:cs="Arial" w:eastAsia="Arial" w:hAnsi="Arial"/>
          <w:sz w:val="19"/>
          <w:szCs w:val="19"/>
          <w:color w:val="auto"/>
        </w:rPr>
        <w:t>AGENT:</w:t>
      </w:r>
    </w:p>
    <w:p>
      <w:pPr>
        <w:spacing w:after="0" w:line="209"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HERCULES CAPITAL, INC.</w:t>
      </w:r>
    </w:p>
    <w:p>
      <w:pPr>
        <w:spacing w:after="0" w:line="204" w:lineRule="exact"/>
        <w:rPr>
          <w:sz w:val="20"/>
          <w:szCs w:val="20"/>
          <w:color w:val="auto"/>
        </w:rPr>
      </w:pPr>
    </w:p>
    <w:tbl>
      <w:tblPr>
        <w:tblLayout w:type="fixed"/>
        <w:tblInd w:w="4940" w:type="dxa"/>
        <w:tblCellMar>
          <w:top w:w="0" w:type="dxa"/>
          <w:left w:w="0" w:type="dxa"/>
          <w:bottom w:w="0" w:type="dxa"/>
          <w:right w:w="0" w:type="dxa"/>
        </w:tblCellMar>
      </w:tblPr>
      <w:tr>
        <w:trPr>
          <w:trHeight w:val="218"/>
        </w:trPr>
        <w:tc>
          <w:tcPr>
            <w:tcW w:w="1040" w:type="dxa"/>
            <w:vAlign w:val="bottom"/>
          </w:tcPr>
          <w:p>
            <w:pPr>
              <w:spacing w:after="0"/>
              <w:rPr>
                <w:sz w:val="20"/>
                <w:szCs w:val="20"/>
                <w:color w:val="auto"/>
              </w:rPr>
            </w:pPr>
            <w:r>
              <w:rPr>
                <w:rFonts w:ascii="Arial" w:cs="Arial" w:eastAsia="Arial" w:hAnsi="Arial"/>
                <w:sz w:val="19"/>
                <w:szCs w:val="19"/>
                <w:color w:val="auto"/>
              </w:rPr>
              <w:t>Signature:</w:t>
            </w:r>
          </w:p>
        </w:tc>
        <w:tc>
          <w:tcPr>
            <w:tcW w:w="2080" w:type="dxa"/>
            <w:vAlign w:val="bottom"/>
            <w:gridSpan w:val="5"/>
          </w:tcPr>
          <w:p>
            <w:pPr>
              <w:ind w:left="380"/>
              <w:spacing w:after="0"/>
              <w:rPr>
                <w:sz w:val="20"/>
                <w:szCs w:val="20"/>
                <w:color w:val="auto"/>
              </w:rPr>
            </w:pPr>
            <w:r>
              <w:rPr>
                <w:rFonts w:ascii="Arial" w:cs="Arial" w:eastAsia="Arial" w:hAnsi="Arial"/>
                <w:sz w:val="19"/>
                <w:szCs w:val="19"/>
                <w:color w:val="auto"/>
              </w:rPr>
              <w:t>/s/ Zhuo Huang</w:t>
            </w:r>
          </w:p>
        </w:tc>
      </w:tr>
      <w:tr>
        <w:trPr>
          <w:trHeight w:val="414"/>
        </w:trPr>
        <w:tc>
          <w:tcPr>
            <w:tcW w:w="1040" w:type="dxa"/>
            <w:vAlign w:val="bottom"/>
          </w:tcPr>
          <w:p>
            <w:pPr>
              <w:spacing w:after="0"/>
              <w:rPr>
                <w:sz w:val="20"/>
                <w:szCs w:val="20"/>
                <w:color w:val="auto"/>
              </w:rPr>
            </w:pPr>
            <w:r>
              <w:rPr>
                <w:rFonts w:ascii="Arial" w:cs="Arial" w:eastAsia="Arial" w:hAnsi="Arial"/>
                <w:sz w:val="19"/>
                <w:szCs w:val="19"/>
                <w:color w:val="auto"/>
              </w:rPr>
              <w:t>Print Name:</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w w:val="91"/>
              </w:rPr>
              <w:t>Zhuo Huang</w:t>
            </w:r>
          </w:p>
        </w:tc>
        <w:tc>
          <w:tcPr>
            <w:tcW w:w="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414"/>
        </w:trPr>
        <w:tc>
          <w:tcPr>
            <w:tcW w:w="1040" w:type="dxa"/>
            <w:vAlign w:val="bottom"/>
          </w:tcPr>
          <w:p>
            <w:pPr>
              <w:spacing w:after="0"/>
              <w:rPr>
                <w:sz w:val="20"/>
                <w:szCs w:val="20"/>
                <w:color w:val="auto"/>
              </w:rPr>
            </w:pPr>
            <w:r>
              <w:rPr>
                <w:rFonts w:ascii="Arial" w:cs="Arial" w:eastAsia="Arial" w:hAnsi="Arial"/>
                <w:sz w:val="19"/>
                <w:szCs w:val="19"/>
                <w:color w:val="auto"/>
              </w:rPr>
              <w:t>Title:</w:t>
            </w: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9"/>
                <w:szCs w:val="19"/>
                <w:color w:val="auto"/>
                <w:w w:val="89"/>
              </w:rPr>
              <w:t>Associate General Counsel</w:t>
            </w: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152400</wp:posOffset>
            </wp:positionV>
            <wp:extent cx="717804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9019"/>
          </w:cols>
          <w:pgMar w:left="1440" w:top="964" w:right="1440" w:bottom="1440" w:gutter="0" w:footer="0" w:header="0"/>
        </w:sectPr>
      </w:pPr>
    </w:p>
    <w:bookmarkStart w:id="169" w:name="page170"/>
    <w:bookmarkEnd w:id="169"/>
    <w:p>
      <w:pPr>
        <w:ind w:left="4940"/>
        <w:spacing w:after="0"/>
        <w:rPr>
          <w:sz w:val="20"/>
          <w:szCs w:val="20"/>
          <w:color w:val="auto"/>
        </w:rPr>
      </w:pPr>
      <w:r>
        <w:rPr>
          <w:rFonts w:ascii="Arial" w:cs="Arial" w:eastAsia="Arial" w:hAnsi="Arial"/>
          <w:sz w:val="19"/>
          <w:szCs w:val="19"/>
          <w:color w:val="auto"/>
        </w:rPr>
        <w:t>LENDERS:</w:t>
      </w:r>
    </w:p>
    <w:p>
      <w:pPr>
        <w:spacing w:after="0" w:line="209"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HERCULES CAPITAL, INC.</w:t>
      </w:r>
    </w:p>
    <w:p>
      <w:pPr>
        <w:spacing w:after="0" w:line="204" w:lineRule="exact"/>
        <w:rPr>
          <w:sz w:val="20"/>
          <w:szCs w:val="20"/>
          <w:color w:val="auto"/>
        </w:rPr>
      </w:pPr>
    </w:p>
    <w:tbl>
      <w:tblPr>
        <w:tblLayout w:type="fixed"/>
        <w:tblInd w:w="4940" w:type="dxa"/>
        <w:tblCellMar>
          <w:top w:w="0" w:type="dxa"/>
          <w:left w:w="0" w:type="dxa"/>
          <w:bottom w:w="0" w:type="dxa"/>
          <w:right w:w="0" w:type="dxa"/>
        </w:tblCellMar>
      </w:tblPr>
      <w:tr>
        <w:trPr>
          <w:trHeight w:val="218"/>
        </w:trPr>
        <w:tc>
          <w:tcPr>
            <w:tcW w:w="1040" w:type="dxa"/>
            <w:vAlign w:val="bottom"/>
          </w:tcPr>
          <w:p>
            <w:pPr>
              <w:spacing w:after="0"/>
              <w:rPr>
                <w:sz w:val="20"/>
                <w:szCs w:val="20"/>
                <w:color w:val="auto"/>
              </w:rPr>
            </w:pPr>
            <w:r>
              <w:rPr>
                <w:rFonts w:ascii="Arial" w:cs="Arial" w:eastAsia="Arial" w:hAnsi="Arial"/>
                <w:sz w:val="19"/>
                <w:szCs w:val="19"/>
                <w:color w:val="auto"/>
              </w:rPr>
              <w:t>Signature:</w:t>
            </w:r>
          </w:p>
        </w:tc>
        <w:tc>
          <w:tcPr>
            <w:tcW w:w="2080" w:type="dxa"/>
            <w:vAlign w:val="bottom"/>
            <w:gridSpan w:val="5"/>
          </w:tcPr>
          <w:p>
            <w:pPr>
              <w:ind w:left="380"/>
              <w:spacing w:after="0"/>
              <w:rPr>
                <w:sz w:val="20"/>
                <w:szCs w:val="20"/>
                <w:color w:val="auto"/>
              </w:rPr>
            </w:pPr>
            <w:r>
              <w:rPr>
                <w:rFonts w:ascii="Arial" w:cs="Arial" w:eastAsia="Arial" w:hAnsi="Arial"/>
                <w:sz w:val="19"/>
                <w:szCs w:val="19"/>
                <w:color w:val="auto"/>
              </w:rPr>
              <w:t>/s/ Zhuo Huang</w:t>
            </w:r>
          </w:p>
        </w:tc>
      </w:tr>
      <w:tr>
        <w:trPr>
          <w:trHeight w:val="414"/>
        </w:trPr>
        <w:tc>
          <w:tcPr>
            <w:tcW w:w="1040" w:type="dxa"/>
            <w:vAlign w:val="bottom"/>
          </w:tcPr>
          <w:p>
            <w:pPr>
              <w:spacing w:after="0"/>
              <w:rPr>
                <w:sz w:val="20"/>
                <w:szCs w:val="20"/>
                <w:color w:val="auto"/>
              </w:rPr>
            </w:pPr>
            <w:r>
              <w:rPr>
                <w:rFonts w:ascii="Arial" w:cs="Arial" w:eastAsia="Arial" w:hAnsi="Arial"/>
                <w:sz w:val="19"/>
                <w:szCs w:val="19"/>
                <w:color w:val="auto"/>
              </w:rPr>
              <w:t>Print Name:</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w w:val="91"/>
              </w:rPr>
              <w:t>Zhuo Huang</w:t>
            </w:r>
          </w:p>
        </w:tc>
        <w:tc>
          <w:tcPr>
            <w:tcW w:w="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414"/>
        </w:trPr>
        <w:tc>
          <w:tcPr>
            <w:tcW w:w="1040" w:type="dxa"/>
            <w:vAlign w:val="bottom"/>
          </w:tcPr>
          <w:p>
            <w:pPr>
              <w:spacing w:after="0"/>
              <w:rPr>
                <w:sz w:val="20"/>
                <w:szCs w:val="20"/>
                <w:color w:val="auto"/>
              </w:rPr>
            </w:pPr>
            <w:r>
              <w:rPr>
                <w:rFonts w:ascii="Arial" w:cs="Arial" w:eastAsia="Arial" w:hAnsi="Arial"/>
                <w:sz w:val="19"/>
                <w:szCs w:val="19"/>
                <w:color w:val="auto"/>
              </w:rPr>
              <w:t>Title:</w:t>
            </w: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9"/>
                <w:szCs w:val="19"/>
                <w:color w:val="auto"/>
                <w:w w:val="89"/>
              </w:rPr>
              <w:t>Associate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152400</wp:posOffset>
            </wp:positionV>
            <wp:extent cx="717804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9"/>
          <w:szCs w:val="19"/>
          <w:b w:val="1"/>
          <w:bCs w:val="1"/>
          <w:u w:val="single" w:color="auto"/>
          <w:color w:val="auto"/>
        </w:rPr>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583565</wp:posOffset>
            </wp:positionV>
            <wp:extent cx="717804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sectPr>
      </w:pPr>
    </w:p>
    <w:bookmarkStart w:id="171" w:name="page172"/>
    <w:bookmarkEnd w:id="171"/>
    <w:p>
      <w:pPr>
        <w:jc w:val="center"/>
        <w:ind w:right="-59"/>
        <w:spacing w:after="0"/>
        <w:rPr>
          <w:sz w:val="20"/>
          <w:szCs w:val="20"/>
          <w:color w:val="auto"/>
        </w:rPr>
      </w:pPr>
      <w:r>
        <w:rPr>
          <w:rFonts w:ascii="Arial" w:cs="Arial" w:eastAsia="Arial" w:hAnsi="Arial"/>
          <w:sz w:val="19"/>
          <w:szCs w:val="19"/>
          <w:b w:val="1"/>
          <w:bCs w:val="1"/>
          <w:color w:val="auto"/>
        </w:rPr>
        <w:t>LOAN AND SECURITY AGREEMENT</w:t>
      </w:r>
    </w:p>
    <w:p>
      <w:pPr>
        <w:spacing w:after="0" w:line="221" w:lineRule="exact"/>
        <w:rPr>
          <w:sz w:val="20"/>
          <w:szCs w:val="20"/>
          <w:color w:val="auto"/>
        </w:rPr>
      </w:pPr>
    </w:p>
    <w:p>
      <w:pPr>
        <w:ind w:right="20" w:firstLine="864"/>
        <w:spacing w:after="0" w:line="252" w:lineRule="auto"/>
        <w:rPr>
          <w:sz w:val="20"/>
          <w:szCs w:val="20"/>
          <w:color w:val="auto"/>
        </w:rPr>
      </w:pPr>
      <w:r>
        <w:rPr>
          <w:rFonts w:ascii="Arial" w:cs="Arial" w:eastAsia="Arial" w:hAnsi="Arial"/>
          <w:sz w:val="19"/>
          <w:szCs w:val="19"/>
          <w:color w:val="auto"/>
        </w:rPr>
        <w:t>THIS LOAN AND SECURITY AGREEMENT is made and dated as of February 7, 2020 and is entered into by and among SYNDAX PHARMACEUTICALS, INC., a Delaware corporation (“Parent”), and each of its Qualified Subsidiaries (hereinafter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4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6600" w:type="dxa"/>
            <w:vAlign w:val="bottom"/>
            <w:gridSpan w:val="2"/>
          </w:tcPr>
          <w:p>
            <w:pPr>
              <w:jc w:val="center"/>
              <w:ind w:right="4040"/>
              <w:spacing w:after="0"/>
              <w:rPr>
                <w:sz w:val="20"/>
                <w:szCs w:val="20"/>
                <w:color w:val="auto"/>
              </w:rPr>
            </w:pPr>
            <w:r>
              <w:rPr>
                <w:rFonts w:ascii="Arial" w:cs="Arial" w:eastAsia="Arial" w:hAnsi="Arial"/>
                <w:sz w:val="19"/>
                <w:szCs w:val="19"/>
                <w:b w:val="1"/>
                <w:bCs w:val="1"/>
                <w:color w:val="auto"/>
              </w:rPr>
              <w:t>RECITALS</w:t>
            </w:r>
          </w:p>
        </w:tc>
      </w:tr>
      <w:tr>
        <w:trPr>
          <w:trHeight w:val="411"/>
        </w:trPr>
        <w:tc>
          <w:tcPr>
            <w:tcW w:w="480" w:type="dxa"/>
            <w:vAlign w:val="bottom"/>
          </w:tcPr>
          <w:p>
            <w:pPr>
              <w:spacing w:after="0"/>
              <w:rPr>
                <w:sz w:val="20"/>
                <w:szCs w:val="20"/>
                <w:color w:val="auto"/>
              </w:rPr>
            </w:pPr>
            <w:r>
              <w:rPr>
                <w:rFonts w:ascii="Arial" w:cs="Arial" w:eastAsia="Arial" w:hAnsi="Arial"/>
                <w:sz w:val="19"/>
                <w:szCs w:val="19"/>
                <w:color w:val="auto"/>
              </w:rPr>
              <w:t>A.</w:t>
            </w:r>
          </w:p>
        </w:tc>
        <w:tc>
          <w:tcPr>
            <w:tcW w:w="10380" w:type="dxa"/>
            <w:vAlign w:val="bottom"/>
            <w:gridSpan w:val="3"/>
          </w:tcPr>
          <w:p>
            <w:pPr>
              <w:ind w:left="1100"/>
              <w:spacing w:after="0"/>
              <w:rPr>
                <w:sz w:val="20"/>
                <w:szCs w:val="20"/>
                <w:color w:val="auto"/>
              </w:rPr>
            </w:pPr>
            <w:r>
              <w:rPr>
                <w:rFonts w:ascii="Arial" w:cs="Arial" w:eastAsia="Arial" w:hAnsi="Arial"/>
                <w:sz w:val="19"/>
                <w:szCs w:val="19"/>
                <w:color w:val="auto"/>
                <w:w w:val="91"/>
              </w:rPr>
              <w:t>Borrower has requested the Lenders make available to Borrower a loan in an aggregate principal amount of up to Eighty</w:t>
            </w:r>
          </w:p>
        </w:tc>
      </w:tr>
      <w:tr>
        <w:trPr>
          <w:trHeight w:val="246"/>
        </w:trPr>
        <w:tc>
          <w:tcPr>
            <w:tcW w:w="480" w:type="dxa"/>
            <w:vAlign w:val="bottom"/>
          </w:tcPr>
          <w:p>
            <w:pPr>
              <w:spacing w:after="0"/>
              <w:rPr>
                <w:sz w:val="21"/>
                <w:szCs w:val="21"/>
                <w:color w:val="auto"/>
              </w:rPr>
            </w:pPr>
          </w:p>
        </w:tc>
        <w:tc>
          <w:tcPr>
            <w:tcW w:w="10380" w:type="dxa"/>
            <w:vAlign w:val="bottom"/>
            <w:gridSpan w:val="3"/>
          </w:tcPr>
          <w:p>
            <w:pPr>
              <w:ind w:left="300"/>
              <w:spacing w:after="0"/>
              <w:rPr>
                <w:sz w:val="20"/>
                <w:szCs w:val="20"/>
                <w:color w:val="auto"/>
              </w:rPr>
            </w:pPr>
            <w:r>
              <w:rPr>
                <w:rFonts w:ascii="Arial" w:cs="Arial" w:eastAsia="Arial" w:hAnsi="Arial"/>
                <w:sz w:val="19"/>
                <w:szCs w:val="19"/>
                <w:color w:val="auto"/>
              </w:rPr>
              <w:t>Million Dollars ($80,000,000.00) (the “Term Loan”); and</w:t>
            </w:r>
          </w:p>
        </w:tc>
      </w:tr>
      <w:tr>
        <w:trPr>
          <w:trHeight w:val="434"/>
        </w:trPr>
        <w:tc>
          <w:tcPr>
            <w:tcW w:w="480" w:type="dxa"/>
            <w:vAlign w:val="bottom"/>
          </w:tcPr>
          <w:p>
            <w:pPr>
              <w:spacing w:after="0"/>
              <w:rPr>
                <w:sz w:val="20"/>
                <w:szCs w:val="20"/>
                <w:color w:val="auto"/>
              </w:rPr>
            </w:pPr>
            <w:r>
              <w:rPr>
                <w:rFonts w:ascii="Arial" w:cs="Arial" w:eastAsia="Arial" w:hAnsi="Arial"/>
                <w:sz w:val="19"/>
                <w:szCs w:val="19"/>
                <w:color w:val="auto"/>
              </w:rPr>
              <w:t>B.</w:t>
            </w:r>
          </w:p>
        </w:tc>
        <w:tc>
          <w:tcPr>
            <w:tcW w:w="10380" w:type="dxa"/>
            <w:vAlign w:val="bottom"/>
            <w:gridSpan w:val="3"/>
          </w:tcPr>
          <w:p>
            <w:pPr>
              <w:ind w:left="1100"/>
              <w:spacing w:after="0"/>
              <w:rPr>
                <w:sz w:val="20"/>
                <w:szCs w:val="20"/>
                <w:color w:val="auto"/>
              </w:rPr>
            </w:pPr>
            <w:r>
              <w:rPr>
                <w:rFonts w:ascii="Arial" w:cs="Arial" w:eastAsia="Arial" w:hAnsi="Arial"/>
                <w:sz w:val="19"/>
                <w:szCs w:val="19"/>
                <w:color w:val="auto"/>
              </w:rPr>
              <w:t>The Lenders are willing to make the Term Loan on the terms and conditions set forth in this Agreement.</w:t>
            </w:r>
          </w:p>
        </w:tc>
      </w:tr>
      <w:tr>
        <w:trPr>
          <w:trHeight w:val="434"/>
        </w:trPr>
        <w:tc>
          <w:tcPr>
            <w:tcW w:w="4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600" w:type="dxa"/>
            <w:vAlign w:val="bottom"/>
            <w:gridSpan w:val="2"/>
          </w:tcPr>
          <w:p>
            <w:pPr>
              <w:jc w:val="center"/>
              <w:ind w:right="4020"/>
              <w:spacing w:after="0"/>
              <w:rPr>
                <w:sz w:val="20"/>
                <w:szCs w:val="20"/>
                <w:color w:val="auto"/>
              </w:rPr>
            </w:pPr>
            <w:r>
              <w:rPr>
                <w:rFonts w:ascii="Arial" w:cs="Arial" w:eastAsia="Arial" w:hAnsi="Arial"/>
                <w:sz w:val="19"/>
                <w:szCs w:val="19"/>
                <w:b w:val="1"/>
                <w:bCs w:val="1"/>
                <w:color w:val="auto"/>
              </w:rPr>
              <w:t>AGREEMENT</w:t>
            </w:r>
          </w:p>
        </w:tc>
      </w:tr>
      <w:tr>
        <w:trPr>
          <w:trHeight w:val="434"/>
        </w:trPr>
        <w:tc>
          <w:tcPr>
            <w:tcW w:w="480" w:type="dxa"/>
            <w:vAlign w:val="bottom"/>
          </w:tcPr>
          <w:p>
            <w:pPr>
              <w:spacing w:after="0"/>
              <w:rPr>
                <w:sz w:val="24"/>
                <w:szCs w:val="24"/>
                <w:color w:val="auto"/>
              </w:rPr>
            </w:pPr>
          </w:p>
        </w:tc>
        <w:tc>
          <w:tcPr>
            <w:tcW w:w="10380" w:type="dxa"/>
            <w:vAlign w:val="bottom"/>
            <w:gridSpan w:val="3"/>
          </w:tcPr>
          <w:p>
            <w:pPr>
              <w:ind w:left="300"/>
              <w:spacing w:after="0"/>
              <w:rPr>
                <w:sz w:val="20"/>
                <w:szCs w:val="20"/>
                <w:color w:val="auto"/>
              </w:rPr>
            </w:pPr>
            <w:r>
              <w:rPr>
                <w:rFonts w:ascii="Arial" w:cs="Arial" w:eastAsia="Arial" w:hAnsi="Arial"/>
                <w:sz w:val="19"/>
                <w:szCs w:val="19"/>
                <w:color w:val="auto"/>
              </w:rPr>
              <w:t>NOW, THEREFORE, Borrower, Agent and the Lenders agree as follows:</w:t>
            </w:r>
          </w:p>
        </w:tc>
      </w:tr>
      <w:tr>
        <w:trPr>
          <w:trHeight w:val="389"/>
        </w:trPr>
        <w:tc>
          <w:tcPr>
            <w:tcW w:w="480" w:type="dxa"/>
            <w:vAlign w:val="bottom"/>
          </w:tcPr>
          <w:p>
            <w:pPr>
              <w:spacing w:after="0"/>
              <w:rPr>
                <w:sz w:val="24"/>
                <w:szCs w:val="24"/>
                <w:color w:val="auto"/>
              </w:rPr>
            </w:pPr>
          </w:p>
        </w:tc>
        <w:tc>
          <w:tcPr>
            <w:tcW w:w="3780" w:type="dxa"/>
            <w:vAlign w:val="bottom"/>
          </w:tcPr>
          <w:p>
            <w:pPr>
              <w:ind w:left="1980"/>
              <w:spacing w:after="0"/>
              <w:rPr>
                <w:sz w:val="20"/>
                <w:szCs w:val="20"/>
                <w:color w:val="auto"/>
              </w:rPr>
            </w:pPr>
            <w:r>
              <w:rPr>
                <w:rFonts w:ascii="Arial" w:cs="Arial" w:eastAsia="Arial" w:hAnsi="Arial"/>
                <w:sz w:val="19"/>
                <w:szCs w:val="19"/>
                <w:b w:val="1"/>
                <w:bCs w:val="1"/>
                <w:color w:val="auto"/>
              </w:rPr>
              <w:t>SECTION 1.</w:t>
            </w:r>
          </w:p>
        </w:tc>
        <w:tc>
          <w:tcPr>
            <w:tcW w:w="6600" w:type="dxa"/>
            <w:vAlign w:val="bottom"/>
            <w:gridSpan w:val="2"/>
          </w:tcPr>
          <w:p>
            <w:pPr>
              <w:spacing w:after="0"/>
              <w:rPr>
                <w:sz w:val="20"/>
                <w:szCs w:val="20"/>
                <w:color w:val="auto"/>
              </w:rPr>
            </w:pPr>
            <w:r>
              <w:rPr>
                <w:rFonts w:ascii="Arial" w:cs="Arial" w:eastAsia="Arial" w:hAnsi="Arial"/>
                <w:sz w:val="19"/>
                <w:szCs w:val="19"/>
                <w:b w:val="1"/>
                <w:bCs w:val="1"/>
                <w:color w:val="auto"/>
              </w:rPr>
              <w:t>DEFINITIONS AND RULES OF CONSTRUCTION</w:t>
            </w:r>
          </w:p>
        </w:tc>
      </w:tr>
      <w:tr>
        <w:trPr>
          <w:trHeight w:val="20"/>
        </w:trPr>
        <w:tc>
          <w:tcPr>
            <w:tcW w:w="4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59"/>
        </w:trPr>
        <w:tc>
          <w:tcPr>
            <w:tcW w:w="480" w:type="dxa"/>
            <w:vAlign w:val="bottom"/>
          </w:tcPr>
          <w:p>
            <w:pPr>
              <w:spacing w:after="0"/>
              <w:rPr>
                <w:sz w:val="24"/>
                <w:szCs w:val="24"/>
                <w:color w:val="auto"/>
              </w:rPr>
            </w:pPr>
          </w:p>
        </w:tc>
        <w:tc>
          <w:tcPr>
            <w:tcW w:w="10380" w:type="dxa"/>
            <w:vAlign w:val="bottom"/>
            <w:gridSpan w:val="3"/>
          </w:tcPr>
          <w:p>
            <w:pPr>
              <w:ind w:left="300"/>
              <w:spacing w:after="0"/>
              <w:rPr>
                <w:sz w:val="20"/>
                <w:szCs w:val="20"/>
                <w:color w:val="auto"/>
              </w:rPr>
            </w:pPr>
            <w:r>
              <w:rPr>
                <w:rFonts w:ascii="Arial" w:cs="Arial" w:eastAsia="Arial" w:hAnsi="Arial"/>
                <w:sz w:val="19"/>
                <w:szCs w:val="19"/>
                <w:color w:val="auto"/>
              </w:rPr>
              <w:t>1.1   Unless otherwise defined herein, the following capitalized terms shall have the following meanings:</w:t>
            </w:r>
          </w:p>
        </w:tc>
      </w:tr>
    </w:tbl>
    <w:p>
      <w:pPr>
        <w:spacing w:after="0" w:line="188" w:lineRule="exact"/>
        <w:rPr>
          <w:sz w:val="20"/>
          <w:szCs w:val="20"/>
          <w:color w:val="auto"/>
        </w:rPr>
      </w:pPr>
    </w:p>
    <w:p>
      <w:pPr>
        <w:jc w:val="both"/>
        <w:ind w:right="40" w:firstLine="1728"/>
        <w:spacing w:after="0" w:line="260" w:lineRule="auto"/>
        <w:rPr>
          <w:sz w:val="20"/>
          <w:szCs w:val="20"/>
          <w:color w:val="auto"/>
        </w:rPr>
      </w:pPr>
      <w:r>
        <w:rPr>
          <w:rFonts w:ascii="Arial" w:cs="Arial" w:eastAsia="Arial" w:hAnsi="Arial"/>
          <w:sz w:val="19"/>
          <w:szCs w:val="19"/>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71" w:lineRule="exact"/>
        <w:rPr>
          <w:sz w:val="20"/>
          <w:szCs w:val="20"/>
          <w:color w:val="auto"/>
        </w:rPr>
      </w:pPr>
    </w:p>
    <w:p>
      <w:pPr>
        <w:ind w:right="480" w:firstLine="1728"/>
        <w:spacing w:after="0" w:line="275" w:lineRule="auto"/>
        <w:rPr>
          <w:sz w:val="20"/>
          <w:szCs w:val="20"/>
          <w:color w:val="auto"/>
        </w:rPr>
      </w:pPr>
      <w:r>
        <w:rPr>
          <w:rFonts w:ascii="Arial" w:cs="Arial" w:eastAsia="Arial" w:hAnsi="Arial"/>
          <w:sz w:val="19"/>
          <w:szCs w:val="19"/>
          <w:color w:val="auto"/>
        </w:rPr>
        <w:t>“ACH Authorization” means the ACH Debit Authorization Agreement in substantially the form of Exhibit G, which account numbers shall be redacted for security purposes if and when filed publicly by the Borrower.</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“Advance(s)” means a Term Loan Advance.</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“Advance Date” means the funding date of any Advance.</w:t>
      </w:r>
    </w:p>
    <w:p>
      <w:pPr>
        <w:spacing w:after="0" w:line="215" w:lineRule="exact"/>
        <w:rPr>
          <w:sz w:val="20"/>
          <w:szCs w:val="20"/>
          <w:color w:val="auto"/>
        </w:rPr>
      </w:pPr>
    </w:p>
    <w:p>
      <w:pPr>
        <w:ind w:firstLine="1728"/>
        <w:spacing w:after="0" w:line="275" w:lineRule="auto"/>
        <w:rPr>
          <w:sz w:val="20"/>
          <w:szCs w:val="20"/>
          <w:color w:val="auto"/>
        </w:rPr>
      </w:pPr>
      <w:r>
        <w:rPr>
          <w:rFonts w:ascii="Arial" w:cs="Arial" w:eastAsia="Arial" w:hAnsi="Arial"/>
          <w:sz w:val="19"/>
          <w:szCs w:val="19"/>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56" w:lineRule="exact"/>
        <w:rPr>
          <w:sz w:val="20"/>
          <w:szCs w:val="20"/>
          <w:color w:val="auto"/>
        </w:rPr>
      </w:pPr>
    </w:p>
    <w:p>
      <w:pPr>
        <w:ind w:right="80" w:firstLine="1728"/>
        <w:spacing w:after="0" w:line="252" w:lineRule="auto"/>
        <w:rPr>
          <w:sz w:val="20"/>
          <w:szCs w:val="20"/>
          <w:color w:val="auto"/>
        </w:rPr>
      </w:pPr>
      <w:r>
        <w:rPr>
          <w:rFonts w:ascii="Arial" w:cs="Arial" w:eastAsia="Arial" w:hAnsi="Arial"/>
          <w:sz w:val="19"/>
          <w:szCs w:val="19"/>
          <w:color w:val="auto"/>
        </w:rPr>
        <w:t>“Affiliate” means (a) any Person that directly or indirectly controls, is controlled by, or is under common control with the Person in question, (b) any Person directly or indirectly owning, controlling or holding with power to vote thirty percent (30%) or more of the outstanding voting securities of another Person, or (c) any Person thirty percent (30%) or more of whose outstanding voting securities are directly or indirectly owned, controlled or held by another Person with power to vote such securities. As used in the definition of “Affiliate,” the term “control” means the possession, directly or indirectly,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271145</wp:posOffset>
            </wp:positionV>
            <wp:extent cx="717804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172" w:name="page173"/>
    <w:bookmarkEnd w:id="172"/>
    <w:p>
      <w:pPr>
        <w:ind w:right="100"/>
        <w:spacing w:after="0" w:line="275" w:lineRule="auto"/>
        <w:rPr>
          <w:sz w:val="20"/>
          <w:szCs w:val="20"/>
          <w:color w:val="auto"/>
        </w:rPr>
      </w:pPr>
      <w:r>
        <w:rPr>
          <w:rFonts w:ascii="Arial" w:cs="Arial" w:eastAsia="Arial" w:hAnsi="Arial"/>
          <w:sz w:val="19"/>
          <w:szCs w:val="19"/>
          <w:color w:val="auto"/>
        </w:rPr>
        <w:t>the power to direct or cause the direction of the management and policies of a Person, whether through ownership of voting securities, by contract or otherwise.</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“Agreement” means this Loan and Security Agreement, as amended from time to time.</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“Amortization Date” means January 1, 2023; provided however, if the Interest Only Extension Conditions are satisfied, then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January 1, 2024.</w:t>
      </w:r>
    </w:p>
    <w:p>
      <w:pPr>
        <w:spacing w:after="0" w:line="199" w:lineRule="exact"/>
        <w:rPr>
          <w:sz w:val="20"/>
          <w:szCs w:val="20"/>
          <w:color w:val="auto"/>
        </w:rPr>
      </w:pPr>
    </w:p>
    <w:p>
      <w:pPr>
        <w:ind w:right="420" w:firstLine="1728"/>
        <w:spacing w:after="0" w:line="281"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54" w:lineRule="exact"/>
        <w:rPr>
          <w:sz w:val="20"/>
          <w:szCs w:val="20"/>
          <w:color w:val="auto"/>
        </w:rPr>
      </w:pPr>
    </w:p>
    <w:p>
      <w:pPr>
        <w:ind w:right="60" w:firstLine="1728"/>
        <w:spacing w:after="0" w:line="231" w:lineRule="exact"/>
        <w:rPr>
          <w:sz w:val="20"/>
          <w:szCs w:val="20"/>
          <w:color w:val="auto"/>
        </w:rPr>
      </w:pPr>
      <w:r>
        <w:rPr>
          <w:rFonts w:ascii="Arial" w:cs="Arial" w:eastAsia="Arial" w:hAnsi="Arial"/>
          <w:sz w:val="19"/>
          <w:szCs w:val="19"/>
          <w:color w:val="auto"/>
        </w:rPr>
        <w:t>“Anti</w:t>
      </w:r>
      <w:r>
        <w:rPr>
          <w:rFonts w:ascii="MS PGothic" w:cs="MS PGothic" w:eastAsia="MS PGothic" w:hAnsi="MS PGothic"/>
          <w:sz w:val="19"/>
          <w:szCs w:val="19"/>
          <w:color w:val="auto"/>
        </w:rPr>
        <w:t>‑</w:t>
      </w:r>
      <w:r>
        <w:rPr>
          <w:rFonts w:ascii="Arial" w:cs="Arial" w:eastAsia="Arial" w:hAnsi="Arial"/>
          <w:sz w:val="19"/>
          <w:szCs w:val="19"/>
          <w:color w:val="auto"/>
        </w:rPr>
        <w:t>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90" w:lineRule="exact"/>
        <w:rPr>
          <w:sz w:val="20"/>
          <w:szCs w:val="20"/>
          <w:color w:val="auto"/>
        </w:rPr>
      </w:pPr>
    </w:p>
    <w:p>
      <w:pPr>
        <w:ind w:right="40" w:firstLine="1728"/>
        <w:spacing w:after="0" w:line="251" w:lineRule="auto"/>
        <w:rPr>
          <w:sz w:val="20"/>
          <w:szCs w:val="20"/>
          <w:color w:val="auto"/>
        </w:rPr>
      </w:pPr>
      <w:r>
        <w:rPr>
          <w:rFonts w:ascii="Arial" w:cs="Arial" w:eastAsia="Arial" w:hAnsi="Arial"/>
          <w:sz w:val="19"/>
          <w:szCs w:val="19"/>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0" w:lineRule="exact"/>
        <w:rPr>
          <w:sz w:val="20"/>
          <w:szCs w:val="20"/>
          <w:color w:val="auto"/>
        </w:rPr>
      </w:pPr>
    </w:p>
    <w:p>
      <w:pPr>
        <w:ind w:right="60" w:firstLine="1728"/>
        <w:spacing w:after="0" w:line="255" w:lineRule="auto"/>
        <w:rPr>
          <w:sz w:val="20"/>
          <w:szCs w:val="20"/>
          <w:color w:val="auto"/>
        </w:rPr>
      </w:pPr>
      <w:r>
        <w:rPr>
          <w:rFonts w:ascii="Arial" w:cs="Arial" w:eastAsia="Arial" w:hAnsi="Arial"/>
          <w:sz w:val="19"/>
          <w:szCs w:val="19"/>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spacing w:after="0" w:line="175" w:lineRule="exact"/>
        <w:rPr>
          <w:sz w:val="20"/>
          <w:szCs w:val="20"/>
          <w:color w:val="auto"/>
        </w:rPr>
      </w:pPr>
    </w:p>
    <w:p>
      <w:pPr>
        <w:ind w:right="60" w:firstLine="1728"/>
        <w:spacing w:after="0" w:line="260" w:lineRule="auto"/>
        <w:rPr>
          <w:sz w:val="20"/>
          <w:szCs w:val="20"/>
          <w:color w:val="auto"/>
        </w:rPr>
      </w:pPr>
      <w:r>
        <w:rPr>
          <w:rFonts w:ascii="Arial" w:cs="Arial" w:eastAsia="Arial" w:hAnsi="Arial"/>
          <w:sz w:val="19"/>
          <w:szCs w:val="19"/>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ind w:right="100" w:firstLine="1728"/>
        <w:spacing w:after="0" w:line="275" w:lineRule="auto"/>
        <w:rPr>
          <w:sz w:val="20"/>
          <w:szCs w:val="20"/>
          <w:color w:val="auto"/>
        </w:rPr>
      </w:pPr>
      <w:r>
        <w:rPr>
          <w:rFonts w:ascii="Arial" w:cs="Arial" w:eastAsia="Arial" w:hAnsi="Arial"/>
          <w:sz w:val="19"/>
          <w:szCs w:val="19"/>
          <w:color w:val="auto"/>
        </w:rPr>
        <w:t>“Business Day” means any day other than Saturday, Sunday and any other day on which banking institutions in the State of California are closed for business.</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“Cash” means all cash, cash equivalents and liquid funds.</w:t>
      </w:r>
    </w:p>
    <w:p>
      <w:pPr>
        <w:spacing w:after="0" w:line="215" w:lineRule="exact"/>
        <w:rPr>
          <w:sz w:val="20"/>
          <w:szCs w:val="20"/>
          <w:color w:val="auto"/>
        </w:rPr>
      </w:pPr>
    </w:p>
    <w:p>
      <w:pPr>
        <w:ind w:firstLine="1728"/>
        <w:spacing w:after="0" w:line="266" w:lineRule="auto"/>
        <w:rPr>
          <w:sz w:val="20"/>
          <w:szCs w:val="20"/>
          <w:color w:val="auto"/>
        </w:rPr>
      </w:pPr>
      <w:r>
        <w:rPr>
          <w:rFonts w:ascii="Arial" w:cs="Arial" w:eastAsia="Arial" w:hAnsi="Arial"/>
          <w:sz w:val="18"/>
          <w:szCs w:val="18"/>
          <w:color w:val="auto"/>
        </w:rPr>
        <w:t>“Change in Control” means (a) any reorganization, recapitalization, consolidation or merger (or similar transaction or series of related transactions) of Parent, or sale or exchange of outstanding shares (or similar transaction or series of related transactions) of Parent, in each case, in which the “beneficial owners” (as defined in Rules 13(d)-3 and 13(d)-5 under the Exchange Act) of Parent’s outstanding shares immediately before consummation of such transaction or series of related transactions do not, immediately after consummation of such transaction or series of related transactions, continue to beneficially own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Parent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263525</wp:posOffset>
            </wp:positionV>
            <wp:extent cx="717804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3" w:name="page174"/>
    <w:bookmarkEnd w:id="173"/>
    <w:p>
      <w:pPr>
        <w:spacing w:after="0" w:line="275" w:lineRule="auto"/>
        <w:rPr>
          <w:sz w:val="20"/>
          <w:szCs w:val="20"/>
          <w:color w:val="auto"/>
        </w:rPr>
      </w:pPr>
      <w:r>
        <w:rPr>
          <w:rFonts w:ascii="Arial" w:cs="Arial" w:eastAsia="Arial" w:hAnsi="Arial"/>
          <w:sz w:val="19"/>
          <w:szCs w:val="19"/>
          <w:color w:val="auto"/>
        </w:rPr>
        <w:t>the surviving entity or (b) Parent ceases to own 100% of the Equity Interests of any Subsidiary. Notwithstanding the foregoing, the merger of any Borrower into any other Borrower shall not constitute a Change in Control.</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“Closing Date” means the date of this Agreement.</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“Code” means the Internal Revenue Code of 1986, as amended.</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“Common Stock” means the common stock of the Borrower.</w:t>
      </w:r>
    </w:p>
    <w:p>
      <w:pPr>
        <w:spacing w:after="0" w:line="215" w:lineRule="exact"/>
        <w:rPr>
          <w:sz w:val="20"/>
          <w:szCs w:val="20"/>
          <w:color w:val="auto"/>
        </w:rPr>
      </w:pPr>
    </w:p>
    <w:p>
      <w:pPr>
        <w:ind w:right="40" w:firstLine="1728"/>
        <w:spacing w:after="0" w:line="264" w:lineRule="auto"/>
        <w:rPr>
          <w:sz w:val="20"/>
          <w:szCs w:val="20"/>
          <w:color w:val="auto"/>
        </w:rPr>
      </w:pPr>
      <w:r>
        <w:rPr>
          <w:rFonts w:ascii="Arial" w:cs="Arial" w:eastAsia="Arial" w:hAnsi="Arial"/>
          <w:sz w:val="18"/>
          <w:szCs w:val="18"/>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Hedging Agreement;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68" w:lineRule="exact"/>
        <w:rPr>
          <w:sz w:val="20"/>
          <w:szCs w:val="20"/>
          <w:color w:val="auto"/>
        </w:rPr>
      </w:pPr>
    </w:p>
    <w:p>
      <w:pPr>
        <w:ind w:right="180" w:firstLine="1728"/>
        <w:spacing w:after="0" w:line="275" w:lineRule="auto"/>
        <w:rPr>
          <w:sz w:val="20"/>
          <w:szCs w:val="20"/>
          <w:color w:val="auto"/>
        </w:rPr>
      </w:pPr>
      <w:r>
        <w:rPr>
          <w:rFonts w:ascii="Arial" w:cs="Arial" w:eastAsia="Arial" w:hAnsi="Arial"/>
          <w:sz w:val="19"/>
          <w:szCs w:val="19"/>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56" w:lineRule="exact"/>
        <w:rPr>
          <w:sz w:val="20"/>
          <w:szCs w:val="20"/>
          <w:color w:val="auto"/>
        </w:rPr>
      </w:pPr>
    </w:p>
    <w:p>
      <w:pPr>
        <w:ind w:right="360" w:firstLine="1728"/>
        <w:spacing w:after="0" w:line="275" w:lineRule="auto"/>
        <w:rPr>
          <w:sz w:val="20"/>
          <w:szCs w:val="20"/>
          <w:color w:val="auto"/>
        </w:rPr>
      </w:pPr>
      <w:r>
        <w:rPr>
          <w:rFonts w:ascii="Arial" w:cs="Arial" w:eastAsia="Arial" w:hAnsi="Arial"/>
          <w:sz w:val="19"/>
          <w:szCs w:val="19"/>
          <w:color w:val="auto"/>
        </w:rPr>
        <w:t>“Copyrights” means all copyrights, whether registered or unregistered, held pursuant to the laws of the United States of America, any State thereof, or of any other country.</w:t>
      </w:r>
    </w:p>
    <w:p>
      <w:pPr>
        <w:spacing w:after="0" w:line="156" w:lineRule="exact"/>
        <w:rPr>
          <w:sz w:val="20"/>
          <w:szCs w:val="20"/>
          <w:color w:val="auto"/>
        </w:rPr>
      </w:pPr>
    </w:p>
    <w:p>
      <w:pPr>
        <w:ind w:right="40" w:firstLine="1728"/>
        <w:spacing w:after="0" w:line="275" w:lineRule="auto"/>
        <w:rPr>
          <w:sz w:val="20"/>
          <w:szCs w:val="20"/>
          <w:color w:val="auto"/>
        </w:rPr>
      </w:pPr>
      <w:r>
        <w:rPr>
          <w:rFonts w:ascii="Arial" w:cs="Arial" w:eastAsia="Arial" w:hAnsi="Arial"/>
          <w:sz w:val="19"/>
          <w:szCs w:val="19"/>
          <w:color w:val="auto"/>
        </w:rPr>
        <w:t>“Deposit Accounts” means any “deposit accounts,” as such term is defined in the UCC, and includes any checking account, savings account, or certificate of deposit.</w:t>
      </w:r>
    </w:p>
    <w:p>
      <w:pPr>
        <w:spacing w:after="0" w:line="156" w:lineRule="exact"/>
        <w:rPr>
          <w:sz w:val="20"/>
          <w:szCs w:val="20"/>
          <w:color w:val="auto"/>
        </w:rPr>
      </w:pPr>
    </w:p>
    <w:p>
      <w:pPr>
        <w:ind w:right="140" w:firstLine="1728"/>
        <w:spacing w:after="0" w:line="275" w:lineRule="auto"/>
        <w:rPr>
          <w:sz w:val="20"/>
          <w:szCs w:val="20"/>
          <w:color w:val="auto"/>
        </w:rPr>
      </w:pPr>
      <w:r>
        <w:rPr>
          <w:rFonts w:ascii="Arial" w:cs="Arial" w:eastAsia="Arial" w:hAnsi="Arial"/>
          <w:sz w:val="19"/>
          <w:szCs w:val="19"/>
          <w:color w:val="auto"/>
        </w:rPr>
        <w:t>“Domestic Subsidiary” means any Subsidiary organized under the laws of the United States of America, any State thereof, the District of Columbia, or any other jurisdiction within the United States of America.</w:t>
      </w:r>
    </w:p>
    <w:p>
      <w:pPr>
        <w:spacing w:after="0" w:line="156" w:lineRule="exact"/>
        <w:rPr>
          <w:sz w:val="20"/>
          <w:szCs w:val="20"/>
          <w:color w:val="auto"/>
        </w:rPr>
      </w:pPr>
    </w:p>
    <w:p>
      <w:pPr>
        <w:ind w:right="560" w:firstLine="1728"/>
        <w:spacing w:after="0" w:line="275" w:lineRule="auto"/>
        <w:rPr>
          <w:sz w:val="20"/>
          <w:szCs w:val="20"/>
          <w:color w:val="auto"/>
        </w:rPr>
      </w:pPr>
      <w:r>
        <w:rPr>
          <w:rFonts w:ascii="Arial" w:cs="Arial" w:eastAsia="Arial" w:hAnsi="Arial"/>
          <w:sz w:val="19"/>
          <w:szCs w:val="19"/>
          <w:color w:val="auto"/>
        </w:rPr>
        <w:t>“Due Diligence Fee” means $25,000, which fee has been paid to the Lenders prior to the Closing Date, and shall be deemed fully earned on such date regardless of the early termination of this Agreement.</w:t>
      </w:r>
    </w:p>
    <w:p>
      <w:pPr>
        <w:spacing w:after="0" w:line="156" w:lineRule="exact"/>
        <w:rPr>
          <w:sz w:val="20"/>
          <w:szCs w:val="20"/>
          <w:color w:val="auto"/>
        </w:rPr>
      </w:pPr>
    </w:p>
    <w:p>
      <w:pPr>
        <w:ind w:right="20" w:firstLine="1728"/>
        <w:spacing w:after="0" w:line="275" w:lineRule="auto"/>
        <w:rPr>
          <w:sz w:val="20"/>
          <w:szCs w:val="20"/>
          <w:color w:val="auto"/>
        </w:rPr>
      </w:pPr>
      <w:r>
        <w:rPr>
          <w:rFonts w:ascii="Arial" w:cs="Arial" w:eastAsia="Arial" w:hAnsi="Arial"/>
          <w:sz w:val="19"/>
          <w:szCs w:val="19"/>
          <w:color w:val="auto"/>
        </w:rPr>
        <w:t>“Equity Interests” means, with respect to any Person, the capital stock, partnership or limited liability company interest, or other equity securities or equity ownership interests of such Person.</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“ERISA” means the Employee Retirement Income Security Act of 1974, as amended, and the regulations promulgated</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thereunder.</w:t>
      </w:r>
    </w:p>
    <w:p>
      <w:pPr>
        <w:spacing w:after="0" w:line="199"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“Excluded Subsidiary” means (x) Syndax UK and (y) the MSC Subsidiary.</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“FDA” means the United States Food and Drug Administration,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293370</wp:posOffset>
            </wp:positionV>
            <wp:extent cx="717804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74" w:name="page175"/>
    <w:bookmarkEnd w:id="174"/>
    <w:p>
      <w:pPr>
        <w:ind w:right="100" w:firstLine="1728"/>
        <w:spacing w:after="0" w:line="275" w:lineRule="auto"/>
        <w:rPr>
          <w:sz w:val="20"/>
          <w:szCs w:val="20"/>
          <w:color w:val="auto"/>
        </w:rPr>
      </w:pPr>
      <w:r>
        <w:rPr>
          <w:rFonts w:ascii="Arial" w:cs="Arial" w:eastAsia="Arial" w:hAnsi="Arial"/>
          <w:sz w:val="19"/>
          <w:szCs w:val="19"/>
          <w:color w:val="auto"/>
        </w:rPr>
        <w:t>“First Amendment” means that certain First Amendment to Loan and Security Agreement dated as of the First Amendment Effective Date, by and among Borrower, the Lenders and Agent.</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“First Amendment Effective Date” means December 22, 2021.</w:t>
      </w:r>
    </w:p>
    <w:p>
      <w:pPr>
        <w:spacing w:after="0" w:line="215" w:lineRule="exact"/>
        <w:rPr>
          <w:sz w:val="20"/>
          <w:szCs w:val="20"/>
          <w:color w:val="auto"/>
        </w:rPr>
      </w:pPr>
    </w:p>
    <w:p>
      <w:pPr>
        <w:ind w:right="60" w:firstLine="1728"/>
        <w:spacing w:after="0" w:line="283" w:lineRule="auto"/>
        <w:rPr>
          <w:sz w:val="20"/>
          <w:szCs w:val="20"/>
          <w:color w:val="auto"/>
        </w:rPr>
      </w:pPr>
      <w:r>
        <w:rPr>
          <w:rFonts w:ascii="Arial" w:cs="Arial" w:eastAsia="Arial" w:hAnsi="Arial"/>
          <w:sz w:val="17"/>
          <w:szCs w:val="17"/>
          <w:color w:val="auto"/>
        </w:rPr>
        <w:t>“Excluded Accounts” means (i) any Deposit Account that is used solely as a payroll account for the employees of Borrower or any of its Subsidiaries or the funds in which consist solely of funds held in trust for any director, officer or employee of such Borrower or Subsidiary or any employee benefit plan maintained by such Borrower or Subsidiary or funds representing deferred compensation for the directors and employees of such Borrower or Subsidiary, collectively not to exceed 150% of the amount to be paid in the ordinary course of business in the then-next payroll cycle (ii) escrow accounts, Deposit Accounts and trust accounts, in each case holding assets that are pledged or otherwise encumbered as set forth on Schedule 1C or pursuant to Section 7.5 and the definition of Permitted Liens (but only to the extent required to be excluded pursuant to the underlying documents entered into in connection with such Permitted Liens in the ordinary course of business) and (iii) foreign accounts held by Borrower not to exceed $100,000 in the aggregate at any time.</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“Foreign Subsidiary” means any Subsidiary other than a Domestic Subsidiary.</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“GAAP” means generally accepted accounting principles in the United States of America, as in effect from time to time.</w:t>
      </w:r>
    </w:p>
    <w:p>
      <w:pPr>
        <w:spacing w:after="0" w:line="22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“Guaranty” means a guaranty in a form reasonably acceptable to Agent.</w:t>
      </w:r>
    </w:p>
    <w:p>
      <w:pPr>
        <w:spacing w:after="0" w:line="215" w:lineRule="exact"/>
        <w:rPr>
          <w:sz w:val="20"/>
          <w:szCs w:val="20"/>
          <w:color w:val="auto"/>
        </w:rPr>
      </w:pPr>
    </w:p>
    <w:p>
      <w:pPr>
        <w:ind w:right="20" w:firstLine="1728"/>
        <w:spacing w:after="0" w:line="260" w:lineRule="auto"/>
        <w:rPr>
          <w:sz w:val="20"/>
          <w:szCs w:val="20"/>
          <w:color w:val="auto"/>
        </w:rPr>
      </w:pPr>
      <w:r>
        <w:rPr>
          <w:rFonts w:ascii="Arial" w:cs="Arial" w:eastAsia="Arial" w:hAnsi="Arial"/>
          <w:sz w:val="19"/>
          <w:szCs w:val="19"/>
          <w:color w:val="auto"/>
        </w:rPr>
        <w:t>“Hedging Agreement” means any interest rate, currency or commodity swap agreement, interest rate cap agreement, interest rate collar agreement, or other agreement or arrangement designated to protect Borrower or its Subsidiaries against fluctuation in interest rates, currency exchange rates or commodity price.</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“Incyte” means Incyte Corporation, a Delaware corporation.</w:t>
      </w:r>
    </w:p>
    <w:p>
      <w:pPr>
        <w:spacing w:after="0" w:line="215" w:lineRule="exact"/>
        <w:rPr>
          <w:sz w:val="20"/>
          <w:szCs w:val="20"/>
          <w:color w:val="auto"/>
        </w:rPr>
      </w:pPr>
    </w:p>
    <w:p>
      <w:pPr>
        <w:ind w:right="240" w:firstLine="1728"/>
        <w:spacing w:after="0" w:line="260" w:lineRule="auto"/>
        <w:rPr>
          <w:sz w:val="20"/>
          <w:szCs w:val="20"/>
          <w:color w:val="auto"/>
        </w:rPr>
      </w:pPr>
      <w:r>
        <w:rPr>
          <w:rFonts w:ascii="Arial" w:cs="Arial" w:eastAsia="Arial" w:hAnsi="Arial"/>
          <w:sz w:val="19"/>
          <w:szCs w:val="19"/>
          <w:color w:val="auto"/>
        </w:rPr>
        <w:t>“Incyte Collaboration Agreement” mean the Collaboration and License Agreement, dated September 24, 2021, between Borrower and Incyte, the effectiveness of which is conditioned on the early termination or expiration of the waiting period under the Hart-Scott-Rodino Antitrust Improvements Act of 1976.</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“Incyte Letter Agreement” means the letter agreement, dated December 9, 2021, between Borrower and Incyte.</w:t>
      </w:r>
    </w:p>
    <w:p>
      <w:pPr>
        <w:spacing w:after="0" w:line="215" w:lineRule="exact"/>
        <w:rPr>
          <w:sz w:val="20"/>
          <w:szCs w:val="20"/>
          <w:color w:val="auto"/>
        </w:rPr>
      </w:pPr>
    </w:p>
    <w:p>
      <w:pPr>
        <w:ind w:right="960" w:firstLine="1728"/>
        <w:spacing w:after="0" w:line="275" w:lineRule="auto"/>
        <w:rPr>
          <w:sz w:val="20"/>
          <w:szCs w:val="20"/>
          <w:color w:val="auto"/>
        </w:rPr>
      </w:pPr>
      <w:r>
        <w:rPr>
          <w:rFonts w:ascii="Arial" w:cs="Arial" w:eastAsia="Arial" w:hAnsi="Arial"/>
          <w:sz w:val="19"/>
          <w:szCs w:val="19"/>
          <w:color w:val="auto"/>
        </w:rPr>
        <w:t>“Incyte Minimum Cash Amount” means the sum of (i) 150% of the aggregate principal amount of Term Loans outstanding, plus (ii) the Qualified Cash A/P Amount.</w:t>
      </w:r>
    </w:p>
    <w:p>
      <w:pPr>
        <w:spacing w:after="0" w:line="156" w:lineRule="exact"/>
        <w:rPr>
          <w:sz w:val="20"/>
          <w:szCs w:val="20"/>
          <w:color w:val="auto"/>
        </w:rPr>
      </w:pPr>
    </w:p>
    <w:p>
      <w:pPr>
        <w:ind w:right="140" w:firstLine="1728"/>
        <w:spacing w:after="0" w:line="260" w:lineRule="auto"/>
        <w:rPr>
          <w:sz w:val="20"/>
          <w:szCs w:val="20"/>
          <w:color w:val="auto"/>
        </w:rPr>
      </w:pPr>
      <w:r>
        <w:rPr>
          <w:rFonts w:ascii="Arial" w:cs="Arial" w:eastAsia="Arial" w:hAnsi="Arial"/>
          <w:sz w:val="19"/>
          <w:szCs w:val="19"/>
          <w:color w:val="auto"/>
        </w:rPr>
        <w:t>“Incyte Termination Event” means either Borrower or Incyte (i) terminates the Incyte Collaboration Agreement, at any time, pursuant to the Incyte Letter Agreement or otherwise or (ii) amends the Incyte Collaboration Agreement in any manner materially adverse to the Agent or any Lender.</w:t>
      </w:r>
    </w:p>
    <w:p>
      <w:pPr>
        <w:spacing w:after="0" w:line="171" w:lineRule="exact"/>
        <w:rPr>
          <w:sz w:val="20"/>
          <w:szCs w:val="20"/>
          <w:color w:val="auto"/>
        </w:rPr>
      </w:pPr>
    </w:p>
    <w:p>
      <w:pPr>
        <w:jc w:val="both"/>
        <w:ind w:firstLine="1728"/>
        <w:spacing w:after="0" w:line="305" w:lineRule="auto"/>
        <w:rPr>
          <w:sz w:val="20"/>
          <w:szCs w:val="20"/>
          <w:color w:val="auto"/>
        </w:rPr>
      </w:pPr>
      <w:r>
        <w:rPr>
          <w:rFonts w:ascii="Arial" w:cs="Arial" w:eastAsia="Arial" w:hAnsi="Arial"/>
          <w:sz w:val="17"/>
          <w:szCs w:val="17"/>
          <w:color w:val="auto"/>
        </w:rPr>
        <w:t>“Indebtedness” means indebtedness of any kind, including (a) all indebtedness for borrowed money or the deferred purchase price of property or services (excluding trade credit entered into in the ordinary course of business), including reimbursement and other obligations with respect to surety bonds and letters of credit, (b) all obligations evidenced by notes, bonds, debentures or similar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242570</wp:posOffset>
            </wp:positionV>
            <wp:extent cx="717804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75" w:name="page176"/>
    <w:bookmarkEnd w:id="175"/>
    <w:p>
      <w:pPr>
        <w:ind w:left="260" w:hanging="255"/>
        <w:spacing w:after="0"/>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all capital lease obligations, (d) equity securities of any Person subject to repurchase or redemption other than at the sole option of such Person,</w:t>
      </w:r>
    </w:p>
    <w:p>
      <w:pPr>
        <w:spacing w:after="0" w:line="43" w:lineRule="exact"/>
        <w:rPr>
          <w:rFonts w:ascii="Arial" w:cs="Arial" w:eastAsia="Arial" w:hAnsi="Arial"/>
          <w:sz w:val="17"/>
          <w:szCs w:val="17"/>
          <w:color w:val="auto"/>
        </w:rPr>
      </w:pPr>
    </w:p>
    <w:p>
      <w:pPr>
        <w:ind w:right="320" w:firstLine="5"/>
        <w:spacing w:after="0" w:line="257" w:lineRule="auto"/>
        <w:tabs>
          <w:tab w:leader="none" w:pos="258" w:val="left"/>
        </w:tabs>
        <w:numPr>
          <w:ilvl w:val="0"/>
          <w:numId w:val="89"/>
        </w:numPr>
        <w:rPr>
          <w:rFonts w:ascii="Arial" w:cs="Arial" w:eastAsia="Arial" w:hAnsi="Arial"/>
          <w:sz w:val="19"/>
          <w:szCs w:val="19"/>
          <w:color w:val="auto"/>
        </w:rPr>
      </w:pPr>
      <w:r>
        <w:rPr>
          <w:rFonts w:ascii="Arial" w:cs="Arial" w:eastAsia="Arial" w:hAnsi="Arial"/>
          <w:sz w:val="19"/>
          <w:szCs w:val="19"/>
          <w:color w:val="auto"/>
        </w:rPr>
        <w:t>“earnouts”, deferred purchase price and similar payment obligations or continuing obligations of any nature arising out of purchase and sale contracts, and (f) all Contingent Obligations.</w:t>
      </w:r>
    </w:p>
    <w:p>
      <w:pPr>
        <w:spacing w:after="0" w:line="17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“Initial Facility Charge” means One Hundred Thousand Dollars ($100,000).</w:t>
      </w:r>
    </w:p>
    <w:p>
      <w:pPr>
        <w:spacing w:after="0" w:line="215" w:lineRule="exact"/>
        <w:rPr>
          <w:sz w:val="20"/>
          <w:szCs w:val="20"/>
          <w:color w:val="auto"/>
        </w:rPr>
      </w:pPr>
    </w:p>
    <w:p>
      <w:pPr>
        <w:ind w:right="20" w:firstLine="1728"/>
        <w:spacing w:after="0" w:line="260" w:lineRule="auto"/>
        <w:rPr>
          <w:sz w:val="20"/>
          <w:szCs w:val="20"/>
          <w:color w:val="auto"/>
        </w:rPr>
      </w:pPr>
      <w:r>
        <w:rPr>
          <w:rFonts w:ascii="Arial" w:cs="Arial" w:eastAsia="Arial" w:hAnsi="Arial"/>
          <w:sz w:val="19"/>
          <w:szCs w:val="19"/>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71" w:lineRule="exact"/>
        <w:rPr>
          <w:sz w:val="20"/>
          <w:szCs w:val="20"/>
          <w:color w:val="auto"/>
        </w:rPr>
      </w:pPr>
    </w:p>
    <w:p>
      <w:pPr>
        <w:ind w:right="260" w:firstLine="1728"/>
        <w:spacing w:after="0" w:line="255" w:lineRule="auto"/>
        <w:rPr>
          <w:sz w:val="20"/>
          <w:szCs w:val="20"/>
          <w:color w:val="auto"/>
        </w:rPr>
      </w:pPr>
      <w:r>
        <w:rPr>
          <w:rFonts w:ascii="Arial" w:cs="Arial" w:eastAsia="Arial" w:hAnsi="Arial"/>
          <w:sz w:val="19"/>
          <w:szCs w:val="19"/>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75" w:lineRule="exact"/>
        <w:rPr>
          <w:sz w:val="20"/>
          <w:szCs w:val="20"/>
          <w:color w:val="auto"/>
        </w:rPr>
      </w:pPr>
    </w:p>
    <w:p>
      <w:pPr>
        <w:ind w:right="380" w:firstLine="1728"/>
        <w:spacing w:after="0" w:line="260" w:lineRule="auto"/>
        <w:rPr>
          <w:sz w:val="20"/>
          <w:szCs w:val="20"/>
          <w:color w:val="auto"/>
        </w:rPr>
      </w:pPr>
      <w:r>
        <w:rPr>
          <w:rFonts w:ascii="Arial" w:cs="Arial" w:eastAsia="Arial" w:hAnsi="Arial"/>
          <w:sz w:val="19"/>
          <w:szCs w:val="19"/>
          <w:color w:val="auto"/>
        </w:rPr>
        <w:t>“Interest Only Extension Conditions” shall mean satisfaction of each of the following events: (a) no default or Event of Default shall have occurred and be continuing; and (b)(i) on or before April 30, 2022, Borrower draws the full amount of the Tranche 2-A Advance or (ii) on or before November 30, 2022, Borrower draws the full amount of the Tranche 2-B Advance.</w:t>
      </w:r>
    </w:p>
    <w:p>
      <w:pPr>
        <w:spacing w:after="0" w:line="171" w:lineRule="exact"/>
        <w:rPr>
          <w:sz w:val="20"/>
          <w:szCs w:val="20"/>
          <w:color w:val="auto"/>
        </w:rPr>
      </w:pPr>
    </w:p>
    <w:p>
      <w:pPr>
        <w:jc w:val="both"/>
        <w:ind w:right="360" w:firstLine="1728"/>
        <w:spacing w:after="0" w:line="260" w:lineRule="auto"/>
        <w:rPr>
          <w:sz w:val="20"/>
          <w:szCs w:val="20"/>
          <w:color w:val="auto"/>
        </w:rPr>
      </w:pPr>
      <w:r>
        <w:rPr>
          <w:rFonts w:ascii="Arial" w:cs="Arial" w:eastAsia="Arial" w:hAnsi="Arial"/>
          <w:sz w:val="19"/>
          <w:szCs w:val="19"/>
          <w:color w:val="auto"/>
        </w:rPr>
        <w:t>“Investment” means any beneficial ownership (including stock, partnership, limited liability company interests, or other securities) of or in any Person or any loan, advance or capital contribution to any Person or the acquisition of all, or substantially all, assets of another Person.</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“IRS” means the United States Internal Revenue Service.</w:t>
      </w:r>
    </w:p>
    <w:p>
      <w:pPr>
        <w:spacing w:after="0" w:line="215" w:lineRule="exact"/>
        <w:rPr>
          <w:sz w:val="20"/>
          <w:szCs w:val="20"/>
          <w:color w:val="auto"/>
        </w:rPr>
      </w:pPr>
    </w:p>
    <w:p>
      <w:pPr>
        <w:ind w:right="280" w:firstLine="1728"/>
        <w:spacing w:after="0" w:line="275" w:lineRule="auto"/>
        <w:rPr>
          <w:sz w:val="20"/>
          <w:szCs w:val="20"/>
          <w:color w:val="auto"/>
        </w:rPr>
      </w:pPr>
      <w:r>
        <w:rPr>
          <w:rFonts w:ascii="Arial" w:cs="Arial" w:eastAsia="Arial" w:hAnsi="Arial"/>
          <w:sz w:val="19"/>
          <w:szCs w:val="19"/>
          <w:color w:val="auto"/>
        </w:rPr>
        <w:t>“Joinder Agreements” means for each Subsidiary, a completed and executed Joinder Agreement in substantially the form attached hereto as Exhibit F.</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“License” means any Copyright License, Patent License, Trademark License or other license of rights or interests.</w:t>
      </w:r>
    </w:p>
    <w:p>
      <w:pPr>
        <w:spacing w:after="0" w:line="227" w:lineRule="exact"/>
        <w:rPr>
          <w:sz w:val="20"/>
          <w:szCs w:val="20"/>
          <w:color w:val="auto"/>
        </w:rPr>
      </w:pPr>
    </w:p>
    <w:p>
      <w:pPr>
        <w:ind w:right="40" w:firstLine="1728"/>
        <w:spacing w:after="0" w:line="260" w:lineRule="auto"/>
        <w:rPr>
          <w:sz w:val="20"/>
          <w:szCs w:val="20"/>
          <w:color w:val="auto"/>
        </w:rPr>
      </w:pPr>
      <w:r>
        <w:rPr>
          <w:rFonts w:ascii="Arial" w:cs="Arial" w:eastAsia="Arial" w:hAnsi="Arial"/>
          <w:sz w:val="19"/>
          <w:szCs w:val="19"/>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“Loan” means the Advances made under this Agreement.</w:t>
      </w:r>
    </w:p>
    <w:p>
      <w:pPr>
        <w:spacing w:after="0" w:line="215" w:lineRule="exact"/>
        <w:rPr>
          <w:sz w:val="20"/>
          <w:szCs w:val="20"/>
          <w:color w:val="auto"/>
        </w:rPr>
      </w:pPr>
    </w:p>
    <w:p>
      <w:pPr>
        <w:ind w:firstLine="1728"/>
        <w:spacing w:after="0" w:line="255" w:lineRule="auto"/>
        <w:rPr>
          <w:sz w:val="20"/>
          <w:szCs w:val="20"/>
          <w:color w:val="auto"/>
        </w:rPr>
      </w:pPr>
      <w:r>
        <w:rPr>
          <w:rFonts w:ascii="Arial" w:cs="Arial" w:eastAsia="Arial" w:hAnsi="Arial"/>
          <w:sz w:val="19"/>
          <w:szCs w:val="19"/>
          <w:color w:val="auto"/>
        </w:rPr>
        <w:t>“Loan Documents” means this Agreement, the promissory notes (if any), the ACH Authorization, the Account Control Agreements, the Joinder Agreements, all UCC Financing Statements, the Pledge Agreement, and any other documents executed in connection with the Secured Obligations or the transactions contemplated hereby, as the same may from time to time be amended, modified, supplemented or restated.</w:t>
      </w:r>
    </w:p>
    <w:p>
      <w:pPr>
        <w:spacing w:after="0" w:line="175" w:lineRule="exact"/>
        <w:rPr>
          <w:sz w:val="20"/>
          <w:szCs w:val="20"/>
          <w:color w:val="auto"/>
        </w:rPr>
      </w:pPr>
    </w:p>
    <w:p>
      <w:pPr>
        <w:ind w:right="180" w:firstLine="1728"/>
        <w:spacing w:after="0" w:line="260" w:lineRule="auto"/>
        <w:rPr>
          <w:sz w:val="20"/>
          <w:szCs w:val="20"/>
          <w:color w:val="auto"/>
        </w:rPr>
      </w:pPr>
      <w:r>
        <w:rPr>
          <w:rFonts w:ascii="Arial" w:cs="Arial" w:eastAsia="Arial" w:hAnsi="Arial"/>
          <w:sz w:val="19"/>
          <w:szCs w:val="19"/>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ind w:right="80"/>
        <w:spacing w:after="0" w:line="275" w:lineRule="auto"/>
        <w:rPr>
          <w:sz w:val="20"/>
          <w:szCs w:val="20"/>
          <w:color w:val="auto"/>
        </w:rPr>
      </w:pPr>
      <w:r>
        <w:rPr>
          <w:rFonts w:ascii="Arial" w:cs="Arial" w:eastAsia="Arial" w:hAnsi="Arial"/>
          <w:sz w:val="19"/>
          <w:szCs w:val="19"/>
          <w:color w:val="auto"/>
        </w:rPr>
        <w:t>Loan Documents, or the ability of Agent or the Lenders to enforce any of its rights or remedies with respect to the Secured Obligations; or (iii) the Collateral or Agent’s Liens on the Collateral or the priority of such Liens.</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“Maximum Term Loan Amount” means Eighty Million and No/100 Dollars ($80,000,000.00).</w:t>
      </w:r>
    </w:p>
    <w:p>
      <w:pPr>
        <w:spacing w:after="0" w:line="215" w:lineRule="exact"/>
        <w:rPr>
          <w:sz w:val="20"/>
          <w:szCs w:val="20"/>
          <w:color w:val="auto"/>
        </w:rPr>
      </w:pPr>
    </w:p>
    <w:p>
      <w:pPr>
        <w:ind w:right="100" w:firstLine="1728"/>
        <w:spacing w:after="0" w:line="252" w:lineRule="auto"/>
        <w:rPr>
          <w:sz w:val="20"/>
          <w:szCs w:val="20"/>
          <w:color w:val="auto"/>
        </w:rPr>
      </w:pPr>
      <w:r>
        <w:rPr>
          <w:rFonts w:ascii="Arial" w:cs="Arial" w:eastAsia="Arial" w:hAnsi="Arial"/>
          <w:sz w:val="19"/>
          <w:szCs w:val="19"/>
          <w:color w:val="auto"/>
        </w:rPr>
        <w:t>“MSC Investment Conditions” means that Borrower maintains Qualified Cash in an amount equal to or greater than the lesser of (i) 110% of the aggregate outstanding Secured Obligations (inclusive of any Prepayment Charge and End of Term Charges that would be due and owing if the outstanding Loans were prepaid at the time of measurement) or (ii) 100% of the consolidated Cash of Borrower and its Subsidiaries unless compliance with the foregoing conditions are waived in writing from time to time by Agent with respect to specified periods, in Agent’s sole discretion.</w:t>
      </w:r>
    </w:p>
    <w:p>
      <w:pPr>
        <w:spacing w:after="0" w:line="194" w:lineRule="exact"/>
        <w:rPr>
          <w:sz w:val="20"/>
          <w:szCs w:val="20"/>
          <w:color w:val="auto"/>
        </w:rPr>
      </w:pPr>
    </w:p>
    <w:p>
      <w:pPr>
        <w:ind w:firstLine="1728"/>
        <w:spacing w:after="0" w:line="281" w:lineRule="auto"/>
        <w:rPr>
          <w:sz w:val="20"/>
          <w:szCs w:val="20"/>
          <w:color w:val="auto"/>
        </w:rPr>
      </w:pPr>
      <w:r>
        <w:rPr>
          <w:rFonts w:ascii="Arial" w:cs="Arial" w:eastAsia="Arial" w:hAnsi="Arial"/>
          <w:sz w:val="18"/>
          <w:szCs w:val="18"/>
          <w:color w:val="auto"/>
        </w:rPr>
        <w:t>“MSC Subsidiary” means Syndax Securities Corporation, a wholly-owned Subsidiary incorporated in the Commonwealth of Massachusetts for the purpose of holding Investments as a Massachusetts security corporation under 830 CMR 63.38B.1 of the Massachusetts tax code and applicable regulations (as the same may be amended, modified or replaced from time to time).</w:t>
      </w:r>
    </w:p>
    <w:p>
      <w:pPr>
        <w:spacing w:after="0" w:line="16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“NDA” means a new drug application, submitted to the FDA pursuant to 21 U.S.C. §355 for authorization to market a new</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drug.</w:t>
      </w:r>
    </w:p>
    <w:p>
      <w:pPr>
        <w:spacing w:after="0" w:line="212" w:lineRule="exact"/>
        <w:rPr>
          <w:sz w:val="20"/>
          <w:szCs w:val="20"/>
          <w:color w:val="auto"/>
        </w:rPr>
      </w:pPr>
    </w:p>
    <w:p>
      <w:pPr>
        <w:ind w:right="160" w:firstLine="1728"/>
        <w:spacing w:after="0" w:line="275" w:lineRule="auto"/>
        <w:rPr>
          <w:sz w:val="20"/>
          <w:szCs w:val="20"/>
          <w:color w:val="auto"/>
        </w:rPr>
      </w:pPr>
      <w:r>
        <w:rPr>
          <w:rFonts w:ascii="Arial" w:cs="Arial" w:eastAsia="Arial" w:hAnsi="Arial"/>
          <w:sz w:val="19"/>
          <w:szCs w:val="19"/>
          <w:color w:val="auto"/>
        </w:rPr>
        <w:t>“Non-Disclosure Agreement” means that certain Non-Disclosure Agreement by and between Syndax Pharmaceuticals and Hercules Capital dated as of November 27, 2018.</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“OFAC” is the U.S. Department of Treasury Office of Foreign Assets Control.</w:t>
      </w:r>
    </w:p>
    <w:p>
      <w:pPr>
        <w:spacing w:after="0" w:line="215" w:lineRule="exact"/>
        <w:rPr>
          <w:sz w:val="20"/>
          <w:szCs w:val="20"/>
          <w:color w:val="auto"/>
        </w:rPr>
      </w:pPr>
    </w:p>
    <w:p>
      <w:pPr>
        <w:ind w:right="40" w:firstLine="1728"/>
        <w:spacing w:after="0" w:line="281" w:lineRule="auto"/>
        <w:rPr>
          <w:sz w:val="20"/>
          <w:szCs w:val="20"/>
          <w:color w:val="auto"/>
        </w:rPr>
      </w:pPr>
      <w:r>
        <w:rPr>
          <w:rFonts w:ascii="Arial" w:cs="Arial" w:eastAsia="Arial" w:hAnsi="Arial"/>
          <w:sz w:val="18"/>
          <w:szCs w:val="18"/>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54" w:lineRule="exact"/>
        <w:rPr>
          <w:sz w:val="20"/>
          <w:szCs w:val="20"/>
          <w:color w:val="auto"/>
        </w:rPr>
      </w:pPr>
    </w:p>
    <w:p>
      <w:pPr>
        <w:ind w:right="480" w:firstLine="1728"/>
        <w:spacing w:after="0" w:line="303" w:lineRule="auto"/>
        <w:rPr>
          <w:sz w:val="20"/>
          <w:szCs w:val="20"/>
          <w:color w:val="auto"/>
        </w:rPr>
      </w:pPr>
      <w:r>
        <w:rPr>
          <w:rFonts w:ascii="Arial" w:cs="Arial" w:eastAsia="Arial" w:hAnsi="Arial"/>
          <w:sz w:val="18"/>
          <w:szCs w:val="18"/>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35" w:lineRule="exact"/>
        <w:rPr>
          <w:sz w:val="20"/>
          <w:szCs w:val="20"/>
          <w:color w:val="auto"/>
        </w:rPr>
      </w:pPr>
    </w:p>
    <w:p>
      <w:pPr>
        <w:jc w:val="both"/>
        <w:ind w:firstLine="1728"/>
        <w:spacing w:after="0" w:line="260" w:lineRule="auto"/>
        <w:rPr>
          <w:sz w:val="20"/>
          <w:szCs w:val="20"/>
          <w:color w:val="auto"/>
        </w:rPr>
      </w:pPr>
      <w:r>
        <w:rPr>
          <w:rFonts w:ascii="Arial" w:cs="Arial" w:eastAsia="Arial" w:hAnsi="Arial"/>
          <w:sz w:val="19"/>
          <w:szCs w:val="19"/>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“Permitted Indebtedness” means:</w:t>
      </w:r>
    </w:p>
    <w:p>
      <w:pPr>
        <w:sectPr>
          <w:pgSz w:w="11900" w:h="16838" w:orient="portrait"/>
          <w:cols w:equalWidth="0" w:num="1">
            <w:col w:w="11240"/>
          </w:cols>
          <w:pgMar w:left="320" w:top="333" w:right="339" w:bottom="1440" w:gutter="0" w:footer="0" w:header="0"/>
        </w:sectPr>
      </w:pPr>
    </w:p>
    <w:p>
      <w:pPr>
        <w:spacing w:after="0" w:line="215"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(i)</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or any other Loan Document;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Indebtedness of Borrower in favor of the Lenders or Agent arising under this Agreement</w:t>
      </w:r>
    </w:p>
    <w:p>
      <w:pPr>
        <w:spacing w:after="0" w:line="439" w:lineRule="exact"/>
        <w:rPr>
          <w:sz w:val="20"/>
          <w:szCs w:val="20"/>
          <w:color w:val="auto"/>
        </w:rPr>
      </w:pPr>
    </w:p>
    <w:p>
      <w:pPr>
        <w:sectPr>
          <w:pgSz w:w="11900" w:h="16838" w:orient="portrait"/>
          <w:cols w:equalWidth="0" w:num="2">
            <w:col w:w="3580" w:space="720"/>
            <w:col w:w="6940"/>
          </w:cols>
          <w:pgMar w:left="320" w:top="333" w:right="339" w:bottom="1440" w:gutter="0" w:footer="0" w:header="0"/>
          <w:type w:val="continuous"/>
        </w:sectPr>
      </w:pPr>
    </w:p>
    <w:p>
      <w:pPr>
        <w:spacing w:after="0" w:line="22" w:lineRule="exact"/>
        <w:rPr>
          <w:sz w:val="20"/>
          <w:szCs w:val="20"/>
          <w:color w:val="auto"/>
        </w:rPr>
      </w:pPr>
    </w:p>
    <w:p>
      <w:pPr>
        <w:jc w:val="center"/>
        <w:ind w:left="74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Indebtedness existing on the Closing Date which is disclosed in Schedule 1A;</w:t>
      </w:r>
    </w:p>
    <w:p>
      <w:pPr>
        <w:spacing w:after="0" w:line="223" w:lineRule="exact"/>
        <w:rPr>
          <w:sz w:val="20"/>
          <w:szCs w:val="20"/>
          <w:color w:val="auto"/>
        </w:rPr>
      </w:pPr>
    </w:p>
    <w:p>
      <w:pPr>
        <w:sectPr>
          <w:pgSz w:w="11900" w:h="16838" w:orient="portrait"/>
          <w:cols w:equalWidth="0" w:num="2">
            <w:col w:w="3620" w:space="720"/>
            <w:col w:w="6900"/>
          </w:cols>
          <w:pgMar w:left="320" w:top="333" w:right="339" w:bottom="1440" w:gutter="0" w:footer="0" w:header="0"/>
          <w:type w:val="continuous"/>
        </w:sectPr>
      </w:pPr>
    </w:p>
    <w:p>
      <w:pPr>
        <w:spacing w:after="0" w:line="15" w:lineRule="exact"/>
        <w:rPr>
          <w:sz w:val="20"/>
          <w:szCs w:val="20"/>
          <w:color w:val="auto"/>
        </w:rPr>
      </w:pPr>
    </w:p>
    <w:p>
      <w:pPr>
        <w:ind w:left="2060"/>
        <w:spacing w:after="0"/>
        <w:tabs>
          <w:tab w:leader="none" w:pos="438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Indebtedness of up to $500,000 outstanding at any time secured by a Lien described in</w:t>
      </w:r>
    </w:p>
    <w:p>
      <w:pPr>
        <w:sectPr>
          <w:pgSz w:w="11900" w:h="16838" w:orient="portrait"/>
          <w:cols w:equalWidth="0" w:num="1">
            <w:col w:w="11240"/>
          </w:cols>
          <w:pgMar w:left="320" w:top="333" w:right="339" w:bottom="1440" w:gutter="0" w:footer="0" w:header="0"/>
          <w:type w:val="continuous"/>
        </w:sectPr>
      </w:pPr>
    </w:p>
    <w:p>
      <w:pPr>
        <w:spacing w:after="0" w:line="50" w:lineRule="exact"/>
        <w:rPr>
          <w:sz w:val="20"/>
          <w:szCs w:val="20"/>
          <w:color w:val="auto"/>
        </w:rPr>
      </w:pPr>
    </w:p>
    <w:p>
      <w:pPr>
        <w:ind w:left="860" w:right="20"/>
        <w:spacing w:after="0" w:line="250" w:lineRule="auto"/>
        <w:rPr>
          <w:sz w:val="20"/>
          <w:szCs w:val="20"/>
          <w:color w:val="auto"/>
        </w:rPr>
      </w:pPr>
      <w:r>
        <w:rPr>
          <w:rFonts w:ascii="Arial" w:cs="Arial" w:eastAsia="Arial" w:hAnsi="Arial"/>
          <w:sz w:val="19"/>
          <w:szCs w:val="19"/>
          <w:color w:val="auto"/>
        </w:rPr>
        <w:t>clause (vii) of the defined term “Permitted Liens,” provided such Indebtedness does not exceed the cost of the Equipment financed with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270510</wp:posOffset>
            </wp:positionV>
            <wp:extent cx="717804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77" w:name="page178"/>
    <w:bookmarkEnd w:id="177"/>
    <w:p>
      <w:pPr>
        <w:ind w:right="260" w:firstLine="1197"/>
        <w:spacing w:after="0" w:line="260" w:lineRule="auto"/>
        <w:rPr>
          <w:sz w:val="20"/>
          <w:szCs w:val="20"/>
          <w:color w:val="auto"/>
        </w:rPr>
      </w:pPr>
      <w:r>
        <w:rPr>
          <w:rFonts w:ascii="Arial" w:cs="Arial" w:eastAsia="Arial" w:hAnsi="Arial"/>
          <w:sz w:val="19"/>
          <w:szCs w:val="19"/>
          <w:color w:val="auto"/>
        </w:rPr>
        <w:t>(iv) Indebtedness to trade creditors incurred in the ordinary course of business and Indebtedness incurred in the ordinary course of business with corporate credit cards, merchant cards, purchase cards, debit cards and other similar instruments in an amount not to exceed $600,000 at any time outstanding;</w:t>
      </w:r>
    </w:p>
    <w:p>
      <w:pPr>
        <w:sectPr>
          <w:pgSz w:w="11900" w:h="16838" w:orient="portrait"/>
          <w:cols w:equalWidth="0" w:num="1">
            <w:col w:w="10360"/>
          </w:cols>
          <w:pgMar w:left="1180" w:top="543" w:right="359" w:bottom="1440" w:gutter="0" w:footer="0" w:header="0"/>
        </w:sectPr>
      </w:pP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Indebtedness that also constitutes a Permitted Investment;</w:t>
      </w:r>
    </w:p>
    <w:p>
      <w:pPr>
        <w:spacing w:after="0" w:line="211" w:lineRule="exact"/>
        <w:rPr>
          <w:sz w:val="20"/>
          <w:szCs w:val="20"/>
          <w:color w:val="auto"/>
        </w:rPr>
      </w:pPr>
    </w:p>
    <w:p>
      <w:pPr>
        <w:sectPr>
          <w:pgSz w:w="11900" w:h="16838" w:orient="portrait"/>
          <w:cols w:equalWidth="0" w:num="2">
            <w:col w:w="2760" w:space="720"/>
            <w:col w:w="6880"/>
          </w:cols>
          <w:pgMar w:left="1180" w:top="543" w:right="359" w:bottom="1440" w:gutter="0" w:footer="0" w:header="0"/>
          <w:type w:val="continuous"/>
        </w:sectPr>
      </w:pPr>
    </w:p>
    <w:p>
      <w:pPr>
        <w:spacing w:after="0" w:line="27"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(vi)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Subordinated Indebtedness;</w:t>
      </w:r>
    </w:p>
    <w:p>
      <w:pPr>
        <w:spacing w:after="0" w:line="234" w:lineRule="exact"/>
        <w:rPr>
          <w:sz w:val="20"/>
          <w:szCs w:val="20"/>
          <w:color w:val="auto"/>
        </w:rPr>
      </w:pPr>
    </w:p>
    <w:p>
      <w:pPr>
        <w:sectPr>
          <w:pgSz w:w="11900" w:h="16838" w:orient="portrait"/>
          <w:cols w:equalWidth="0" w:num="2">
            <w:col w:w="2820" w:space="720"/>
            <w:col w:w="6820"/>
          </w:cols>
          <w:pgMar w:left="1180" w:top="543" w:right="359" w:bottom="1440" w:gutter="0" w:footer="0" w:header="0"/>
          <w:type w:val="continuous"/>
        </w:sectPr>
      </w:pPr>
    </w:p>
    <w:p>
      <w:pPr>
        <w:spacing w:after="0" w:line="15" w:lineRule="exact"/>
        <w:rPr>
          <w:sz w:val="20"/>
          <w:szCs w:val="20"/>
          <w:color w:val="auto"/>
        </w:rPr>
      </w:pPr>
    </w:p>
    <w:p>
      <w:pPr>
        <w:ind w:firstLine="1197"/>
        <w:spacing w:after="0" w:line="255" w:lineRule="auto"/>
        <w:rPr>
          <w:sz w:val="20"/>
          <w:szCs w:val="20"/>
          <w:color w:val="auto"/>
        </w:rPr>
      </w:pPr>
      <w:r>
        <w:rPr>
          <w:rFonts w:ascii="Arial" w:cs="Arial" w:eastAsia="Arial" w:hAnsi="Arial"/>
          <w:sz w:val="19"/>
          <w:szCs w:val="19"/>
          <w:color w:val="auto"/>
        </w:rPr>
        <w:t>(vii) reimbursement obligations in connection with letters of credit, including those provided for the benefit of a landlord in connection with real property leases for office spaces in the ordinary course of business, that are secured by Cash and issued on behalf of the Borrower or a Subsidiary thereof in an amount not to exceed $500,000 at any time outstanding,</w:t>
      </w:r>
    </w:p>
    <w:p>
      <w:pPr>
        <w:sectPr>
          <w:pgSz w:w="11900" w:h="16838" w:orient="portrait"/>
          <w:cols w:equalWidth="0" w:num="1">
            <w:col w:w="10360"/>
          </w:cols>
          <w:pgMar w:left="1180" w:top="543" w:right="359" w:bottom="1440" w:gutter="0" w:footer="0" w:header="0"/>
          <w:type w:val="continuous"/>
        </w:sectPr>
      </w:pPr>
    </w:p>
    <w:p>
      <w:pPr>
        <w:spacing w:after="0" w:line="175"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(viii)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other unsecured Indebtedness in an amount not to exceed $250,000 at any time</w:t>
      </w:r>
    </w:p>
    <w:p>
      <w:pPr>
        <w:spacing w:after="0" w:line="50" w:lineRule="exact"/>
        <w:rPr>
          <w:sz w:val="20"/>
          <w:szCs w:val="20"/>
          <w:color w:val="auto"/>
        </w:rPr>
      </w:pPr>
    </w:p>
    <w:p>
      <w:pPr>
        <w:sectPr>
          <w:pgSz w:w="11900" w:h="16838" w:orient="portrait"/>
          <w:cols w:equalWidth="0" w:num="2">
            <w:col w:w="2920" w:space="720"/>
            <w:col w:w="6720"/>
          </w:cols>
          <w:pgMar w:left="1180" w:top="543" w:right="359" w:bottom="1440" w:gutter="0" w:footer="0" w:header="0"/>
          <w:type w:val="continuous"/>
        </w:sectPr>
      </w:pPr>
    </w:p>
    <w:p>
      <w:pPr>
        <w:spacing w:after="0"/>
        <w:rPr>
          <w:sz w:val="20"/>
          <w:szCs w:val="20"/>
          <w:color w:val="auto"/>
        </w:rPr>
      </w:pPr>
      <w:r>
        <w:rPr>
          <w:rFonts w:ascii="Arial" w:cs="Arial" w:eastAsia="Arial" w:hAnsi="Arial"/>
          <w:sz w:val="19"/>
          <w:szCs w:val="19"/>
          <w:color w:val="auto"/>
        </w:rPr>
        <w:t>outstanding,</w:t>
      </w:r>
    </w:p>
    <w:p>
      <w:pPr>
        <w:spacing w:after="0" w:line="193" w:lineRule="exact"/>
        <w:rPr>
          <w:sz w:val="20"/>
          <w:szCs w:val="20"/>
          <w:color w:val="auto"/>
        </w:rPr>
      </w:pPr>
    </w:p>
    <w:p>
      <w:pPr>
        <w:ind w:left="1200"/>
        <w:spacing w:after="0"/>
        <w:tabs>
          <w:tab w:leader="none" w:pos="3520" w:val="left"/>
        </w:tabs>
        <w:rPr>
          <w:sz w:val="20"/>
          <w:szCs w:val="20"/>
          <w:color w:val="auto"/>
        </w:rPr>
      </w:pPr>
      <w:r>
        <w:rPr>
          <w:rFonts w:ascii="Arial" w:cs="Arial" w:eastAsia="Arial" w:hAnsi="Arial"/>
          <w:sz w:val="17"/>
          <w:szCs w:val="17"/>
          <w:color w:val="auto"/>
        </w:rPr>
        <w:t>(ix)</w:t>
      </w:r>
      <w:r>
        <w:rPr>
          <w:sz w:val="20"/>
          <w:szCs w:val="20"/>
          <w:color w:val="auto"/>
        </w:rPr>
        <w:tab/>
      </w:r>
      <w:r>
        <w:rPr>
          <w:rFonts w:ascii="Arial" w:cs="Arial" w:eastAsia="Arial" w:hAnsi="Arial"/>
          <w:sz w:val="17"/>
          <w:szCs w:val="17"/>
          <w:color w:val="auto"/>
        </w:rPr>
        <w:t>intercompany Indebtedness as long as either (A) each of the Subsidiary obligor and the</w:t>
      </w:r>
    </w:p>
    <w:p>
      <w:pPr>
        <w:sectPr>
          <w:pgSz w:w="11900" w:h="16838" w:orient="portrait"/>
          <w:cols w:equalWidth="0" w:num="1">
            <w:col w:w="10360"/>
          </w:cols>
          <w:pgMar w:left="1180" w:top="543" w:right="359" w:bottom="1440" w:gutter="0" w:footer="0" w:header="0"/>
          <w:type w:val="continuous"/>
        </w:sectPr>
      </w:pPr>
    </w:p>
    <w:p>
      <w:pPr>
        <w:spacing w:after="0" w:line="50" w:lineRule="exact"/>
        <w:rPr>
          <w:sz w:val="20"/>
          <w:szCs w:val="20"/>
          <w:color w:val="auto"/>
        </w:rPr>
      </w:pPr>
    </w:p>
    <w:p>
      <w:pPr>
        <w:ind w:right="800"/>
        <w:spacing w:after="0" w:line="250" w:lineRule="auto"/>
        <w:rPr>
          <w:sz w:val="20"/>
          <w:szCs w:val="20"/>
          <w:color w:val="auto"/>
        </w:rPr>
      </w:pPr>
      <w:r>
        <w:rPr>
          <w:rFonts w:ascii="Arial" w:cs="Arial" w:eastAsia="Arial" w:hAnsi="Arial"/>
          <w:sz w:val="19"/>
          <w:szCs w:val="19"/>
          <w:color w:val="auto"/>
        </w:rPr>
        <w:t>Subsidiary obligee under such Indebtedness is a Subsidiary that has executed a Joinder Agreement or (B) such indebtedness constituted a Permitted Investment pursuant to clause (x) of Permitted Investments;</w:t>
      </w:r>
    </w:p>
    <w:p>
      <w:pPr>
        <w:spacing w:after="0" w:line="180" w:lineRule="exact"/>
        <w:rPr>
          <w:sz w:val="20"/>
          <w:szCs w:val="20"/>
          <w:color w:val="auto"/>
        </w:rPr>
      </w:pPr>
    </w:p>
    <w:p>
      <w:pPr>
        <w:ind w:left="2060" w:hanging="854"/>
        <w:spacing w:after="0"/>
        <w:tabs>
          <w:tab w:leader="none" w:pos="2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obligations under any Hedging Agreement in an aggregate amount not to exceed $250,000 outstanding at</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any time;</w:t>
      </w:r>
    </w:p>
    <w:p>
      <w:pPr>
        <w:spacing w:after="0" w:line="199" w:lineRule="exact"/>
        <w:rPr>
          <w:sz w:val="20"/>
          <w:szCs w:val="20"/>
          <w:color w:val="auto"/>
        </w:rPr>
      </w:pPr>
    </w:p>
    <w:p>
      <w:pPr>
        <w:ind w:right="280" w:firstLine="1206"/>
        <w:spacing w:after="0" w:line="275" w:lineRule="auto"/>
        <w:tabs>
          <w:tab w:leader="none" w:pos="2106" w:val="left"/>
        </w:tabs>
        <w:numPr>
          <w:ilvl w:val="0"/>
          <w:numId w:val="91"/>
        </w:numPr>
        <w:rPr>
          <w:rFonts w:ascii="Arial" w:cs="Arial" w:eastAsia="Arial" w:hAnsi="Arial"/>
          <w:sz w:val="19"/>
          <w:szCs w:val="19"/>
          <w:color w:val="auto"/>
        </w:rPr>
      </w:pPr>
      <w:r>
        <w:rPr>
          <w:rFonts w:ascii="Arial" w:cs="Arial" w:eastAsia="Arial" w:hAnsi="Arial"/>
          <w:sz w:val="19"/>
          <w:szCs w:val="19"/>
          <w:color w:val="auto"/>
        </w:rPr>
        <w:t>licenses permitted pursuant to clause (ii) of the definition of Permitted Transfers or otherwise permitted hereunder, to the extent involving the incurrence of Indebtedness;</w:t>
      </w:r>
    </w:p>
    <w:p>
      <w:pPr>
        <w:spacing w:after="0" w:line="156" w:lineRule="exact"/>
        <w:rPr>
          <w:rFonts w:ascii="Arial" w:cs="Arial" w:eastAsia="Arial" w:hAnsi="Arial"/>
          <w:sz w:val="19"/>
          <w:szCs w:val="19"/>
          <w:color w:val="auto"/>
        </w:rPr>
      </w:pPr>
    </w:p>
    <w:p>
      <w:pPr>
        <w:ind w:right="160" w:firstLine="1206"/>
        <w:spacing w:after="0" w:line="260" w:lineRule="auto"/>
        <w:tabs>
          <w:tab w:leader="none" w:pos="2159" w:val="left"/>
        </w:tabs>
        <w:numPr>
          <w:ilvl w:val="0"/>
          <w:numId w:val="91"/>
        </w:numPr>
        <w:rPr>
          <w:rFonts w:ascii="Arial" w:cs="Arial" w:eastAsia="Arial" w:hAnsi="Arial"/>
          <w:sz w:val="19"/>
          <w:szCs w:val="19"/>
          <w:color w:val="auto"/>
        </w:rPr>
      </w:pPr>
      <w:r>
        <w:rPr>
          <w:rFonts w:ascii="Arial" w:cs="Arial" w:eastAsia="Arial" w:hAnsi="Arial"/>
          <w:sz w:val="19"/>
          <w:szCs w:val="19"/>
          <w:color w:val="auto"/>
        </w:rPr>
        <w:t>extensions, refinancings and renewals of any items of Permitted Indebtedness, provided that the principal amount is not increased or the terms modified to impose materially more burdensome terms upon Borrower or its Subsidiary, as the case may be; and</w:t>
      </w:r>
    </w:p>
    <w:p>
      <w:pPr>
        <w:spacing w:after="0" w:line="170" w:lineRule="exact"/>
        <w:rPr>
          <w:rFonts w:ascii="Arial" w:cs="Arial" w:eastAsia="Arial" w:hAnsi="Arial"/>
          <w:sz w:val="19"/>
          <w:szCs w:val="19"/>
          <w:color w:val="auto"/>
        </w:rPr>
      </w:pPr>
    </w:p>
    <w:p>
      <w:pPr>
        <w:ind w:right="80" w:firstLine="1206"/>
        <w:spacing w:after="0" w:line="255" w:lineRule="auto"/>
        <w:tabs>
          <w:tab w:leader="none" w:pos="2213" w:val="left"/>
        </w:tabs>
        <w:numPr>
          <w:ilvl w:val="0"/>
          <w:numId w:val="91"/>
        </w:numPr>
        <w:rPr>
          <w:rFonts w:ascii="Arial" w:cs="Arial" w:eastAsia="Arial" w:hAnsi="Arial"/>
          <w:sz w:val="19"/>
          <w:szCs w:val="19"/>
          <w:color w:val="auto"/>
        </w:rPr>
      </w:pPr>
      <w:r>
        <w:rPr>
          <w:rFonts w:ascii="Arial" w:cs="Arial" w:eastAsia="Arial" w:hAnsi="Arial"/>
          <w:sz w:val="19"/>
          <w:szCs w:val="19"/>
          <w:color w:val="auto"/>
        </w:rPr>
        <w:t>without duplication to the extent constituting Indebtedness, obligations of the Borrower under each of: (a) that certain License Agreement by and between Vitae Pharmaceuticals, Inc. and Parent, dated October 17, 2017, as amended as of March 8, 2017, and (b) that certain License Agreement by and between UCB Biopharma Sprl and Parent, dated as of July 1, 2016, as amended as of January 25, 2019.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“Permitted Investment” means:</w:t>
      </w:r>
    </w:p>
    <w:p>
      <w:pPr>
        <w:sectPr>
          <w:pgSz w:w="11900" w:h="16838" w:orient="portrait"/>
          <w:cols w:equalWidth="0" w:num="1">
            <w:col w:w="10360"/>
          </w:cols>
          <w:pgMar w:left="1180" w:top="543" w:right="359" w:bottom="1440" w:gutter="0" w:footer="0" w:header="0"/>
          <w:type w:val="continuous"/>
        </w:sectPr>
      </w:pPr>
    </w:p>
    <w:p>
      <w:pPr>
        <w:spacing w:after="0" w:line="215"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Investments existing on the Closing Date which are disclosed in Schedule 1B;</w:t>
      </w:r>
    </w:p>
    <w:p>
      <w:pPr>
        <w:spacing w:after="0" w:line="223" w:lineRule="exact"/>
        <w:rPr>
          <w:sz w:val="20"/>
          <w:szCs w:val="20"/>
          <w:color w:val="auto"/>
        </w:rPr>
      </w:pPr>
    </w:p>
    <w:p>
      <w:pPr>
        <w:sectPr>
          <w:pgSz w:w="11900" w:h="16838" w:orient="portrait"/>
          <w:cols w:equalWidth="0" w:num="2">
            <w:col w:w="2720" w:space="720"/>
            <w:col w:w="6920"/>
          </w:cols>
          <w:pgMar w:left="1180" w:top="543" w:right="359" w:bottom="1440" w:gutter="0" w:footer="0" w:header="0"/>
          <w:type w:val="continuous"/>
        </w:sectPr>
      </w:pPr>
    </w:p>
    <w:p>
      <w:pPr>
        <w:spacing w:after="0" w:line="15" w:lineRule="exact"/>
        <w:rPr>
          <w:sz w:val="20"/>
          <w:szCs w:val="20"/>
          <w:color w:val="auto"/>
        </w:rPr>
      </w:pPr>
    </w:p>
    <w:p>
      <w:pPr>
        <w:ind w:left="1200"/>
        <w:spacing w:after="0"/>
        <w:tabs>
          <w:tab w:leader="none" w:pos="3460" w:val="left"/>
        </w:tabs>
        <w:rPr>
          <w:sz w:val="20"/>
          <w:szCs w:val="20"/>
          <w:color w:val="auto"/>
        </w:rPr>
      </w:pPr>
      <w:r>
        <w:rPr>
          <w:rFonts w:ascii="Arial" w:cs="Arial" w:eastAsia="Arial" w:hAnsi="Arial"/>
          <w:sz w:val="17"/>
          <w:szCs w:val="17"/>
          <w:color w:val="auto"/>
        </w:rPr>
        <w:t>(ii)</w:t>
      </w:r>
      <w:r>
        <w:rPr>
          <w:sz w:val="20"/>
          <w:szCs w:val="20"/>
          <w:color w:val="auto"/>
        </w:rPr>
        <w:tab/>
      </w:r>
      <w:r>
        <w:rPr>
          <w:rFonts w:ascii="Arial" w:cs="Arial" w:eastAsia="Arial" w:hAnsi="Arial"/>
          <w:sz w:val="17"/>
          <w:szCs w:val="17"/>
          <w:color w:val="auto"/>
        </w:rPr>
        <w:t>Investments described in Borrower’s investment policy as approved by Agent in writing</w:t>
      </w:r>
    </w:p>
    <w:p>
      <w:pPr>
        <w:sectPr>
          <w:pgSz w:w="11900" w:h="16838" w:orient="portrait"/>
          <w:cols w:equalWidth="0" w:num="1">
            <w:col w:w="10360"/>
          </w:cols>
          <w:pgMar w:left="1180" w:top="543" w:right="359" w:bottom="1440" w:gutter="0" w:footer="0" w:header="0"/>
          <w:type w:val="continuous"/>
        </w:sectPr>
      </w:pPr>
    </w:p>
    <w:p>
      <w:pPr>
        <w:spacing w:after="0" w:line="50"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(it being understood that the investment policy provided to Agent prior to the Closing Date shall be deemed approved in writing) from time to time;</w:t>
      </w:r>
    </w:p>
    <w:p>
      <w:pPr>
        <w:spacing w:after="0" w:line="180" w:lineRule="exact"/>
        <w:rPr>
          <w:sz w:val="20"/>
          <w:szCs w:val="20"/>
          <w:color w:val="auto"/>
        </w:rPr>
      </w:pPr>
    </w:p>
    <w:p>
      <w:pPr>
        <w:ind w:right="40" w:firstLine="1197"/>
        <w:spacing w:after="0" w:line="260" w:lineRule="auto"/>
        <w:rPr>
          <w:sz w:val="20"/>
          <w:szCs w:val="20"/>
          <w:color w:val="auto"/>
        </w:rPr>
      </w:pPr>
      <w:r>
        <w:rPr>
          <w:rFonts w:ascii="Arial" w:cs="Arial" w:eastAsia="Arial" w:hAnsi="Arial"/>
          <w:sz w:val="19"/>
          <w:szCs w:val="19"/>
          <w:color w:val="auto"/>
        </w:rPr>
        <w:t>(iii) repurchases of stock from former employees, directors, or consultants of Borrower under the terms of applicable repurchase agreements at the original issuance price of such securities in an aggregate amount not to exceed $500,000 in any fiscal year, provided that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264795</wp:posOffset>
            </wp:positionV>
            <wp:extent cx="717804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360"/>
          </w:cols>
          <w:pgMar w:left="1180" w:top="543" w:right="359" w:bottom="1440" w:gutter="0" w:footer="0" w:header="0"/>
          <w:type w:val="continuous"/>
        </w:sectPr>
      </w:pPr>
    </w:p>
    <w:bookmarkStart w:id="178" w:name="page179"/>
    <w:bookmarkEnd w:id="178"/>
    <w:p>
      <w:pPr>
        <w:ind w:left="860"/>
        <w:spacing w:after="0"/>
        <w:rPr>
          <w:sz w:val="20"/>
          <w:szCs w:val="20"/>
          <w:color w:val="auto"/>
        </w:rPr>
      </w:pPr>
      <w:r>
        <w:rPr>
          <w:rFonts w:ascii="Arial" w:cs="Arial" w:eastAsia="Arial" w:hAnsi="Arial"/>
          <w:sz w:val="17"/>
          <w:szCs w:val="17"/>
          <w:color w:val="auto"/>
        </w:rPr>
        <w:t>Event of Default has occurred, is continuing or would exist immediately after giving effect to the repurchases;</w:t>
      </w:r>
    </w:p>
    <w:p>
      <w:pPr>
        <w:sectPr>
          <w:pgSz w:w="11900" w:h="16838" w:orient="portrait"/>
          <w:cols w:equalWidth="0" w:num="1">
            <w:col w:w="11260"/>
          </w:cols>
          <w:pgMar w:left="320" w:top="333" w:right="319" w:bottom="1440" w:gutter="0" w:footer="0" w:header="0"/>
        </w:sectPr>
      </w:pPr>
    </w:p>
    <w:p>
      <w:pPr>
        <w:spacing w:after="0" w:line="238"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Investments accepted or in connection with in connection with Permitted Transfers;</w:t>
      </w:r>
    </w:p>
    <w:p>
      <w:pPr>
        <w:spacing w:after="0" w:line="223" w:lineRule="exact"/>
        <w:rPr>
          <w:sz w:val="20"/>
          <w:szCs w:val="20"/>
          <w:color w:val="auto"/>
        </w:rPr>
      </w:pPr>
    </w:p>
    <w:p>
      <w:pPr>
        <w:sectPr>
          <w:pgSz w:w="11900" w:h="16838" w:orient="portrait"/>
          <w:cols w:equalWidth="0" w:num="2">
            <w:col w:w="3680" w:space="720"/>
            <w:col w:w="6860"/>
          </w:cols>
          <w:pgMar w:left="320" w:top="333" w:right="319" w:bottom="1440" w:gutter="0" w:footer="0" w:header="0"/>
          <w:type w:val="continuous"/>
        </w:sectPr>
      </w:pPr>
    </w:p>
    <w:p>
      <w:pPr>
        <w:spacing w:after="0" w:line="15" w:lineRule="exact"/>
        <w:rPr>
          <w:sz w:val="20"/>
          <w:szCs w:val="20"/>
          <w:color w:val="auto"/>
        </w:rPr>
      </w:pPr>
    </w:p>
    <w:p>
      <w:pPr>
        <w:ind w:left="2060"/>
        <w:spacing w:after="0"/>
        <w:tabs>
          <w:tab w:leader="none" w:pos="4320" w:val="left"/>
        </w:tabs>
        <w:rPr>
          <w:sz w:val="20"/>
          <w:szCs w:val="20"/>
          <w:color w:val="auto"/>
        </w:rPr>
      </w:pPr>
      <w:r>
        <w:rPr>
          <w:rFonts w:ascii="Arial" w:cs="Arial" w:eastAsia="Arial" w:hAnsi="Arial"/>
          <w:sz w:val="17"/>
          <w:szCs w:val="17"/>
          <w:color w:val="auto"/>
        </w:rPr>
        <w:t>(v)</w:t>
      </w:r>
      <w:r>
        <w:rPr>
          <w:sz w:val="20"/>
          <w:szCs w:val="20"/>
          <w:color w:val="auto"/>
        </w:rPr>
        <w:tab/>
      </w:r>
      <w:r>
        <w:rPr>
          <w:rFonts w:ascii="Arial" w:cs="Arial" w:eastAsia="Arial" w:hAnsi="Arial"/>
          <w:sz w:val="17"/>
          <w:szCs w:val="17"/>
          <w:color w:val="auto"/>
        </w:rPr>
        <w:t>Investments (including debt obligations) (a) received in connection with the bankruptcy or</w:t>
      </w:r>
    </w:p>
    <w:p>
      <w:pPr>
        <w:sectPr>
          <w:pgSz w:w="11900" w:h="16838" w:orient="portrait"/>
          <w:cols w:equalWidth="0" w:num="1">
            <w:col w:w="11260"/>
          </w:cols>
          <w:pgMar w:left="320" w:top="333" w:right="319" w:bottom="1440" w:gutter="0" w:footer="0" w:header="0"/>
          <w:type w:val="continuous"/>
        </w:sectPr>
      </w:pPr>
    </w:p>
    <w:p>
      <w:pPr>
        <w:spacing w:after="0" w:line="50" w:lineRule="exact"/>
        <w:rPr>
          <w:sz w:val="20"/>
          <w:szCs w:val="20"/>
          <w:color w:val="auto"/>
        </w:rPr>
      </w:pPr>
    </w:p>
    <w:p>
      <w:pPr>
        <w:jc w:val="both"/>
        <w:ind w:left="860" w:right="180"/>
        <w:spacing w:after="0" w:line="248" w:lineRule="auto"/>
        <w:rPr>
          <w:sz w:val="20"/>
          <w:szCs w:val="20"/>
          <w:color w:val="auto"/>
        </w:rPr>
      </w:pPr>
      <w:r>
        <w:rPr>
          <w:rFonts w:ascii="Arial" w:cs="Arial" w:eastAsia="Arial" w:hAnsi="Arial"/>
          <w:sz w:val="19"/>
          <w:szCs w:val="19"/>
          <w:color w:val="auto"/>
        </w:rPr>
        <w:t>reorganization of customers or suppliers and in settlement of delinquent or doubtful obligations of, and other disputes with, customers or suppliers arising in the ordinary course of Borrower’s business and (b) consisting of the endorsement of negotiable instruments for deposit or collection or similar transactions in the ordinary course of business;</w:t>
      </w:r>
    </w:p>
    <w:p>
      <w:pPr>
        <w:spacing w:after="0" w:line="181" w:lineRule="exact"/>
        <w:rPr>
          <w:sz w:val="20"/>
          <w:szCs w:val="20"/>
          <w:color w:val="auto"/>
        </w:rPr>
      </w:pPr>
    </w:p>
    <w:p>
      <w:pPr>
        <w:ind w:left="860" w:right="280" w:firstLine="1197"/>
        <w:spacing w:after="0" w:line="260" w:lineRule="auto"/>
        <w:rPr>
          <w:sz w:val="20"/>
          <w:szCs w:val="20"/>
          <w:color w:val="auto"/>
        </w:rPr>
      </w:pPr>
      <w:r>
        <w:rPr>
          <w:rFonts w:ascii="Arial" w:cs="Arial" w:eastAsia="Arial" w:hAnsi="Arial"/>
          <w:sz w:val="19"/>
          <w:szCs w:val="19"/>
          <w:color w:val="auto"/>
        </w:rPr>
        <w:t>(vi) 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71" w:lineRule="exact"/>
        <w:rPr>
          <w:sz w:val="20"/>
          <w:szCs w:val="20"/>
          <w:color w:val="auto"/>
        </w:rPr>
      </w:pPr>
    </w:p>
    <w:p>
      <w:pPr>
        <w:ind w:left="860" w:right="520" w:firstLine="1197"/>
        <w:spacing w:after="0" w:line="260" w:lineRule="auto"/>
        <w:rPr>
          <w:sz w:val="20"/>
          <w:szCs w:val="20"/>
          <w:color w:val="auto"/>
        </w:rPr>
      </w:pPr>
      <w:r>
        <w:rPr>
          <w:rFonts w:ascii="Arial" w:cs="Arial" w:eastAsia="Arial" w:hAnsi="Arial"/>
          <w:sz w:val="19"/>
          <w:szCs w:val="19"/>
          <w:color w:val="auto"/>
        </w:rPr>
        <w:t>(vii) 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w:t>
      </w:r>
    </w:p>
    <w:p>
      <w:pPr>
        <w:sectPr>
          <w:pgSz w:w="11900" w:h="16838" w:orient="portrait"/>
          <w:cols w:equalWidth="0" w:num="1">
            <w:col w:w="11260"/>
          </w:cols>
          <w:pgMar w:left="320" w:top="333" w:right="319" w:bottom="1440" w:gutter="0" w:footer="0" w:header="0"/>
          <w:type w:val="continuous"/>
        </w:sectPr>
      </w:pPr>
    </w:p>
    <w:p>
      <w:pPr>
        <w:spacing w:after="0" w:line="171" w:lineRule="exact"/>
        <w:rPr>
          <w:sz w:val="20"/>
          <w:szCs w:val="20"/>
          <w:color w:val="auto"/>
        </w:rPr>
      </w:pPr>
    </w:p>
    <w:p>
      <w:pPr>
        <w:jc w:val="center"/>
        <w:ind w:left="740"/>
        <w:spacing w:after="0"/>
        <w:rPr>
          <w:sz w:val="20"/>
          <w:szCs w:val="20"/>
          <w:color w:val="auto"/>
        </w:rPr>
      </w:pPr>
      <w:r>
        <w:rPr>
          <w:rFonts w:ascii="Arial" w:cs="Arial" w:eastAsia="Arial" w:hAnsi="Arial"/>
          <w:sz w:val="19"/>
          <w:szCs w:val="19"/>
          <w:color w:val="auto"/>
        </w:rPr>
        <w:t>(viii)</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Investments consisting of travel advances in the ordinary course of business;</w:t>
      </w:r>
    </w:p>
    <w:p>
      <w:pPr>
        <w:spacing w:after="0" w:line="223" w:lineRule="exact"/>
        <w:rPr>
          <w:sz w:val="20"/>
          <w:szCs w:val="20"/>
          <w:color w:val="auto"/>
        </w:rPr>
      </w:pPr>
    </w:p>
    <w:p>
      <w:pPr>
        <w:sectPr>
          <w:pgSz w:w="11900" w:h="16838" w:orient="portrait"/>
          <w:cols w:equalWidth="0" w:num="2">
            <w:col w:w="3780" w:space="720"/>
            <w:col w:w="6760"/>
          </w:cols>
          <w:pgMar w:left="320" w:top="333" w:right="319" w:bottom="1440" w:gutter="0" w:footer="0" w:header="0"/>
          <w:type w:val="continuous"/>
        </w:sectPr>
      </w:pPr>
    </w:p>
    <w:p>
      <w:pPr>
        <w:spacing w:after="0" w:line="15" w:lineRule="exact"/>
        <w:rPr>
          <w:sz w:val="20"/>
          <w:szCs w:val="20"/>
          <w:color w:val="auto"/>
        </w:rPr>
      </w:pPr>
    </w:p>
    <w:p>
      <w:pPr>
        <w:ind w:left="860" w:right="300" w:firstLine="1197"/>
        <w:spacing w:after="0" w:line="260" w:lineRule="auto"/>
        <w:rPr>
          <w:sz w:val="20"/>
          <w:szCs w:val="20"/>
          <w:color w:val="auto"/>
        </w:rPr>
      </w:pPr>
      <w:r>
        <w:rPr>
          <w:rFonts w:ascii="Arial" w:cs="Arial" w:eastAsia="Arial" w:hAnsi="Arial"/>
          <w:sz w:val="19"/>
          <w:szCs w:val="19"/>
          <w:color w:val="auto"/>
        </w:rPr>
        <w:t>(ix) Investments in newly-formed Subsidiaries, provided that each such Subsidiary enters into a Joinder Agreement promptly after its formation by Borrower and execute such other documents as shall be reasonably requested by Agent;</w:t>
      </w:r>
    </w:p>
    <w:p>
      <w:pPr>
        <w:sectPr>
          <w:pgSz w:w="11900" w:h="16838" w:orient="portrait"/>
          <w:cols w:equalWidth="0" w:num="1">
            <w:col w:w="11260"/>
          </w:cols>
          <w:pgMar w:left="320" w:top="333" w:right="319" w:bottom="1440" w:gutter="0" w:footer="0" w:header="0"/>
          <w:type w:val="continuous"/>
        </w:sectPr>
      </w:pP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(x)</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$500,000 in the aggregate in any fiscal year;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Foreign Subsidiaries that are not co-Borrowers or Guarantors, not exceed</w:t>
      </w:r>
    </w:p>
    <w:p>
      <w:pPr>
        <w:spacing w:after="0" w:line="439" w:lineRule="exact"/>
        <w:rPr>
          <w:sz w:val="20"/>
          <w:szCs w:val="20"/>
          <w:color w:val="auto"/>
        </w:rPr>
      </w:pPr>
    </w:p>
    <w:p>
      <w:pPr>
        <w:sectPr>
          <w:pgSz w:w="11900" w:h="16838" w:orient="portrait"/>
          <w:cols w:equalWidth="0" w:num="2">
            <w:col w:w="4300" w:space="40"/>
            <w:col w:w="6920"/>
          </w:cols>
          <w:pgMar w:left="320" w:top="333" w:right="319" w:bottom="1440" w:gutter="0" w:footer="0" w:header="0"/>
          <w:type w:val="continuous"/>
        </w:sectPr>
      </w:pPr>
    </w:p>
    <w:p>
      <w:pPr>
        <w:spacing w:after="0" w:line="22" w:lineRule="exact"/>
        <w:rPr>
          <w:sz w:val="20"/>
          <w:szCs w:val="20"/>
          <w:color w:val="auto"/>
        </w:rPr>
      </w:pPr>
    </w:p>
    <w:p>
      <w:pPr>
        <w:ind w:left="2060"/>
        <w:spacing w:after="0"/>
        <w:tabs>
          <w:tab w:leader="none" w:pos="4380" w:val="left"/>
        </w:tabs>
        <w:rPr>
          <w:sz w:val="20"/>
          <w:szCs w:val="20"/>
          <w:color w:val="auto"/>
        </w:rPr>
      </w:pPr>
      <w:r>
        <w:rPr>
          <w:rFonts w:ascii="Arial" w:cs="Arial" w:eastAsia="Arial" w:hAnsi="Arial"/>
          <w:sz w:val="17"/>
          <w:szCs w:val="17"/>
          <w:color w:val="auto"/>
        </w:rPr>
        <w:t>(xi)</w:t>
      </w:r>
      <w:r>
        <w:rPr>
          <w:sz w:val="20"/>
          <w:szCs w:val="20"/>
          <w:color w:val="auto"/>
        </w:rPr>
        <w:tab/>
      </w:r>
      <w:r>
        <w:rPr>
          <w:rFonts w:ascii="Arial" w:cs="Arial" w:eastAsia="Arial" w:hAnsi="Arial"/>
          <w:sz w:val="17"/>
          <w:szCs w:val="17"/>
          <w:color w:val="auto"/>
        </w:rPr>
        <w:t>joint ventures or strategic alliances in the ordinary course of Borrower’s business,</w:t>
      </w:r>
    </w:p>
    <w:p>
      <w:pPr>
        <w:sectPr>
          <w:pgSz w:w="11900" w:h="16838" w:orient="portrait"/>
          <w:cols w:equalWidth="0" w:num="1">
            <w:col w:w="11260"/>
          </w:cols>
          <w:pgMar w:left="320" w:top="333" w:right="319" w:bottom="1440" w:gutter="0" w:footer="0" w:header="0"/>
          <w:type w:val="continuous"/>
        </w:sectPr>
      </w:pPr>
    </w:p>
    <w:p>
      <w:pPr>
        <w:spacing w:after="0" w:line="50" w:lineRule="exact"/>
        <w:rPr>
          <w:sz w:val="20"/>
          <w:szCs w:val="20"/>
          <w:color w:val="auto"/>
        </w:rPr>
      </w:pPr>
    </w:p>
    <w:p>
      <w:pPr>
        <w:ind w:left="860" w:right="360"/>
        <w:spacing w:after="0" w:line="250" w:lineRule="auto"/>
        <w:rPr>
          <w:sz w:val="20"/>
          <w:szCs w:val="20"/>
          <w:color w:val="auto"/>
        </w:rPr>
      </w:pPr>
      <w:r>
        <w:rPr>
          <w:rFonts w:ascii="Arial" w:cs="Arial" w:eastAsia="Arial" w:hAnsi="Arial"/>
          <w:sz w:val="19"/>
          <w:szCs w:val="19"/>
          <w:color w:val="auto"/>
        </w:rPr>
        <w:t>including the joint venture pursuant to the Incyte Collaboration Agreement, provided that any cash Investments by Borrower do not exceed $2,000,000 in the aggregate during the term of this Agreement;</w:t>
      </w:r>
    </w:p>
    <w:p>
      <w:pPr>
        <w:spacing w:after="0" w:line="180" w:lineRule="exact"/>
        <w:rPr>
          <w:sz w:val="20"/>
          <w:szCs w:val="20"/>
          <w:color w:val="auto"/>
        </w:rPr>
      </w:pPr>
    </w:p>
    <w:p>
      <w:pPr>
        <w:ind w:left="860" w:right="160" w:firstLine="1197"/>
        <w:spacing w:after="0" w:line="260" w:lineRule="auto"/>
        <w:rPr>
          <w:sz w:val="20"/>
          <w:szCs w:val="20"/>
          <w:color w:val="auto"/>
        </w:rPr>
      </w:pPr>
      <w:r>
        <w:rPr>
          <w:rFonts w:ascii="Arial" w:cs="Arial" w:eastAsia="Arial" w:hAnsi="Arial"/>
          <w:sz w:val="19"/>
          <w:szCs w:val="19"/>
          <w:color w:val="auto"/>
        </w:rPr>
        <w:t>(xii) Investments in the MSC Subsidiary, so long as an Event of Default does not exist at the time of such Investment and would not exist after giving effect to such Investment and provided that Borrower is, at all times, in compliance with the MSC Investment Conditions;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ind w:left="2060"/>
              <w:spacing w:after="0"/>
              <w:rPr>
                <w:sz w:val="20"/>
                <w:szCs w:val="20"/>
                <w:color w:val="auto"/>
              </w:rPr>
            </w:pPr>
            <w:r>
              <w:rPr>
                <w:rFonts w:ascii="Arial" w:cs="Arial" w:eastAsia="Arial" w:hAnsi="Arial"/>
                <w:sz w:val="19"/>
                <w:szCs w:val="19"/>
                <w:color w:val="auto"/>
              </w:rPr>
              <w:t>(xiii)</w:t>
            </w:r>
          </w:p>
        </w:tc>
        <w:tc>
          <w:tcPr>
            <w:tcW w:w="7260" w:type="dxa"/>
            <w:vAlign w:val="bottom"/>
          </w:tcPr>
          <w:p>
            <w:pPr>
              <w:ind w:left="500"/>
              <w:spacing w:after="0"/>
              <w:rPr>
                <w:sz w:val="20"/>
                <w:szCs w:val="20"/>
                <w:color w:val="auto"/>
              </w:rPr>
            </w:pPr>
            <w:r>
              <w:rPr>
                <w:rFonts w:ascii="Arial" w:cs="Arial" w:eastAsia="Arial" w:hAnsi="Arial"/>
                <w:sz w:val="19"/>
                <w:szCs w:val="19"/>
                <w:color w:val="auto"/>
              </w:rPr>
              <w:t>Hedging Agreements permitted under clause (x) of the definition of Permitted</w:t>
            </w:r>
          </w:p>
        </w:tc>
      </w:tr>
      <w:tr>
        <w:trPr>
          <w:trHeight w:val="246"/>
        </w:trPr>
        <w:tc>
          <w:tcPr>
            <w:tcW w:w="4000" w:type="dxa"/>
            <w:vAlign w:val="bottom"/>
          </w:tcPr>
          <w:p>
            <w:pPr>
              <w:ind w:left="860"/>
              <w:spacing w:after="0"/>
              <w:rPr>
                <w:sz w:val="20"/>
                <w:szCs w:val="20"/>
                <w:color w:val="auto"/>
              </w:rPr>
            </w:pPr>
            <w:r>
              <w:rPr>
                <w:rFonts w:ascii="Arial" w:cs="Arial" w:eastAsia="Arial" w:hAnsi="Arial"/>
                <w:sz w:val="19"/>
                <w:szCs w:val="19"/>
                <w:color w:val="auto"/>
              </w:rPr>
              <w:t>Indebtedness; and</w:t>
            </w:r>
          </w:p>
        </w:tc>
        <w:tc>
          <w:tcPr>
            <w:tcW w:w="7260" w:type="dxa"/>
            <w:vAlign w:val="bottom"/>
          </w:tcPr>
          <w:p>
            <w:pPr>
              <w:spacing w:after="0"/>
              <w:rPr>
                <w:sz w:val="21"/>
                <w:szCs w:val="21"/>
                <w:color w:val="auto"/>
              </w:rPr>
            </w:pPr>
          </w:p>
        </w:tc>
      </w:tr>
      <w:tr>
        <w:trPr>
          <w:trHeight w:val="434"/>
        </w:trPr>
        <w:tc>
          <w:tcPr>
            <w:tcW w:w="4000" w:type="dxa"/>
            <w:vAlign w:val="bottom"/>
          </w:tcPr>
          <w:p>
            <w:pPr>
              <w:ind w:left="2060"/>
              <w:spacing w:after="0"/>
              <w:rPr>
                <w:sz w:val="20"/>
                <w:szCs w:val="20"/>
                <w:color w:val="auto"/>
              </w:rPr>
            </w:pPr>
            <w:r>
              <w:rPr>
                <w:rFonts w:ascii="Arial" w:cs="Arial" w:eastAsia="Arial" w:hAnsi="Arial"/>
                <w:sz w:val="19"/>
                <w:szCs w:val="19"/>
                <w:color w:val="auto"/>
              </w:rPr>
              <w:t>(xiv)</w:t>
            </w:r>
          </w:p>
        </w:tc>
        <w:tc>
          <w:tcPr>
            <w:tcW w:w="7260" w:type="dxa"/>
            <w:vAlign w:val="bottom"/>
          </w:tcPr>
          <w:p>
            <w:pPr>
              <w:ind w:left="480"/>
              <w:spacing w:after="0"/>
              <w:rPr>
                <w:sz w:val="20"/>
                <w:szCs w:val="20"/>
                <w:color w:val="auto"/>
              </w:rPr>
            </w:pPr>
            <w:r>
              <w:rPr>
                <w:rFonts w:ascii="Arial" w:cs="Arial" w:eastAsia="Arial" w:hAnsi="Arial"/>
                <w:sz w:val="19"/>
                <w:szCs w:val="19"/>
                <w:color w:val="auto"/>
              </w:rPr>
              <w:t>additional Investments that do not exceed $500,000 in the aggregate.</w:t>
            </w:r>
          </w:p>
        </w:tc>
      </w:tr>
      <w:tr>
        <w:trPr>
          <w:trHeight w:val="434"/>
        </w:trPr>
        <w:tc>
          <w:tcPr>
            <w:tcW w:w="4000" w:type="dxa"/>
            <w:vAlign w:val="bottom"/>
          </w:tcPr>
          <w:p>
            <w:pPr>
              <w:ind w:left="1740"/>
              <w:spacing w:after="0"/>
              <w:rPr>
                <w:sz w:val="20"/>
                <w:szCs w:val="20"/>
                <w:color w:val="auto"/>
              </w:rPr>
            </w:pPr>
            <w:r>
              <w:rPr>
                <w:rFonts w:ascii="Arial" w:cs="Arial" w:eastAsia="Arial" w:hAnsi="Arial"/>
                <w:sz w:val="19"/>
                <w:szCs w:val="19"/>
                <w:color w:val="auto"/>
              </w:rPr>
              <w:t>“Permitted Liens” means:</w:t>
            </w:r>
          </w:p>
        </w:tc>
        <w:tc>
          <w:tcPr>
            <w:tcW w:w="7260" w:type="dxa"/>
            <w:vAlign w:val="bottom"/>
          </w:tcPr>
          <w:p>
            <w:pPr>
              <w:spacing w:after="0"/>
              <w:rPr>
                <w:sz w:val="24"/>
                <w:szCs w:val="24"/>
                <w:color w:val="auto"/>
              </w:rPr>
            </w:pPr>
          </w:p>
        </w:tc>
      </w:tr>
      <w:tr>
        <w:trPr>
          <w:trHeight w:val="434"/>
        </w:trPr>
        <w:tc>
          <w:tcPr>
            <w:tcW w:w="4000" w:type="dxa"/>
            <w:vAlign w:val="bottom"/>
          </w:tcPr>
          <w:p>
            <w:pPr>
              <w:ind w:left="2060"/>
              <w:spacing w:after="0"/>
              <w:rPr>
                <w:sz w:val="20"/>
                <w:szCs w:val="20"/>
                <w:color w:val="auto"/>
              </w:rPr>
            </w:pPr>
            <w:r>
              <w:rPr>
                <w:rFonts w:ascii="Arial" w:cs="Arial" w:eastAsia="Arial" w:hAnsi="Arial"/>
                <w:sz w:val="19"/>
                <w:szCs w:val="19"/>
                <w:color w:val="auto"/>
              </w:rPr>
              <w:t>(i)</w:t>
            </w:r>
          </w:p>
        </w:tc>
        <w:tc>
          <w:tcPr>
            <w:tcW w:w="7260" w:type="dxa"/>
            <w:vAlign w:val="bottom"/>
          </w:tcPr>
          <w:p>
            <w:pPr>
              <w:ind w:left="300"/>
              <w:spacing w:after="0"/>
              <w:rPr>
                <w:sz w:val="20"/>
                <w:szCs w:val="20"/>
                <w:color w:val="auto"/>
              </w:rPr>
            </w:pPr>
            <w:r>
              <w:rPr>
                <w:rFonts w:ascii="Arial" w:cs="Arial" w:eastAsia="Arial" w:hAnsi="Arial"/>
                <w:sz w:val="19"/>
                <w:szCs w:val="19"/>
                <w:color w:val="auto"/>
              </w:rPr>
              <w:t>Liens in favor of Agent or the Lenders;</w:t>
            </w:r>
          </w:p>
        </w:tc>
      </w:tr>
      <w:tr>
        <w:trPr>
          <w:trHeight w:val="434"/>
        </w:trPr>
        <w:tc>
          <w:tcPr>
            <w:tcW w:w="4000" w:type="dxa"/>
            <w:vAlign w:val="bottom"/>
          </w:tcPr>
          <w:p>
            <w:pPr>
              <w:ind w:left="2060"/>
              <w:spacing w:after="0"/>
              <w:rPr>
                <w:sz w:val="20"/>
                <w:szCs w:val="20"/>
                <w:color w:val="auto"/>
              </w:rPr>
            </w:pPr>
            <w:r>
              <w:rPr>
                <w:rFonts w:ascii="Arial" w:cs="Arial" w:eastAsia="Arial" w:hAnsi="Arial"/>
                <w:sz w:val="19"/>
                <w:szCs w:val="19"/>
                <w:color w:val="auto"/>
              </w:rPr>
              <w:t>(ii)</w:t>
            </w:r>
          </w:p>
        </w:tc>
        <w:tc>
          <w:tcPr>
            <w:tcW w:w="7260" w:type="dxa"/>
            <w:vAlign w:val="bottom"/>
          </w:tcPr>
          <w:p>
            <w:pPr>
              <w:ind w:left="340"/>
              <w:spacing w:after="0"/>
              <w:rPr>
                <w:sz w:val="20"/>
                <w:szCs w:val="20"/>
                <w:color w:val="auto"/>
              </w:rPr>
            </w:pPr>
            <w:r>
              <w:rPr>
                <w:rFonts w:ascii="Arial" w:cs="Arial" w:eastAsia="Arial" w:hAnsi="Arial"/>
                <w:sz w:val="19"/>
                <w:szCs w:val="19"/>
                <w:color w:val="auto"/>
              </w:rPr>
              <w:t>Liens existing on the Closing Date which are disclosed in Schedule 1C;</w:t>
            </w:r>
          </w:p>
        </w:tc>
      </w:tr>
      <w:tr>
        <w:trPr>
          <w:trHeight w:val="461"/>
        </w:trPr>
        <w:tc>
          <w:tcPr>
            <w:tcW w:w="400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type w:val="continuous"/>
        </w:sectPr>
      </w:pPr>
    </w:p>
    <w:bookmarkStart w:id="179" w:name="page180"/>
    <w:bookmarkEnd w:id="179"/>
    <w:p>
      <w:pPr>
        <w:ind w:right="160" w:firstLine="1197"/>
        <w:spacing w:after="0" w:line="260" w:lineRule="auto"/>
        <w:rPr>
          <w:sz w:val="20"/>
          <w:szCs w:val="20"/>
          <w:color w:val="auto"/>
        </w:rPr>
      </w:pPr>
      <w:r>
        <w:rPr>
          <w:rFonts w:ascii="Arial" w:cs="Arial" w:eastAsia="Arial" w:hAnsi="Arial"/>
          <w:sz w:val="19"/>
          <w:szCs w:val="19"/>
          <w:color w:val="auto"/>
        </w:rPr>
        <w:t>(iii) Liens for taxes, fees, assessments or other governmental charges or levies, either not delinquent or being contested in good faith by appropriate proceedings; provided, that Borrower maintains adequate reserves therefor on Borrower’s Books in accordance with GAAP (to the extent required thereby);</w:t>
      </w:r>
    </w:p>
    <w:p>
      <w:pPr>
        <w:spacing w:after="0" w:line="171" w:lineRule="exact"/>
        <w:rPr>
          <w:sz w:val="20"/>
          <w:szCs w:val="20"/>
          <w:color w:val="auto"/>
        </w:rPr>
      </w:pPr>
    </w:p>
    <w:p>
      <w:pPr>
        <w:ind w:right="200" w:firstLine="1197"/>
        <w:spacing w:after="0" w:line="260" w:lineRule="auto"/>
        <w:rPr>
          <w:sz w:val="20"/>
          <w:szCs w:val="20"/>
          <w:color w:val="auto"/>
        </w:rPr>
      </w:pPr>
      <w:r>
        <w:rPr>
          <w:rFonts w:ascii="Arial" w:cs="Arial" w:eastAsia="Arial" w:hAnsi="Arial"/>
          <w:sz w:val="19"/>
          <w:szCs w:val="19"/>
          <w:color w:val="auto"/>
        </w:rPr>
        <w:t>(iv) Liens securing claims or demands of materialmen, artisans, mechanics, carriers, warehousemen, landlords and other like Persons arising in the ordinary course of Borrower’s business and imposed without action of such parties; provided, that the payment thereof is not yet sixty (60) days past due;</w:t>
      </w:r>
    </w:p>
    <w:p>
      <w:pPr>
        <w:sectPr>
          <w:pgSz w:w="11900" w:h="16838" w:orient="portrait"/>
          <w:cols w:equalWidth="0" w:num="1">
            <w:col w:w="10340"/>
          </w:cols>
          <w:pgMar w:left="1180" w:top="543" w:right="379" w:bottom="1440" w:gutter="0" w:footer="0" w:header="0"/>
        </w:sectPr>
      </w:pP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(v)</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constitute an Event of Default hereunder;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Liens arising from judgments, decrees or attachments in circumstances which do not</w:t>
      </w:r>
    </w:p>
    <w:p>
      <w:pPr>
        <w:spacing w:after="0" w:line="439" w:lineRule="exact"/>
        <w:rPr>
          <w:sz w:val="20"/>
          <w:szCs w:val="20"/>
          <w:color w:val="auto"/>
        </w:rPr>
      </w:pPr>
    </w:p>
    <w:p>
      <w:pPr>
        <w:sectPr>
          <w:pgSz w:w="11900" w:h="16838" w:orient="portrait"/>
          <w:cols w:equalWidth="0" w:num="2">
            <w:col w:w="3160" w:space="320"/>
            <w:col w:w="6860"/>
          </w:cols>
          <w:pgMar w:left="1180" w:top="543" w:right="379" w:bottom="1440" w:gutter="0" w:footer="0" w:header="0"/>
          <w:type w:val="continuous"/>
        </w:sectPr>
      </w:pPr>
    </w:p>
    <w:p>
      <w:pPr>
        <w:spacing w:after="0" w:line="22" w:lineRule="exact"/>
        <w:rPr>
          <w:sz w:val="20"/>
          <w:szCs w:val="20"/>
          <w:color w:val="auto"/>
        </w:rPr>
      </w:pPr>
    </w:p>
    <w:p>
      <w:pPr>
        <w:ind w:left="1200"/>
        <w:spacing w:after="0"/>
        <w:tabs>
          <w:tab w:leader="none" w:pos="3520" w:val="left"/>
        </w:tabs>
        <w:rPr>
          <w:sz w:val="20"/>
          <w:szCs w:val="20"/>
          <w:color w:val="auto"/>
        </w:rPr>
      </w:pPr>
      <w:r>
        <w:rPr>
          <w:rFonts w:ascii="Arial" w:cs="Arial" w:eastAsia="Arial" w:hAnsi="Arial"/>
          <w:sz w:val="17"/>
          <w:szCs w:val="17"/>
          <w:color w:val="auto"/>
        </w:rPr>
        <w:t>(vi)</w:t>
      </w:r>
      <w:r>
        <w:rPr>
          <w:sz w:val="20"/>
          <w:szCs w:val="20"/>
          <w:color w:val="auto"/>
        </w:rPr>
        <w:tab/>
      </w:r>
      <w:r>
        <w:rPr>
          <w:rFonts w:ascii="Arial" w:cs="Arial" w:eastAsia="Arial" w:hAnsi="Arial"/>
          <w:sz w:val="17"/>
          <w:szCs w:val="17"/>
          <w:color w:val="auto"/>
        </w:rPr>
        <w:t>deposits to secure the performance of obligations (including by way of deposits to secure</w:t>
      </w:r>
    </w:p>
    <w:p>
      <w:pPr>
        <w:sectPr>
          <w:pgSz w:w="11900" w:h="16838" w:orient="portrait"/>
          <w:cols w:equalWidth="0" w:num="1">
            <w:col w:w="10340"/>
          </w:cols>
          <w:pgMar w:left="1180" w:top="543" w:right="379" w:bottom="1440" w:gutter="0" w:footer="0" w:header="0"/>
          <w:type w:val="continuous"/>
        </w:sectPr>
      </w:pPr>
    </w:p>
    <w:p>
      <w:pPr>
        <w:spacing w:after="0" w:line="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letters of credit issued to secure the same, to the extent constituting Permitted Indebtedness) and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73" w:lineRule="exact"/>
        <w:rPr>
          <w:sz w:val="20"/>
          <w:szCs w:val="20"/>
          <w:color w:val="auto"/>
        </w:rPr>
      </w:pPr>
    </w:p>
    <w:p>
      <w:pPr>
        <w:ind w:right="200" w:firstLine="1197"/>
        <w:spacing w:after="0" w:line="275" w:lineRule="auto"/>
        <w:rPr>
          <w:sz w:val="20"/>
          <w:szCs w:val="20"/>
          <w:color w:val="auto"/>
        </w:rPr>
      </w:pPr>
      <w:r>
        <w:rPr>
          <w:rFonts w:ascii="Arial" w:cs="Arial" w:eastAsia="Arial" w:hAnsi="Arial"/>
          <w:sz w:val="19"/>
          <w:szCs w:val="19"/>
          <w:color w:val="auto"/>
        </w:rPr>
        <w:t>(vii) Liens on Equipment or software or other intellectual property constituting purchase money Liens and Liens in connection with capital leases securing Indebtedness permitted in clause (iii) of “Permitted Indebtedness”;</w:t>
      </w:r>
    </w:p>
    <w:p>
      <w:pPr>
        <w:sectPr>
          <w:pgSz w:w="11900" w:h="16838" w:orient="portrait"/>
          <w:cols w:equalWidth="0" w:num="1">
            <w:col w:w="10340"/>
          </w:cols>
          <w:pgMar w:left="1180" w:top="543" w:right="379" w:bottom="1440" w:gutter="0" w:footer="0" w:header="0"/>
          <w:type w:val="continuous"/>
        </w:sectPr>
      </w:pPr>
    </w:p>
    <w:p>
      <w:pPr>
        <w:spacing w:after="0" w:line="156"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(viii)</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980"/>
        <w:spacing w:after="0"/>
        <w:rPr>
          <w:sz w:val="20"/>
          <w:szCs w:val="20"/>
          <w:color w:val="auto"/>
        </w:rPr>
      </w:pPr>
      <w:r>
        <w:rPr>
          <w:rFonts w:ascii="Arial" w:cs="Arial" w:eastAsia="Arial" w:hAnsi="Arial"/>
          <w:sz w:val="17"/>
          <w:szCs w:val="17"/>
          <w:color w:val="auto"/>
        </w:rPr>
        <w:t>Liens incurred in connection with Subordinated Indebtedness;</w:t>
      </w:r>
    </w:p>
    <w:p>
      <w:pPr>
        <w:spacing w:after="0" w:line="223" w:lineRule="exact"/>
        <w:rPr>
          <w:sz w:val="20"/>
          <w:szCs w:val="20"/>
          <w:color w:val="auto"/>
        </w:rPr>
      </w:pPr>
    </w:p>
    <w:p>
      <w:pPr>
        <w:sectPr>
          <w:pgSz w:w="11900" w:h="16838" w:orient="portrait"/>
          <w:cols w:equalWidth="0" w:num="2">
            <w:col w:w="2920" w:space="720"/>
            <w:col w:w="6700"/>
          </w:cols>
          <w:pgMar w:left="1180" w:top="543" w:right="379" w:bottom="1440" w:gutter="0" w:footer="0" w:header="0"/>
          <w:type w:val="continuous"/>
        </w:sectPr>
      </w:pPr>
    </w:p>
    <w:p>
      <w:pPr>
        <w:spacing w:after="0" w:line="15" w:lineRule="exact"/>
        <w:rPr>
          <w:sz w:val="20"/>
          <w:szCs w:val="20"/>
          <w:color w:val="auto"/>
        </w:rPr>
      </w:pPr>
    </w:p>
    <w:p>
      <w:pPr>
        <w:ind w:right="480" w:firstLine="1197"/>
        <w:spacing w:after="0" w:line="275" w:lineRule="auto"/>
        <w:rPr>
          <w:sz w:val="20"/>
          <w:szCs w:val="20"/>
          <w:color w:val="auto"/>
        </w:rPr>
      </w:pPr>
      <w:r>
        <w:rPr>
          <w:rFonts w:ascii="Arial" w:cs="Arial" w:eastAsia="Arial" w:hAnsi="Arial"/>
          <w:sz w:val="19"/>
          <w:szCs w:val="19"/>
          <w:color w:val="auto"/>
        </w:rPr>
        <w:t>(ix) leasehold interests in leases or subleases and licenses or sublicenses granted in the ordinary course of business and not interfering in any material respect with the business of the licensor;</w:t>
      </w:r>
    </w:p>
    <w:p>
      <w:pPr>
        <w:spacing w:after="0" w:line="156" w:lineRule="exact"/>
        <w:rPr>
          <w:sz w:val="20"/>
          <w:szCs w:val="20"/>
          <w:color w:val="auto"/>
        </w:rPr>
      </w:pPr>
    </w:p>
    <w:p>
      <w:pPr>
        <w:ind w:right="320" w:firstLine="1197"/>
        <w:spacing w:after="0" w:line="275" w:lineRule="auto"/>
        <w:rPr>
          <w:sz w:val="20"/>
          <w:szCs w:val="20"/>
          <w:color w:val="auto"/>
        </w:rPr>
      </w:pPr>
      <w:r>
        <w:rPr>
          <w:rFonts w:ascii="Arial" w:cs="Arial" w:eastAsia="Arial" w:hAnsi="Arial"/>
          <w:sz w:val="19"/>
          <w:szCs w:val="19"/>
          <w:color w:val="auto"/>
        </w:rPr>
        <w:t>(x) Liens in favor of customs and revenue authorities arising as a matter of law to secure payment of custom duties that are promptly paid on or before the date they become due;</w:t>
      </w:r>
    </w:p>
    <w:p>
      <w:pPr>
        <w:spacing w:after="0" w:line="156" w:lineRule="exact"/>
        <w:rPr>
          <w:sz w:val="20"/>
          <w:szCs w:val="20"/>
          <w:color w:val="auto"/>
        </w:rPr>
      </w:pPr>
    </w:p>
    <w:p>
      <w:pPr>
        <w:ind w:left="1200"/>
        <w:spacing w:after="0"/>
        <w:tabs>
          <w:tab w:leader="none" w:pos="3520" w:val="left"/>
        </w:tabs>
        <w:rPr>
          <w:sz w:val="20"/>
          <w:szCs w:val="20"/>
          <w:color w:val="auto"/>
        </w:rPr>
      </w:pPr>
      <w:r>
        <w:rPr>
          <w:rFonts w:ascii="Arial" w:cs="Arial" w:eastAsia="Arial" w:hAnsi="Arial"/>
          <w:sz w:val="17"/>
          <w:szCs w:val="17"/>
          <w:color w:val="auto"/>
        </w:rPr>
        <w:t>(xi)</w:t>
      </w:r>
      <w:r>
        <w:rPr>
          <w:sz w:val="20"/>
          <w:szCs w:val="20"/>
          <w:color w:val="auto"/>
        </w:rPr>
        <w:tab/>
      </w:r>
      <w:r>
        <w:rPr>
          <w:rFonts w:ascii="Arial" w:cs="Arial" w:eastAsia="Arial" w:hAnsi="Arial"/>
          <w:sz w:val="17"/>
          <w:szCs w:val="17"/>
          <w:color w:val="auto"/>
        </w:rPr>
        <w:t>Liens on insurance proceeds securing the payment of financed insurance premiums that</w:t>
      </w:r>
    </w:p>
    <w:p>
      <w:pPr>
        <w:sectPr>
          <w:pgSz w:w="11900" w:h="16838" w:orient="portrait"/>
          <w:cols w:equalWidth="0" w:num="1">
            <w:col w:w="10340"/>
          </w:cols>
          <w:pgMar w:left="1180" w:top="543" w:right="379" w:bottom="1440" w:gutter="0" w:footer="0" w:header="0"/>
          <w:type w:val="continuous"/>
        </w:sectPr>
      </w:pPr>
    </w:p>
    <w:p>
      <w:pPr>
        <w:spacing w:after="0" w:line="50"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are promptly paid on or before the date they become due (provided that such Liens extend only to such insurance proceeds and not to any other property or assets);</w:t>
      </w:r>
    </w:p>
    <w:p>
      <w:pPr>
        <w:spacing w:after="0" w:line="180" w:lineRule="exact"/>
        <w:rPr>
          <w:sz w:val="20"/>
          <w:szCs w:val="20"/>
          <w:color w:val="auto"/>
        </w:rPr>
      </w:pPr>
    </w:p>
    <w:p>
      <w:pPr>
        <w:ind w:right="320" w:firstLine="1197"/>
        <w:spacing w:after="0" w:line="275" w:lineRule="auto"/>
        <w:rPr>
          <w:sz w:val="20"/>
          <w:szCs w:val="20"/>
          <w:color w:val="auto"/>
        </w:rPr>
      </w:pPr>
      <w:r>
        <w:rPr>
          <w:rFonts w:ascii="Arial" w:cs="Arial" w:eastAsia="Arial" w:hAnsi="Arial"/>
          <w:sz w:val="19"/>
          <w:szCs w:val="19"/>
          <w:color w:val="auto"/>
        </w:rPr>
        <w:t>(xii) statutory and common law rights of set-off and other similar rights as to deposits of cash and securities in favor of banks, other depository institutions and brokerage firms;</w:t>
      </w:r>
    </w:p>
    <w:p>
      <w:pPr>
        <w:spacing w:after="0" w:line="156" w:lineRule="exact"/>
        <w:rPr>
          <w:sz w:val="20"/>
          <w:szCs w:val="20"/>
          <w:color w:val="auto"/>
        </w:rPr>
      </w:pPr>
    </w:p>
    <w:p>
      <w:pPr>
        <w:ind w:right="600" w:firstLine="1197"/>
        <w:spacing w:after="0" w:line="260" w:lineRule="auto"/>
        <w:rPr>
          <w:sz w:val="20"/>
          <w:szCs w:val="20"/>
          <w:color w:val="auto"/>
        </w:rPr>
      </w:pPr>
      <w:r>
        <w:rPr>
          <w:rFonts w:ascii="Arial" w:cs="Arial" w:eastAsia="Arial" w:hAnsi="Arial"/>
          <w:sz w:val="19"/>
          <w:szCs w:val="19"/>
          <w:color w:val="auto"/>
        </w:rPr>
        <w:t>(xiii) easements, zoning restrictions, rights-of-way and similar encumbrances on real property imposed by law or arising in the ordinary course of business so long as they do not materially impair the value or marketability of the related property;</w:t>
      </w:r>
    </w:p>
    <w:p>
      <w:pPr>
        <w:spacing w:after="0" w:line="171" w:lineRule="exact"/>
        <w:rPr>
          <w:sz w:val="20"/>
          <w:szCs w:val="20"/>
          <w:color w:val="auto"/>
        </w:rPr>
      </w:pPr>
    </w:p>
    <w:p>
      <w:pPr>
        <w:ind w:left="1200"/>
        <w:spacing w:after="0"/>
        <w:tabs>
          <w:tab w:leader="none" w:pos="3620" w:val="left"/>
        </w:tabs>
        <w:rPr>
          <w:sz w:val="20"/>
          <w:szCs w:val="20"/>
          <w:color w:val="auto"/>
        </w:rPr>
      </w:pPr>
      <w:r>
        <w:rPr>
          <w:rFonts w:ascii="Arial" w:cs="Arial" w:eastAsia="Arial" w:hAnsi="Arial"/>
          <w:sz w:val="17"/>
          <w:szCs w:val="17"/>
          <w:color w:val="auto"/>
        </w:rPr>
        <w:t>(xiv)</w:t>
      </w:r>
      <w:r>
        <w:rPr>
          <w:sz w:val="20"/>
          <w:szCs w:val="20"/>
          <w:color w:val="auto"/>
        </w:rPr>
        <w:tab/>
      </w:r>
      <w:r>
        <w:rPr>
          <w:rFonts w:ascii="Arial" w:cs="Arial" w:eastAsia="Arial" w:hAnsi="Arial"/>
          <w:sz w:val="17"/>
          <w:szCs w:val="17"/>
          <w:color w:val="auto"/>
        </w:rPr>
        <w:t>(A) Liens on Cash securing obligations permitted under clause (vii) of the definition of</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Permitted Indebtedness and (B) security deposits in connection with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283210</wp:posOffset>
            </wp:positionV>
            <wp:extent cx="717804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340"/>
          </w:cols>
          <w:pgMar w:left="1180" w:top="543" w:right="379" w:bottom="1440" w:gutter="0" w:footer="0" w:header="0"/>
          <w:type w:val="continuous"/>
        </w:sectPr>
      </w:pPr>
    </w:p>
    <w:bookmarkStart w:id="180" w:name="page181"/>
    <w:bookmarkEnd w:id="180"/>
    <w:p>
      <w:pPr>
        <w:ind w:left="860"/>
        <w:spacing w:after="0"/>
        <w:rPr>
          <w:sz w:val="20"/>
          <w:szCs w:val="20"/>
          <w:color w:val="auto"/>
        </w:rPr>
      </w:pPr>
      <w:r>
        <w:rPr>
          <w:rFonts w:ascii="Arial" w:cs="Arial" w:eastAsia="Arial" w:hAnsi="Arial"/>
          <w:sz w:val="19"/>
          <w:szCs w:val="19"/>
          <w:color w:val="auto"/>
        </w:rPr>
        <w:t>leases, the combination of (A) and (B) in an aggregate amount not to exceed $500,000 at any time;</w:t>
      </w:r>
    </w:p>
    <w:p>
      <w:pPr>
        <w:spacing w:after="0" w:line="215" w:lineRule="exact"/>
        <w:rPr>
          <w:sz w:val="20"/>
          <w:szCs w:val="20"/>
          <w:color w:val="auto"/>
        </w:rPr>
      </w:pPr>
    </w:p>
    <w:p>
      <w:pPr>
        <w:ind w:left="860" w:right="20" w:firstLine="1197"/>
        <w:spacing w:after="0" w:line="260" w:lineRule="auto"/>
        <w:rPr>
          <w:sz w:val="20"/>
          <w:szCs w:val="20"/>
          <w:color w:val="auto"/>
        </w:rPr>
      </w:pPr>
      <w:r>
        <w:rPr>
          <w:rFonts w:ascii="Arial" w:cs="Arial" w:eastAsia="Arial" w:hAnsi="Arial"/>
          <w:sz w:val="19"/>
          <w:szCs w:val="19"/>
          <w:color w:val="auto"/>
        </w:rPr>
        <w:t>(xv) Liens incurred in connection with sales, transfers, licenses, sublicenses, leases, subleases or other dispositions of assets in the ordinary course of business and permitted by Section 7.8 or Liens granted in connection with Section 2.1 of the Incyte Collaboration Agreement;</w:t>
      </w:r>
    </w:p>
    <w:p>
      <w:pPr>
        <w:sectPr>
          <w:pgSz w:w="11900" w:h="16838" w:orient="portrait"/>
          <w:cols w:equalWidth="0" w:num="1">
            <w:col w:w="11220"/>
          </w:cols>
          <w:pgMar w:left="320" w:top="333" w:right="359" w:bottom="1440" w:gutter="0" w:footer="0" w:header="0"/>
        </w:sectPr>
      </w:pP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(xvi)</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of Permitted Indebtedness;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Liens on Cash securing obligations permitted under clauses (iv) and (x) of the definition</w:t>
      </w:r>
    </w:p>
    <w:p>
      <w:pPr>
        <w:spacing w:after="0" w:line="439" w:lineRule="exact"/>
        <w:rPr>
          <w:sz w:val="20"/>
          <w:szCs w:val="20"/>
          <w:color w:val="auto"/>
        </w:rPr>
      </w:pPr>
    </w:p>
    <w:p>
      <w:pPr>
        <w:sectPr>
          <w:pgSz w:w="11900" w:h="16838" w:orient="portrait"/>
          <w:cols w:equalWidth="0" w:num="2">
            <w:col w:w="3760" w:space="720"/>
            <w:col w:w="6740"/>
          </w:cols>
          <w:pgMar w:left="320" w:top="333" w:right="359" w:bottom="1440" w:gutter="0" w:footer="0" w:header="0"/>
          <w:type w:val="continuous"/>
        </w:sectPr>
      </w:pPr>
    </w:p>
    <w:p>
      <w:pPr>
        <w:spacing w:after="0" w:line="22" w:lineRule="exact"/>
        <w:rPr>
          <w:sz w:val="20"/>
          <w:szCs w:val="20"/>
          <w:color w:val="auto"/>
        </w:rPr>
      </w:pPr>
    </w:p>
    <w:p>
      <w:pPr>
        <w:ind w:left="860" w:right="140" w:firstLine="1197"/>
        <w:spacing w:after="0" w:line="275" w:lineRule="auto"/>
        <w:rPr>
          <w:sz w:val="20"/>
          <w:szCs w:val="20"/>
          <w:color w:val="auto"/>
        </w:rPr>
      </w:pPr>
      <w:r>
        <w:rPr>
          <w:rFonts w:ascii="Arial" w:cs="Arial" w:eastAsia="Arial" w:hAnsi="Arial"/>
          <w:sz w:val="19"/>
          <w:szCs w:val="19"/>
          <w:color w:val="auto"/>
        </w:rPr>
        <w:t>(xvii) other Liens in an aggregate amount not to exceed $500,000 at any time provided that such liens be limited to specific assets and not all assets or substantially all assets of Borrower; and</w:t>
      </w:r>
    </w:p>
    <w:p>
      <w:pPr>
        <w:spacing w:after="0" w:line="156" w:lineRule="exact"/>
        <w:rPr>
          <w:sz w:val="20"/>
          <w:szCs w:val="20"/>
          <w:color w:val="auto"/>
        </w:rPr>
      </w:pPr>
    </w:p>
    <w:p>
      <w:pPr>
        <w:ind w:left="2060"/>
        <w:spacing w:after="0"/>
        <w:tabs>
          <w:tab w:leader="none" w:pos="4580" w:val="left"/>
        </w:tabs>
        <w:rPr>
          <w:sz w:val="20"/>
          <w:szCs w:val="20"/>
          <w:color w:val="auto"/>
        </w:rPr>
      </w:pPr>
      <w:r>
        <w:rPr>
          <w:rFonts w:ascii="Arial" w:cs="Arial" w:eastAsia="Arial" w:hAnsi="Arial"/>
          <w:sz w:val="19"/>
          <w:szCs w:val="19"/>
          <w:color w:val="auto"/>
        </w:rPr>
        <w:t>(xviii)</w:t>
      </w:r>
      <w:r>
        <w:rPr>
          <w:sz w:val="20"/>
          <w:szCs w:val="20"/>
          <w:color w:val="auto"/>
        </w:rPr>
        <w:tab/>
      </w:r>
      <w:r>
        <w:rPr>
          <w:rFonts w:ascii="Arial" w:cs="Arial" w:eastAsia="Arial" w:hAnsi="Arial"/>
          <w:sz w:val="19"/>
          <w:szCs w:val="19"/>
          <w:color w:val="auto"/>
        </w:rPr>
        <w:t>Liens incurred in connection with the extension, renewal or refinancing of the</w:t>
      </w:r>
    </w:p>
    <w:p>
      <w:pPr>
        <w:sectPr>
          <w:pgSz w:w="11900" w:h="16838" w:orient="portrait"/>
          <w:cols w:equalWidth="0" w:num="1">
            <w:col w:w="11220"/>
          </w:cols>
          <w:pgMar w:left="320" w:top="333" w:right="359" w:bottom="1440" w:gutter="0" w:footer="0" w:header="0"/>
          <w:type w:val="continuous"/>
        </w:sectPr>
      </w:pPr>
    </w:p>
    <w:p>
      <w:pPr>
        <w:spacing w:after="0" w:line="27" w:lineRule="exact"/>
        <w:rPr>
          <w:sz w:val="20"/>
          <w:szCs w:val="20"/>
          <w:color w:val="auto"/>
        </w:rPr>
      </w:pPr>
    </w:p>
    <w:p>
      <w:pPr>
        <w:ind w:left="860" w:right="140"/>
        <w:spacing w:after="0" w:line="268" w:lineRule="auto"/>
        <w:rPr>
          <w:sz w:val="20"/>
          <w:szCs w:val="20"/>
          <w:color w:val="auto"/>
        </w:rPr>
      </w:pPr>
      <w:r>
        <w:rPr>
          <w:rFonts w:ascii="Arial" w:cs="Arial" w:eastAsia="Arial" w:hAnsi="Arial"/>
          <w:sz w:val="18"/>
          <w:szCs w:val="18"/>
          <w:color w:val="auto"/>
        </w:rPr>
        <w:t>Indebtedness secured by Liens of the type described in clauses (i) through (xvii)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6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“Permitted Transfers” means:</w:t>
      </w:r>
    </w:p>
    <w:p>
      <w:pPr>
        <w:sectPr>
          <w:pgSz w:w="11900" w:h="16838" w:orient="portrait"/>
          <w:cols w:equalWidth="0" w:num="1">
            <w:col w:w="11220"/>
          </w:cols>
          <w:pgMar w:left="320" w:top="333" w:right="359" w:bottom="1440" w:gutter="0" w:footer="0" w:header="0"/>
          <w:type w:val="continuous"/>
        </w:sectPr>
      </w:pPr>
    </w:p>
    <w:p>
      <w:pPr>
        <w:spacing w:after="0" w:line="215"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sales, transfers or other dispositions of Inventory in the ordinary course of business,</w:t>
      </w:r>
    </w:p>
    <w:p>
      <w:pPr>
        <w:spacing w:after="0" w:line="223" w:lineRule="exact"/>
        <w:rPr>
          <w:sz w:val="20"/>
          <w:szCs w:val="20"/>
          <w:color w:val="auto"/>
        </w:rPr>
      </w:pPr>
    </w:p>
    <w:p>
      <w:pPr>
        <w:sectPr>
          <w:pgSz w:w="11900" w:h="16838" w:orient="portrait"/>
          <w:cols w:equalWidth="0" w:num="2">
            <w:col w:w="3580" w:space="720"/>
            <w:col w:w="6920"/>
          </w:cols>
          <w:pgMar w:left="320" w:top="333" w:right="359" w:bottom="1440" w:gutter="0" w:footer="0" w:header="0"/>
          <w:type w:val="continuous"/>
        </w:sectPr>
      </w:pPr>
    </w:p>
    <w:p>
      <w:pPr>
        <w:spacing w:after="0" w:line="15" w:lineRule="exact"/>
        <w:rPr>
          <w:sz w:val="20"/>
          <w:szCs w:val="20"/>
          <w:color w:val="auto"/>
        </w:rPr>
      </w:pPr>
    </w:p>
    <w:p>
      <w:pPr>
        <w:ind w:left="2060"/>
        <w:spacing w:after="0"/>
        <w:tabs>
          <w:tab w:leader="none" w:pos="4320" w:val="left"/>
        </w:tabs>
        <w:rPr>
          <w:sz w:val="20"/>
          <w:szCs w:val="20"/>
          <w:color w:val="auto"/>
        </w:rPr>
      </w:pPr>
      <w:r>
        <w:rPr>
          <w:rFonts w:ascii="Arial" w:cs="Arial" w:eastAsia="Arial" w:hAnsi="Arial"/>
          <w:sz w:val="17"/>
          <w:szCs w:val="17"/>
          <w:color w:val="auto"/>
        </w:rPr>
        <w:t>(ii)</w:t>
      </w:r>
      <w:r>
        <w:rPr>
          <w:sz w:val="20"/>
          <w:szCs w:val="20"/>
          <w:color w:val="auto"/>
        </w:rPr>
        <w:tab/>
      </w:r>
      <w:r>
        <w:rPr>
          <w:rFonts w:ascii="Arial" w:cs="Arial" w:eastAsia="Arial" w:hAnsi="Arial"/>
          <w:sz w:val="17"/>
          <w:szCs w:val="17"/>
          <w:color w:val="auto"/>
        </w:rPr>
        <w:t>non-exclusive licenses, sublicenses and similar arrangements for the use of Intellectual</w:t>
      </w:r>
    </w:p>
    <w:p>
      <w:pPr>
        <w:sectPr>
          <w:pgSz w:w="11900" w:h="16838" w:orient="portrait"/>
          <w:cols w:equalWidth="0" w:num="1">
            <w:col w:w="11220"/>
          </w:cols>
          <w:pgMar w:left="320" w:top="333" w:right="359" w:bottom="1440" w:gutter="0" w:footer="0" w:header="0"/>
          <w:type w:val="continuous"/>
        </w:sectPr>
      </w:pPr>
    </w:p>
    <w:p>
      <w:pPr>
        <w:spacing w:after="0" w:line="50" w:lineRule="exact"/>
        <w:rPr>
          <w:sz w:val="20"/>
          <w:szCs w:val="20"/>
          <w:color w:val="auto"/>
        </w:rPr>
      </w:pPr>
    </w:p>
    <w:p>
      <w:pPr>
        <w:jc w:val="both"/>
        <w:ind w:left="860" w:right="120"/>
        <w:spacing w:after="0" w:line="268" w:lineRule="auto"/>
        <w:rPr>
          <w:sz w:val="20"/>
          <w:szCs w:val="20"/>
          <w:color w:val="auto"/>
        </w:rPr>
      </w:pPr>
      <w:r>
        <w:rPr>
          <w:rFonts w:ascii="Arial" w:cs="Arial" w:eastAsia="Arial" w:hAnsi="Arial"/>
          <w:sz w:val="18"/>
          <w:szCs w:val="18"/>
          <w:color w:val="auto"/>
        </w:rPr>
        <w:t>Property and related assets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of America in the ordinary course of business,</w:t>
      </w:r>
    </w:p>
    <w:p>
      <w:pPr>
        <w:sectPr>
          <w:pgSz w:w="11900" w:h="16838" w:orient="portrait"/>
          <w:cols w:equalWidth="0" w:num="1">
            <w:col w:w="11220"/>
          </w:cols>
          <w:pgMar w:left="320" w:top="333" w:right="359" w:bottom="1440" w:gutter="0" w:footer="0" w:header="0"/>
          <w:type w:val="continuous"/>
        </w:sectPr>
      </w:pPr>
    </w:p>
    <w:p>
      <w:pPr>
        <w:spacing w:after="0" w:line="165"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(iii)</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ordinary course of business,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dispositions of worn-out, obsolete or surplus Equipment at fair market value in the</w:t>
      </w:r>
    </w:p>
    <w:p>
      <w:pPr>
        <w:spacing w:after="0" w:line="439" w:lineRule="exact"/>
        <w:rPr>
          <w:sz w:val="20"/>
          <w:szCs w:val="20"/>
          <w:color w:val="auto"/>
        </w:rPr>
      </w:pPr>
    </w:p>
    <w:p>
      <w:pPr>
        <w:sectPr>
          <w:pgSz w:w="11900" w:h="16838" w:orient="portrait"/>
          <w:cols w:equalWidth="0" w:num="2">
            <w:col w:w="3680" w:space="720"/>
            <w:col w:w="6820"/>
          </w:cols>
          <w:pgMar w:left="320" w:top="333" w:right="359" w:bottom="1440" w:gutter="0" w:footer="0" w:header="0"/>
          <w:type w:val="continuous"/>
        </w:sectPr>
      </w:pPr>
    </w:p>
    <w:p>
      <w:pPr>
        <w:spacing w:after="0" w:line="22"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2240"/>
        <w:spacing w:after="0"/>
        <w:rPr>
          <w:sz w:val="20"/>
          <w:szCs w:val="20"/>
          <w:color w:val="auto"/>
        </w:rPr>
      </w:pPr>
      <w:r>
        <w:rPr>
          <w:rFonts w:ascii="Arial" w:cs="Arial" w:eastAsia="Arial" w:hAnsi="Arial"/>
          <w:sz w:val="17"/>
          <w:szCs w:val="17"/>
          <w:color w:val="auto"/>
        </w:rPr>
        <w:t>transfers expressly permitted under Sections 7.5, 7.6 or 7.7,</w:t>
      </w:r>
    </w:p>
    <w:p>
      <w:pPr>
        <w:spacing w:after="0" w:line="223" w:lineRule="exact"/>
        <w:rPr>
          <w:sz w:val="20"/>
          <w:szCs w:val="20"/>
          <w:color w:val="auto"/>
        </w:rPr>
      </w:pPr>
    </w:p>
    <w:p>
      <w:pPr>
        <w:sectPr>
          <w:pgSz w:w="11900" w:h="16838" w:orient="portrait"/>
          <w:cols w:equalWidth="0" w:num="2">
            <w:col w:w="3680" w:space="720"/>
            <w:col w:w="6820"/>
          </w:cols>
          <w:pgMar w:left="320" w:top="333" w:right="359" w:bottom="1440" w:gutter="0" w:footer="0" w:header="0"/>
          <w:type w:val="continuous"/>
        </w:sectPr>
      </w:pPr>
    </w:p>
    <w:p>
      <w:pPr>
        <w:spacing w:after="0" w:line="15" w:lineRule="exact"/>
        <w:rPr>
          <w:sz w:val="20"/>
          <w:szCs w:val="20"/>
          <w:color w:val="auto"/>
        </w:rPr>
      </w:pPr>
    </w:p>
    <w:p>
      <w:pPr>
        <w:ind w:left="2060"/>
        <w:spacing w:after="0"/>
        <w:tabs>
          <w:tab w:leader="none" w:pos="4320" w:val="left"/>
        </w:tabs>
        <w:rPr>
          <w:sz w:val="20"/>
          <w:szCs w:val="20"/>
          <w:color w:val="auto"/>
        </w:rPr>
      </w:pPr>
      <w:r>
        <w:rPr>
          <w:rFonts w:ascii="Arial" w:cs="Arial" w:eastAsia="Arial" w:hAnsi="Arial"/>
          <w:sz w:val="17"/>
          <w:szCs w:val="17"/>
          <w:color w:val="auto"/>
        </w:rPr>
        <w:t>(v)</w:t>
      </w:r>
      <w:r>
        <w:rPr>
          <w:sz w:val="20"/>
          <w:szCs w:val="20"/>
          <w:color w:val="auto"/>
        </w:rPr>
        <w:tab/>
      </w:r>
      <w:r>
        <w:rPr>
          <w:rFonts w:ascii="Arial" w:cs="Arial" w:eastAsia="Arial" w:hAnsi="Arial"/>
          <w:sz w:val="17"/>
          <w:szCs w:val="17"/>
          <w:color w:val="auto"/>
        </w:rPr>
        <w:t>the exclusive license granted to Incyte pursuant to Section 2.1 of the Incyte Collaboration</w:t>
      </w:r>
    </w:p>
    <w:p>
      <w:pPr>
        <w:sectPr>
          <w:pgSz w:w="11900" w:h="16838" w:orient="portrait"/>
          <w:cols w:equalWidth="0" w:num="1">
            <w:col w:w="11220"/>
          </w:cols>
          <w:pgMar w:left="320" w:top="333" w:right="359" w:bottom="1440" w:gutter="0" w:footer="0" w:header="0"/>
          <w:type w:val="continuous"/>
        </w:sectPr>
      </w:pPr>
    </w:p>
    <w:p>
      <w:pPr>
        <w:spacing w:after="0" w:line="50" w:lineRule="exact"/>
        <w:rPr>
          <w:sz w:val="20"/>
          <w:szCs w:val="20"/>
          <w:color w:val="auto"/>
        </w:rPr>
      </w:pPr>
    </w:p>
    <w:p>
      <w:pPr>
        <w:ind w:left="860" w:right="120"/>
        <w:spacing w:after="0" w:line="250" w:lineRule="auto"/>
        <w:rPr>
          <w:sz w:val="20"/>
          <w:szCs w:val="20"/>
          <w:color w:val="auto"/>
        </w:rPr>
      </w:pPr>
      <w:r>
        <w:rPr>
          <w:rFonts w:ascii="Arial" w:cs="Arial" w:eastAsia="Arial" w:hAnsi="Arial"/>
          <w:sz w:val="19"/>
          <w:szCs w:val="19"/>
          <w:color w:val="auto"/>
        </w:rPr>
        <w:t>Agreement, the transfers pursuant to Section 3.1 of the Incyte Collaboration Agreement, and other transfers in connection therewith in an aggregate amount not to exceed $5,000,000 per fiscal year or at Agent’s reasonable discretion; and</w:t>
      </w:r>
    </w:p>
    <w:p>
      <w:pPr>
        <w:sectPr>
          <w:pgSz w:w="11900" w:h="16838" w:orient="portrait"/>
          <w:cols w:equalWidth="0" w:num="1">
            <w:col w:w="11220"/>
          </w:cols>
          <w:pgMar w:left="320" w:top="333" w:right="359" w:bottom="1440" w:gutter="0" w:footer="0" w:header="0"/>
          <w:type w:val="continuous"/>
        </w:sectPr>
      </w:pPr>
    </w:p>
    <w:p>
      <w:pPr>
        <w:spacing w:after="0" w:line="180"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(vi)</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aggregate in any fiscal year.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other Transfers of assets having a fair market value of not more than $500,000 in the</w:t>
      </w:r>
    </w:p>
    <w:p>
      <w:pPr>
        <w:spacing w:after="0" w:line="439" w:lineRule="exact"/>
        <w:rPr>
          <w:sz w:val="20"/>
          <w:szCs w:val="20"/>
          <w:color w:val="auto"/>
        </w:rPr>
      </w:pPr>
    </w:p>
    <w:p>
      <w:pPr>
        <w:sectPr>
          <w:pgSz w:w="11900" w:h="16838" w:orient="portrait"/>
          <w:cols w:equalWidth="0" w:num="2">
            <w:col w:w="3680" w:space="720"/>
            <w:col w:w="6820"/>
          </w:cols>
          <w:pgMar w:left="320" w:top="333" w:right="359" w:bottom="1440" w:gutter="0" w:footer="0" w:header="0"/>
          <w:type w:val="continuous"/>
        </w:sectPr>
      </w:pPr>
    </w:p>
    <w:p>
      <w:pPr>
        <w:spacing w:after="0" w:line="22" w:lineRule="exact"/>
        <w:rPr>
          <w:sz w:val="20"/>
          <w:szCs w:val="20"/>
          <w:color w:val="auto"/>
        </w:rPr>
      </w:pPr>
    </w:p>
    <w:p>
      <w:pPr>
        <w:ind w:right="860" w:firstLine="1728"/>
        <w:spacing w:after="0" w:line="275" w:lineRule="auto"/>
        <w:rPr>
          <w:sz w:val="20"/>
          <w:szCs w:val="20"/>
          <w:color w:val="auto"/>
        </w:rPr>
      </w:pPr>
      <w:r>
        <w:rPr>
          <w:rFonts w:ascii="Arial" w:cs="Arial" w:eastAsia="Arial" w:hAnsi="Arial"/>
          <w:sz w:val="19"/>
          <w:szCs w:val="19"/>
          <w:color w:val="auto"/>
        </w:rPr>
        <w:t>“Person” means any individual, sole proprietorship, partnership, joint venture, trust, unincorporated organization, association, corporation, limited liability company, institution, other entity or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255905</wp:posOffset>
            </wp:positionV>
            <wp:extent cx="717804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81" w:name="page182"/>
    <w:bookmarkEnd w:id="181"/>
    <w:p>
      <w:pPr>
        <w:ind w:right="160" w:firstLine="1728"/>
        <w:spacing w:after="0" w:line="275" w:lineRule="auto"/>
        <w:rPr>
          <w:sz w:val="20"/>
          <w:szCs w:val="20"/>
          <w:color w:val="auto"/>
        </w:rPr>
      </w:pPr>
      <w:r>
        <w:rPr>
          <w:rFonts w:ascii="Arial" w:cs="Arial" w:eastAsia="Arial" w:hAnsi="Arial"/>
          <w:sz w:val="19"/>
          <w:szCs w:val="19"/>
          <w:color w:val="auto"/>
        </w:rPr>
        <w:t>“Pledge Agreement” means the Pledge Agreement dated as of the Closing Date between Borrower and Agent, as the same may from time to time be amended, restated, modified or otherwise supplemented.</w:t>
      </w:r>
    </w:p>
    <w:p>
      <w:pPr>
        <w:spacing w:after="0" w:line="156" w:lineRule="exact"/>
        <w:rPr>
          <w:sz w:val="20"/>
          <w:szCs w:val="20"/>
          <w:color w:val="auto"/>
        </w:rPr>
      </w:pPr>
    </w:p>
    <w:p>
      <w:pPr>
        <w:ind w:right="20" w:firstLine="1728"/>
        <w:spacing w:after="0" w:line="275" w:lineRule="auto"/>
        <w:rPr>
          <w:sz w:val="20"/>
          <w:szCs w:val="20"/>
          <w:color w:val="auto"/>
        </w:rPr>
      </w:pPr>
      <w:r>
        <w:rPr>
          <w:rFonts w:ascii="Arial" w:cs="Arial" w:eastAsia="Arial" w:hAnsi="Arial"/>
          <w:sz w:val="19"/>
          <w:szCs w:val="19"/>
          <w:color w:val="auto"/>
        </w:rPr>
        <w:t>“Qualified Cash” means the amount of Borrower’s Cash held in accounts in the United States subject to an Account Control Agreement in favor of Agent.</w:t>
      </w:r>
    </w:p>
    <w:p>
      <w:pPr>
        <w:spacing w:after="0" w:line="156" w:lineRule="exact"/>
        <w:rPr>
          <w:sz w:val="20"/>
          <w:szCs w:val="20"/>
          <w:color w:val="auto"/>
        </w:rPr>
      </w:pPr>
    </w:p>
    <w:p>
      <w:pPr>
        <w:ind w:right="220" w:firstLine="1728"/>
        <w:spacing w:after="0" w:line="275" w:lineRule="auto"/>
        <w:rPr>
          <w:sz w:val="20"/>
          <w:szCs w:val="20"/>
          <w:color w:val="auto"/>
        </w:rPr>
      </w:pPr>
      <w:r>
        <w:rPr>
          <w:rFonts w:ascii="Arial" w:cs="Arial" w:eastAsia="Arial" w:hAnsi="Arial"/>
          <w:sz w:val="19"/>
          <w:szCs w:val="19"/>
          <w:color w:val="auto"/>
        </w:rPr>
        <w:t>“Qualified Cash A/P Amount” means the amount of Borrower’s and its Subsidiaries’ accounts payable that have not been paid within ninety (90) days from the due date of the relevant account payable.</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“Qualified Subsidiary” means any direct or indirect Subsidiary other than an Excluded Subsidiary.</w:t>
      </w:r>
    </w:p>
    <w:p>
      <w:pPr>
        <w:spacing w:after="0" w:line="215" w:lineRule="exact"/>
        <w:rPr>
          <w:sz w:val="20"/>
          <w:szCs w:val="20"/>
          <w:color w:val="auto"/>
        </w:rPr>
      </w:pPr>
    </w:p>
    <w:p>
      <w:pPr>
        <w:jc w:val="both"/>
        <w:ind w:right="380" w:firstLine="1728"/>
        <w:spacing w:after="0" w:line="260" w:lineRule="auto"/>
        <w:rPr>
          <w:sz w:val="20"/>
          <w:szCs w:val="20"/>
          <w:color w:val="auto"/>
        </w:rPr>
      </w:pPr>
      <w:r>
        <w:rPr>
          <w:rFonts w:ascii="Arial" w:cs="Arial" w:eastAsia="Arial" w:hAnsi="Arial"/>
          <w:sz w:val="19"/>
          <w:szCs w:val="19"/>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71" w:lineRule="exact"/>
        <w:rPr>
          <w:sz w:val="20"/>
          <w:szCs w:val="20"/>
          <w:color w:val="auto"/>
        </w:rPr>
      </w:pPr>
    </w:p>
    <w:p>
      <w:pPr>
        <w:ind w:right="40" w:firstLine="1728"/>
        <w:spacing w:after="0" w:line="275" w:lineRule="auto"/>
        <w:rPr>
          <w:sz w:val="20"/>
          <w:szCs w:val="20"/>
          <w:color w:val="auto"/>
        </w:rPr>
      </w:pPr>
      <w:r>
        <w:rPr>
          <w:rFonts w:ascii="Arial" w:cs="Arial" w:eastAsia="Arial" w:hAnsi="Arial"/>
          <w:sz w:val="19"/>
          <w:szCs w:val="19"/>
          <w:color w:val="auto"/>
        </w:rPr>
        <w:t>“Required Lenders” means at any time, the holders of more than 50% of the sum of the aggregate unpaid principal amount of the Term Loans then outstanding.</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“Restricted License” means any material License or other agreement with respect to which Borrower is the licensee</w:t>
      </w:r>
    </w:p>
    <w:p>
      <w:pPr>
        <w:spacing w:after="0" w:line="32" w:lineRule="exact"/>
        <w:rPr>
          <w:sz w:val="20"/>
          <w:szCs w:val="20"/>
          <w:color w:val="auto"/>
        </w:rPr>
      </w:pPr>
    </w:p>
    <w:p>
      <w:pPr>
        <w:ind w:right="380" w:firstLine="5"/>
        <w:spacing w:after="0" w:line="285" w:lineRule="auto"/>
        <w:tabs>
          <w:tab w:leader="none" w:pos="2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prohibits or otherwise restricts Borrower from granting a security interest in Borrower’s interest in such License or agreement or any other property, or (b) for which a default under or termination of could interfere with the Agent’s right to sell any Collateral.</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“Sanctioned Country” means, at any time, a country or territory which is the subject or target of any Sanctions.</w:t>
      </w:r>
    </w:p>
    <w:p>
      <w:pPr>
        <w:spacing w:after="0" w:line="215" w:lineRule="exact"/>
        <w:rPr>
          <w:sz w:val="20"/>
          <w:szCs w:val="20"/>
          <w:color w:val="auto"/>
        </w:rPr>
      </w:pPr>
    </w:p>
    <w:p>
      <w:pPr>
        <w:ind w:firstLine="1728"/>
        <w:spacing w:after="0" w:line="255" w:lineRule="auto"/>
        <w:rPr>
          <w:sz w:val="20"/>
          <w:szCs w:val="20"/>
          <w:color w:val="auto"/>
        </w:rPr>
      </w:pPr>
      <w:r>
        <w:rPr>
          <w:rFonts w:ascii="Arial" w:cs="Arial" w:eastAsia="Arial" w:hAnsi="Arial"/>
          <w:sz w:val="19"/>
          <w:szCs w:val="19"/>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75" w:lineRule="exact"/>
        <w:rPr>
          <w:sz w:val="20"/>
          <w:szCs w:val="20"/>
          <w:color w:val="auto"/>
        </w:rPr>
      </w:pPr>
    </w:p>
    <w:p>
      <w:pPr>
        <w:ind w:firstLine="1728"/>
        <w:spacing w:after="0" w:line="305" w:lineRule="auto"/>
        <w:rPr>
          <w:sz w:val="20"/>
          <w:szCs w:val="20"/>
          <w:color w:val="auto"/>
        </w:rPr>
      </w:pPr>
      <w:r>
        <w:rPr>
          <w:rFonts w:ascii="Arial" w:cs="Arial" w:eastAsia="Arial" w:hAnsi="Arial"/>
          <w:sz w:val="17"/>
          <w:szCs w:val="17"/>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35" w:lineRule="exact"/>
        <w:rPr>
          <w:sz w:val="20"/>
          <w:szCs w:val="20"/>
          <w:color w:val="auto"/>
        </w:rPr>
      </w:pPr>
    </w:p>
    <w:p>
      <w:pPr>
        <w:ind w:right="600" w:firstLine="1728"/>
        <w:spacing w:after="0" w:line="275" w:lineRule="auto"/>
        <w:rPr>
          <w:sz w:val="20"/>
          <w:szCs w:val="20"/>
          <w:color w:val="auto"/>
        </w:rPr>
      </w:pPr>
      <w:r>
        <w:rPr>
          <w:rFonts w:ascii="Arial" w:cs="Arial" w:eastAsia="Arial" w:hAnsi="Arial"/>
          <w:sz w:val="19"/>
          <w:szCs w:val="19"/>
          <w:color w:val="auto"/>
        </w:rPr>
        <w:t>“Secured Obligations” means Borrower’s obligations under this Agreement and any Loan Document, including any obligation to pay any amount now owing or later arising.</w:t>
      </w:r>
    </w:p>
    <w:p>
      <w:pPr>
        <w:spacing w:after="0" w:line="156" w:lineRule="exact"/>
        <w:rPr>
          <w:sz w:val="20"/>
          <w:szCs w:val="20"/>
          <w:color w:val="auto"/>
        </w:rPr>
      </w:pPr>
    </w:p>
    <w:p>
      <w:pPr>
        <w:ind w:right="40" w:firstLine="1728"/>
        <w:spacing w:after="0" w:line="260" w:lineRule="auto"/>
        <w:rPr>
          <w:sz w:val="20"/>
          <w:szCs w:val="20"/>
          <w:color w:val="auto"/>
        </w:rPr>
      </w:pPr>
      <w:r>
        <w:rPr>
          <w:rFonts w:ascii="Arial" w:cs="Arial" w:eastAsia="Arial" w:hAnsi="Arial"/>
          <w:sz w:val="19"/>
          <w:szCs w:val="19"/>
          <w:color w:val="auto"/>
        </w:rPr>
        <w:t>“Subordinated Indebtedness” means Indebtedness subordinated to the Secured Obligations in amounts and on terms and conditions satisfactory to Agent in its reasonable discretion and subject to a subordination agreement in form and substance satisfactory to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82" w:name="page183"/>
    <w:bookmarkEnd w:id="182"/>
    <w:p>
      <w:pPr>
        <w:ind w:right="260" w:firstLine="1728"/>
        <w:spacing w:after="0" w:line="335" w:lineRule="auto"/>
        <w:rPr>
          <w:sz w:val="20"/>
          <w:szCs w:val="20"/>
          <w:color w:val="auto"/>
        </w:rPr>
      </w:pPr>
      <w:r>
        <w:rPr>
          <w:rFonts w:ascii="Arial" w:cs="Arial" w:eastAsia="Arial" w:hAnsi="Arial"/>
          <w:sz w:val="17"/>
          <w:szCs w:val="17"/>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1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“Syndax UK” means Syndax Limited, a limited company organized under the law of England and Wales.</w:t>
      </w:r>
    </w:p>
    <w:p>
      <w:pPr>
        <w:spacing w:after="0" w:line="215" w:lineRule="exact"/>
        <w:rPr>
          <w:sz w:val="20"/>
          <w:szCs w:val="20"/>
          <w:color w:val="auto"/>
        </w:rPr>
      </w:pPr>
    </w:p>
    <w:p>
      <w:pPr>
        <w:ind w:right="80" w:firstLine="1728"/>
        <w:spacing w:after="0" w:line="335" w:lineRule="auto"/>
        <w:rPr>
          <w:sz w:val="20"/>
          <w:szCs w:val="20"/>
          <w:color w:val="auto"/>
        </w:rPr>
      </w:pPr>
      <w:r>
        <w:rPr>
          <w:rFonts w:ascii="Arial" w:cs="Arial" w:eastAsia="Arial" w:hAnsi="Arial"/>
          <w:sz w:val="17"/>
          <w:szCs w:val="17"/>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11" w:lineRule="exact"/>
        <w:rPr>
          <w:sz w:val="20"/>
          <w:szCs w:val="20"/>
          <w:color w:val="auto"/>
        </w:rPr>
      </w:pPr>
    </w:p>
    <w:p>
      <w:pPr>
        <w:ind w:right="160" w:firstLine="1728"/>
        <w:spacing w:after="0" w:line="260" w:lineRule="auto"/>
        <w:rPr>
          <w:sz w:val="20"/>
          <w:szCs w:val="20"/>
          <w:color w:val="auto"/>
        </w:rPr>
      </w:pPr>
      <w:r>
        <w:rPr>
          <w:rFonts w:ascii="Arial" w:cs="Arial" w:eastAsia="Arial" w:hAnsi="Arial"/>
          <w:sz w:val="19"/>
          <w:szCs w:val="19"/>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71" w:lineRule="exact"/>
        <w:rPr>
          <w:sz w:val="20"/>
          <w:szCs w:val="20"/>
          <w:color w:val="auto"/>
        </w:rPr>
      </w:pPr>
    </w:p>
    <w:p>
      <w:pPr>
        <w:ind w:firstLine="1728"/>
        <w:spacing w:after="0" w:line="275" w:lineRule="auto"/>
        <w:rPr>
          <w:sz w:val="20"/>
          <w:szCs w:val="20"/>
          <w:color w:val="auto"/>
        </w:rPr>
      </w:pPr>
      <w:r>
        <w:rPr>
          <w:rFonts w:ascii="Arial" w:cs="Arial" w:eastAsia="Arial" w:hAnsi="Arial"/>
          <w:sz w:val="19"/>
          <w:szCs w:val="19"/>
          <w:color w:val="auto"/>
        </w:rPr>
        <w:t>“Term Loan Advance” means each Tranche 1 Advance, Tranche 2 Advance, Tranche 3 Advance and any other Term Loan funds advanced under this Agreement.</w:t>
      </w:r>
    </w:p>
    <w:p>
      <w:pPr>
        <w:spacing w:after="0" w:line="156" w:lineRule="exact"/>
        <w:rPr>
          <w:sz w:val="20"/>
          <w:szCs w:val="20"/>
          <w:color w:val="auto"/>
        </w:rPr>
      </w:pPr>
    </w:p>
    <w:p>
      <w:pPr>
        <w:ind w:right="120" w:firstLine="1728"/>
        <w:spacing w:after="0" w:line="275" w:lineRule="auto"/>
        <w:rPr>
          <w:sz w:val="20"/>
          <w:szCs w:val="20"/>
          <w:color w:val="auto"/>
        </w:rPr>
      </w:pPr>
      <w:r>
        <w:rPr>
          <w:rFonts w:ascii="Arial" w:cs="Arial" w:eastAsia="Arial" w:hAnsi="Arial"/>
          <w:sz w:val="19"/>
          <w:szCs w:val="19"/>
          <w:color w:val="auto"/>
        </w:rPr>
        <w:t>“Term Loan Interest Rate” means, for any day a per annum rate of interest equal to the greater of either (i) the prime rate as reported in The Wall Street Journal plus 6.00%, and (ii) 9.25%.</w:t>
      </w:r>
    </w:p>
    <w:p>
      <w:pPr>
        <w:spacing w:after="0" w:line="156" w:lineRule="exact"/>
        <w:rPr>
          <w:sz w:val="20"/>
          <w:szCs w:val="20"/>
          <w:color w:val="auto"/>
        </w:rPr>
      </w:pPr>
    </w:p>
    <w:p>
      <w:pPr>
        <w:ind w:firstLine="1728"/>
        <w:spacing w:after="0" w:line="275" w:lineRule="auto"/>
        <w:rPr>
          <w:sz w:val="20"/>
          <w:szCs w:val="20"/>
          <w:color w:val="auto"/>
        </w:rPr>
      </w:pPr>
      <w:r>
        <w:rPr>
          <w:rFonts w:ascii="Arial" w:cs="Arial" w:eastAsia="Arial" w:hAnsi="Arial"/>
          <w:sz w:val="19"/>
          <w:szCs w:val="19"/>
          <w:color w:val="auto"/>
        </w:rPr>
        <w:t>“Term Loan Maturity Date” means April 1, 2024; provided further that if any such day is not a Business Day, the Term Loan Maturity Date shall be the immediately preceding Business Day.</w:t>
      </w:r>
    </w:p>
    <w:p>
      <w:pPr>
        <w:spacing w:after="0" w:line="156" w:lineRule="exact"/>
        <w:rPr>
          <w:sz w:val="20"/>
          <w:szCs w:val="20"/>
          <w:color w:val="auto"/>
        </w:rPr>
      </w:pPr>
    </w:p>
    <w:p>
      <w:pPr>
        <w:ind w:right="40" w:firstLine="1728"/>
        <w:spacing w:after="0" w:line="275" w:lineRule="auto"/>
        <w:rPr>
          <w:sz w:val="20"/>
          <w:szCs w:val="20"/>
          <w:color w:val="auto"/>
        </w:rPr>
      </w:pPr>
      <w:r>
        <w:rPr>
          <w:rFonts w:ascii="Arial" w:cs="Arial" w:eastAsia="Arial" w:hAnsi="Arial"/>
          <w:sz w:val="19"/>
          <w:szCs w:val="19"/>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56" w:lineRule="exact"/>
        <w:rPr>
          <w:sz w:val="20"/>
          <w:szCs w:val="20"/>
          <w:color w:val="auto"/>
        </w:rPr>
      </w:pPr>
    </w:p>
    <w:p>
      <w:pPr>
        <w:ind w:right="260" w:firstLine="1728"/>
        <w:spacing w:after="0" w:line="260" w:lineRule="auto"/>
        <w:rPr>
          <w:sz w:val="20"/>
          <w:szCs w:val="20"/>
          <w:color w:val="auto"/>
        </w:rPr>
      </w:pPr>
      <w:r>
        <w:rPr>
          <w:rFonts w:ascii="Arial" w:cs="Arial" w:eastAsia="Arial" w:hAnsi="Arial"/>
          <w:sz w:val="19"/>
          <w:szCs w:val="19"/>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“Tranche 2-A Facility Charge” means 0.5% of each Tranche 2-A Advance, which is payable to Lender in accordance with</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Section 4.2(d).</w:t>
      </w:r>
    </w:p>
    <w:p>
      <w:pPr>
        <w:spacing w:after="0" w:line="199" w:lineRule="exact"/>
        <w:rPr>
          <w:sz w:val="20"/>
          <w:szCs w:val="20"/>
          <w:color w:val="auto"/>
        </w:rPr>
      </w:pPr>
    </w:p>
    <w:p>
      <w:pPr>
        <w:jc w:val="both"/>
        <w:ind w:right="180" w:firstLine="1728"/>
        <w:spacing w:after="0" w:line="260" w:lineRule="auto"/>
        <w:rPr>
          <w:sz w:val="20"/>
          <w:szCs w:val="20"/>
          <w:color w:val="auto"/>
        </w:rPr>
      </w:pPr>
      <w:r>
        <w:rPr>
          <w:rFonts w:ascii="Arial" w:cs="Arial" w:eastAsia="Arial" w:hAnsi="Arial"/>
          <w:sz w:val="19"/>
          <w:szCs w:val="19"/>
          <w:color w:val="auto"/>
        </w:rPr>
        <w:t>“Tranche 2-B Draw Period” means the period beginning on the First Amendment Effective Date and ending on, as of the applicable date of determination, (A) if the full amount of the Tranche 2-A Advance has not been drawn prior to April 30, 2022, November 30, 2022 and (B) if the full amount of Tranche 2-A Advance has been drawn prior to April 30, 2022, April 30, 2023.</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“Tranche 2-B Facility Charge” means 0.5% of each Tranche 2-B Advance, which is payable to Lender in accordance with</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Section 4.2(e).</w:t>
      </w:r>
    </w:p>
    <w:p>
      <w:pPr>
        <w:spacing w:after="0" w:line="19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“Tranche 3 Facility Charge” means 0.5% of each Tranche 3 Advance, which is payable to Lender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Section 4.2(f).</w:t>
      </w:r>
    </w:p>
    <w:p>
      <w:pPr>
        <w:spacing w:after="0" w:line="199" w:lineRule="exact"/>
        <w:rPr>
          <w:sz w:val="20"/>
          <w:szCs w:val="20"/>
          <w:color w:val="auto"/>
        </w:rPr>
      </w:pPr>
    </w:p>
    <w:p>
      <w:pPr>
        <w:ind w:right="200" w:firstLine="1728"/>
        <w:spacing w:after="0" w:line="255" w:lineRule="auto"/>
        <w:rPr>
          <w:sz w:val="20"/>
          <w:szCs w:val="20"/>
          <w:color w:val="auto"/>
        </w:rPr>
      </w:pPr>
      <w:r>
        <w:rPr>
          <w:rFonts w:ascii="Arial" w:cs="Arial" w:eastAsia="Arial" w:hAnsi="Arial"/>
          <w:sz w:val="19"/>
          <w:szCs w:val="19"/>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717804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3" w:name="page184"/>
    <w:bookmarkEnd w:id="183"/>
    <w:p>
      <w:pPr>
        <w:ind w:right="260"/>
        <w:spacing w:after="0" w:line="260" w:lineRule="auto"/>
        <w:rPr>
          <w:sz w:val="20"/>
          <w:szCs w:val="20"/>
          <w:color w:val="auto"/>
        </w:rPr>
      </w:pPr>
      <w:r>
        <w:rPr>
          <w:rFonts w:ascii="Arial" w:cs="Arial" w:eastAsia="Arial" w:hAnsi="Arial"/>
          <w:sz w:val="19"/>
          <w:szCs w:val="19"/>
          <w:color w:val="auto"/>
        </w:rPr>
        <w:t>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“U.S. Person” means any Person that is a “United States person” as defined in Section 7701(a)(30) of the Code.</w:t>
      </w:r>
    </w:p>
    <w:p>
      <w:pPr>
        <w:spacing w:after="0" w:line="21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color w:val="auto"/>
        </w:rPr>
        <w:t>The following terms are defined in the Sections or subsections referenced opposite such terms:</w:t>
      </w:r>
    </w:p>
    <w:p>
      <w:pPr>
        <w:spacing w:after="0" w:line="212" w:lineRule="exact"/>
        <w:rPr>
          <w:sz w:val="20"/>
          <w:szCs w:val="20"/>
          <w:color w:val="auto"/>
        </w:rPr>
      </w:pPr>
    </w:p>
    <w:tbl>
      <w:tblPr>
        <w:tblLayout w:type="fixed"/>
        <w:tblInd w:w="2570" w:type="dxa"/>
        <w:tblCellMar>
          <w:top w:w="0" w:type="dxa"/>
          <w:left w:w="0" w:type="dxa"/>
          <w:bottom w:w="0" w:type="dxa"/>
          <w:right w:w="0" w:type="dxa"/>
        </w:tblCellMar>
      </w:tblPr>
      <w:tr>
        <w:trPr>
          <w:trHeight w:val="250"/>
        </w:trPr>
        <w:tc>
          <w:tcPr>
            <w:tcW w:w="3240" w:type="dxa"/>
            <w:vAlign w:val="bottom"/>
            <w:tcBorders>
              <w:top w:val="single" w:sz="8" w:color="666666"/>
              <w:left w:val="single" w:sz="8" w:color="666666"/>
              <w:bottom w:val="single" w:sz="8" w:color="666666"/>
              <w:right w:val="single" w:sz="8" w:color="666666"/>
            </w:tcBorders>
            <w:shd w:val="clear" w:color="auto" w:fill="808080"/>
          </w:tcPr>
          <w:p>
            <w:pPr>
              <w:ind w:left="100"/>
              <w:spacing w:after="0"/>
              <w:rPr>
                <w:sz w:val="20"/>
                <w:szCs w:val="20"/>
                <w:color w:val="auto"/>
              </w:rPr>
            </w:pPr>
            <w:r>
              <w:rPr>
                <w:rFonts w:ascii="Arial" w:cs="Arial" w:eastAsia="Arial" w:hAnsi="Arial"/>
                <w:sz w:val="19"/>
                <w:szCs w:val="19"/>
                <w:color w:val="auto"/>
              </w:rPr>
              <w:t>Defined Term</w:t>
            </w:r>
          </w:p>
        </w:tc>
        <w:tc>
          <w:tcPr>
            <w:tcW w:w="2920" w:type="dxa"/>
            <w:vAlign w:val="bottom"/>
            <w:tcBorders>
              <w:top w:val="single" w:sz="8" w:color="666666"/>
              <w:bottom w:val="single" w:sz="8" w:color="666666"/>
              <w:right w:val="single" w:sz="8" w:color="666666"/>
            </w:tcBorders>
            <w:shd w:val="clear" w:color="auto" w:fill="808080"/>
          </w:tcPr>
          <w:p>
            <w:pPr>
              <w:ind w:left="80"/>
              <w:spacing w:after="0"/>
              <w:rPr>
                <w:sz w:val="20"/>
                <w:szCs w:val="20"/>
                <w:color w:val="auto"/>
              </w:rPr>
            </w:pPr>
            <w:r>
              <w:rPr>
                <w:rFonts w:ascii="Arial" w:cs="Arial" w:eastAsia="Arial" w:hAnsi="Arial"/>
                <w:sz w:val="19"/>
                <w:szCs w:val="19"/>
                <w:color w:val="auto"/>
              </w:rPr>
              <w:t>Section</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Agent</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Preamble</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Assignee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11.14</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Borrower</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Preamble</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Claims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11.11</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Collateral</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3.1</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Confidential Information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11.13</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End of Term Charge A</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2.6(a)</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End of Term Charge B</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2.6(b)</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End of Term Charges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2.6(b)</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Event of Default</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9</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Financial Statements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7.1</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Indemnified Person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6.3</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Lenders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Preamble</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Liabilities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6.3</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Maximum Rate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2.3</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Open Source License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5.10</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Participant Register</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11.8</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Prepayment Charge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2.5</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Publicity Materials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11.19</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Register</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11.7</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Rights to Payment</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3.1</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Tranche 1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2.2(a)(i)</w:t>
            </w:r>
          </w:p>
        </w:tc>
      </w:tr>
      <w:tr>
        <w:trPr>
          <w:trHeight w:val="230"/>
        </w:trPr>
        <w:tc>
          <w:tcPr>
            <w:tcW w:w="324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19"/>
                <w:szCs w:val="19"/>
                <w:color w:val="auto"/>
              </w:rPr>
              <w:t>Tranche 2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19"/>
                <w:szCs w:val="19"/>
                <w:color w:val="auto"/>
              </w:rPr>
              <w:t>2.2(a)(iii)</w:t>
            </w:r>
          </w:p>
        </w:tc>
      </w:tr>
      <w:tr>
        <w:trPr>
          <w:trHeight w:val="230"/>
        </w:trPr>
        <w:tc>
          <w:tcPr>
            <w:tcW w:w="3240" w:type="dxa"/>
            <w:vAlign w:val="bottom"/>
            <w:tcBorders>
              <w:left w:val="single" w:sz="8" w:color="666666"/>
              <w:bottom w:val="single" w:sz="8" w:color="auto"/>
              <w:right w:val="single" w:sz="8" w:color="666666"/>
            </w:tcBorders>
          </w:tcPr>
          <w:p>
            <w:pPr>
              <w:ind w:left="100"/>
              <w:spacing w:after="0"/>
              <w:rPr>
                <w:sz w:val="20"/>
                <w:szCs w:val="20"/>
                <w:color w:val="auto"/>
              </w:rPr>
            </w:pPr>
            <w:r>
              <w:rPr>
                <w:rFonts w:ascii="Arial" w:cs="Arial" w:eastAsia="Arial" w:hAnsi="Arial"/>
                <w:sz w:val="19"/>
                <w:szCs w:val="19"/>
                <w:color w:val="auto"/>
              </w:rPr>
              <w:t>Tranche 2-A Advance</w:t>
            </w:r>
          </w:p>
        </w:tc>
        <w:tc>
          <w:tcPr>
            <w:tcW w:w="2920" w:type="dxa"/>
            <w:vAlign w:val="bottom"/>
            <w:tcBorders>
              <w:bottom w:val="single" w:sz="8" w:color="auto"/>
              <w:right w:val="single" w:sz="8" w:color="666666"/>
            </w:tcBorders>
          </w:tcPr>
          <w:p>
            <w:pPr>
              <w:ind w:left="80"/>
              <w:spacing w:after="0"/>
              <w:rPr>
                <w:sz w:val="20"/>
                <w:szCs w:val="20"/>
                <w:color w:val="auto"/>
              </w:rPr>
            </w:pPr>
            <w:r>
              <w:rPr>
                <w:rFonts w:ascii="Arial" w:cs="Arial" w:eastAsia="Arial" w:hAnsi="Arial"/>
                <w:sz w:val="19"/>
                <w:szCs w:val="19"/>
                <w:color w:val="auto"/>
              </w:rPr>
              <w:t>2.2(a)(ii)</w:t>
            </w:r>
          </w:p>
        </w:tc>
      </w:tr>
      <w:tr>
        <w:trPr>
          <w:trHeight w:val="230"/>
        </w:trPr>
        <w:tc>
          <w:tcPr>
            <w:tcW w:w="3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Tranche 2-B Advance</w:t>
            </w:r>
          </w:p>
        </w:tc>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2.2(a)(iii)</w:t>
            </w:r>
          </w:p>
        </w:tc>
      </w:tr>
      <w:tr>
        <w:trPr>
          <w:trHeight w:val="230"/>
        </w:trPr>
        <w:tc>
          <w:tcPr>
            <w:tcW w:w="3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Tranche 3 Advance</w:t>
            </w:r>
          </w:p>
        </w:tc>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2.2(a)(iv)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-325120</wp:posOffset>
            </wp:positionV>
            <wp:extent cx="3914140" cy="483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3914140" cy="483870"/>
                    </a:xfrm>
                    <a:prstGeom prst="rect">
                      <a:avLst/>
                    </a:prstGeom>
                    <a:noFill/>
                  </pic:spPr>
                </pic:pic>
              </a:graphicData>
            </a:graphic>
          </wp:anchor>
        </w:drawing>
      </w:r>
    </w:p>
    <w:p>
      <w:pPr>
        <w:spacing w:after="0" w:line="213"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7"/>
          <w:szCs w:val="17"/>
          <w:color w:val="auto"/>
        </w:rPr>
        <w:t>Unless otherwise specified, all references in this Agreement or any Annex or Schedule hereto to a “Section,” “subsection,”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“Exhibit,” “Annex,” or “Schedule” shall refer to the corresponding Section, subsection, Exhibit, Annex, or Schedule in or to this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Agreement. Unless otherwise specifically provided herein, any accounting term used in this Agreement or the other Loan Documents shall have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meaning customarily given such term in accordance with GAAP, and all financial computations hereunder shall be computed in accordance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GAAP, consistently applied; provided that, no effect shall be given to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(or any other</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Accounting Standards Codification having similar result or effect) (and related interpretations) to the extent any lease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283210</wp:posOffset>
            </wp:positionV>
            <wp:extent cx="717804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84" w:name="page185"/>
    <w:bookmarkEnd w:id="184"/>
    <w:p>
      <w:pPr>
        <w:ind w:right="60"/>
        <w:spacing w:after="0" w:line="265" w:lineRule="auto"/>
        <w:rPr>
          <w:sz w:val="20"/>
          <w:szCs w:val="20"/>
          <w:color w:val="auto"/>
        </w:rPr>
      </w:pPr>
      <w:r>
        <w:rPr>
          <w:rFonts w:ascii="Arial" w:cs="Arial" w:eastAsia="Arial" w:hAnsi="Arial"/>
          <w:sz w:val="18"/>
          <w:szCs w:val="18"/>
          <w:color w:val="auto"/>
        </w:rPr>
        <w:t>arrangement) would be required to be treated as a capital lease thereunder where such lease (or arrangement) would have been treated as an operating lease under GAAP as in effect immediately prior to the effectiveness of such Accounting Standards Codification.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3" w:lineRule="exact"/>
        <w:rPr>
          <w:sz w:val="20"/>
          <w:szCs w:val="20"/>
          <w:color w:val="auto"/>
        </w:rPr>
      </w:pPr>
    </w:p>
    <w:p>
      <w:pPr>
        <w:ind w:left="4220"/>
        <w:spacing w:after="0"/>
        <w:tabs>
          <w:tab w:leader="none" w:pos="6000" w:val="left"/>
        </w:tabs>
        <w:rPr>
          <w:sz w:val="20"/>
          <w:szCs w:val="20"/>
          <w:color w:val="auto"/>
        </w:rPr>
      </w:pPr>
      <w:r>
        <w:rPr>
          <w:rFonts w:ascii="Arial" w:cs="Arial" w:eastAsia="Arial" w:hAnsi="Arial"/>
          <w:sz w:val="19"/>
          <w:szCs w:val="19"/>
          <w:b w:val="1"/>
          <w:bCs w:val="1"/>
          <w:color w:val="auto"/>
        </w:rPr>
        <w:t>SECTION 2.</w:t>
      </w:r>
      <w:r>
        <w:rPr>
          <w:sz w:val="20"/>
          <w:szCs w:val="20"/>
          <w:color w:val="auto"/>
        </w:rPr>
        <w:tab/>
      </w:r>
      <w:r>
        <w:rPr>
          <w:rFonts w:ascii="Arial" w:cs="Arial" w:eastAsia="Arial" w:hAnsi="Arial"/>
          <w:sz w:val="19"/>
          <w:szCs w:val="19"/>
          <w:b w:val="1"/>
          <w:bCs w:val="1"/>
          <w:u w:val="single" w:color="auto"/>
          <w:color w:val="auto"/>
        </w:rPr>
        <w:t>THE LOAN</w:t>
      </w:r>
    </w:p>
    <w:p>
      <w:pPr>
        <w:spacing w:after="0" w:line="221"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color w:val="auto"/>
        </w:rPr>
        <w:t>[Reserved.]</w:t>
      </w:r>
    </w:p>
    <w:p>
      <w:pPr>
        <w:spacing w:after="0" w:line="21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color w:val="auto"/>
        </w:rPr>
        <w:t>Term Loan.</w:t>
      </w:r>
    </w:p>
    <w:p>
      <w:pPr>
        <w:spacing w:after="0" w:line="215" w:lineRule="exact"/>
        <w:rPr>
          <w:sz w:val="20"/>
          <w:szCs w:val="20"/>
          <w:color w:val="auto"/>
        </w:rPr>
      </w:pPr>
    </w:p>
    <w:p>
      <w:pPr>
        <w:ind w:left="2260" w:hanging="527"/>
        <w:spacing w:after="0"/>
        <w:tabs>
          <w:tab w:leader="none" w:pos="22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Advances.</w:t>
      </w:r>
    </w:p>
    <w:p>
      <w:pPr>
        <w:spacing w:after="0" w:line="215" w:lineRule="exact"/>
        <w:rPr>
          <w:rFonts w:ascii="Arial" w:cs="Arial" w:eastAsia="Arial" w:hAnsi="Arial"/>
          <w:sz w:val="19"/>
          <w:szCs w:val="19"/>
          <w:color w:val="auto"/>
        </w:rPr>
      </w:pPr>
    </w:p>
    <w:p>
      <w:pPr>
        <w:ind w:right="140" w:firstLine="2599"/>
        <w:spacing w:after="0" w:line="255" w:lineRule="auto"/>
        <w:tabs>
          <w:tab w:leader="none" w:pos="3091"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Lenders will severally (and not jointly) make in an amount not to exceed its respective Term Commitment, and Borrower agrees to draw, a Term Loan Advance of Twenty Million Dollars ($20,000,000) on the Closing Date (the “Tranche 1 Advance”). Borrower acknowledges and agrees that the aggregate outstanding principal amount of the Tranche 1 Advance as of the First Amendment Effective Date is $20,000,000.</w:t>
      </w:r>
    </w:p>
    <w:p>
      <w:pPr>
        <w:spacing w:after="0" w:line="175" w:lineRule="exact"/>
        <w:rPr>
          <w:rFonts w:ascii="Arial" w:cs="Arial" w:eastAsia="Arial" w:hAnsi="Arial"/>
          <w:sz w:val="19"/>
          <w:szCs w:val="19"/>
          <w:color w:val="auto"/>
        </w:rPr>
      </w:pPr>
    </w:p>
    <w:p>
      <w:pPr>
        <w:ind w:right="240" w:firstLine="2599"/>
        <w:spacing w:after="0" w:line="255" w:lineRule="auto"/>
        <w:tabs>
          <w:tab w:leader="none" w:pos="3144"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beginning on the First Amendment Effective Date and continuing through April 30, 2022, Borrower may request and the Lenders shall severally (and not jointly) make, in an amount not to exceed its respective Term Commitment, an additional Term Loan Advance in an aggregate principal amount of Fifteen Million Dollars ($15,000,000) (the “Tranche 2-A Advance”).</w:t>
      </w:r>
    </w:p>
    <w:p>
      <w:pPr>
        <w:spacing w:after="0" w:line="175" w:lineRule="exact"/>
        <w:rPr>
          <w:rFonts w:ascii="Arial" w:cs="Arial" w:eastAsia="Arial" w:hAnsi="Arial"/>
          <w:sz w:val="19"/>
          <w:szCs w:val="19"/>
          <w:color w:val="auto"/>
        </w:rPr>
      </w:pPr>
    </w:p>
    <w:p>
      <w:pPr>
        <w:ind w:right="140" w:firstLine="2599"/>
        <w:spacing w:after="0" w:line="255" w:lineRule="auto"/>
        <w:tabs>
          <w:tab w:leader="none" w:pos="3198"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during the Tranche 2-B Draw Period, Borrower may request and the Lenders shall severally (and not jointly) make, in an amount not to exceed its respective Term Commitment, an additional Term Loan Advance in an aggregate principal amount of Fifteen Million Dollars ($15,000,000) (the “Tranche 2-B Advance” and together with the Tranche 2-A Advance, each a “Tranche 2 Advance”).</w:t>
      </w:r>
    </w:p>
    <w:p>
      <w:pPr>
        <w:spacing w:after="0" w:line="175" w:lineRule="exact"/>
        <w:rPr>
          <w:rFonts w:ascii="Arial" w:cs="Arial" w:eastAsia="Arial" w:hAnsi="Arial"/>
          <w:sz w:val="19"/>
          <w:szCs w:val="19"/>
          <w:color w:val="auto"/>
        </w:rPr>
      </w:pPr>
    </w:p>
    <w:p>
      <w:pPr>
        <w:ind w:firstLine="2599"/>
        <w:spacing w:after="0" w:line="255" w:lineRule="auto"/>
        <w:tabs>
          <w:tab w:leader="none" w:pos="3187"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beginning on the First Amendment Effective Date and continuing through the Amortization Date, and conditioned on approval by the Lenders’ investment committee in its sole and unfettered discretion, Borrower may request additional Term Loan Advances in an aggregate principal amount up to Thirty Million Dollars ($30,000,000), in minimum increments of Ten Million Dollars ($10,000,000) (each, a “Tranche 3 Advance”).</w:t>
      </w:r>
    </w:p>
    <w:p>
      <w:pPr>
        <w:spacing w:after="0" w:line="175" w:lineRule="exact"/>
        <w:rPr>
          <w:rFonts w:ascii="Arial" w:cs="Arial" w:eastAsia="Arial" w:hAnsi="Arial"/>
          <w:sz w:val="19"/>
          <w:szCs w:val="19"/>
          <w:color w:val="auto"/>
        </w:rPr>
      </w:pPr>
    </w:p>
    <w:p>
      <w:pPr>
        <w:ind w:left="3140" w:hanging="541"/>
        <w:spacing w:after="0"/>
        <w:tabs>
          <w:tab w:leader="none" w:pos="3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aggregate outstanding Term Loan Advances may be up to the Maximum Term Loan Amount.</w:t>
      </w:r>
    </w:p>
    <w:p>
      <w:pPr>
        <w:spacing w:after="0" w:line="226" w:lineRule="exact"/>
        <w:rPr>
          <w:rFonts w:ascii="Arial" w:cs="Arial" w:eastAsia="Arial" w:hAnsi="Arial"/>
          <w:sz w:val="18"/>
          <w:szCs w:val="18"/>
          <w:color w:val="auto"/>
        </w:rPr>
      </w:pPr>
    </w:p>
    <w:p>
      <w:pPr>
        <w:ind w:right="20" w:firstLine="1733"/>
        <w:spacing w:after="0" w:line="284" w:lineRule="auto"/>
        <w:tabs>
          <w:tab w:leader="none" w:pos="22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Advance Request. To obtain a Term Loan Advance, Borrower shall complete, sign and deliver an Advance Request (at least three (3) Business Days before the Advance Date other than the Closing Date, which shall be at least one (1) Business Day) to</w:t>
      </w:r>
    </w:p>
    <w:p>
      <w:pPr>
        <w:spacing w:after="0"/>
        <w:rPr>
          <w:rFonts w:ascii="Arial" w:cs="Arial" w:eastAsia="Arial" w:hAnsi="Arial"/>
          <w:sz w:val="17"/>
          <w:szCs w:val="17"/>
          <w:color w:val="auto"/>
        </w:rPr>
      </w:pPr>
      <w:r>
        <w:rPr>
          <w:rFonts w:ascii="Arial" w:cs="Arial" w:eastAsia="Arial" w:hAnsi="Arial"/>
          <w:sz w:val="19"/>
          <w:szCs w:val="19"/>
          <w:color w:val="auto"/>
        </w:rPr>
        <w:t>Agent. The Lenders shall fund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283210</wp:posOffset>
            </wp:positionV>
            <wp:extent cx="717804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5" w:name="page186"/>
    <w:bookmarkEnd w:id="185"/>
    <w:p>
      <w:pPr>
        <w:ind w:right="700"/>
        <w:spacing w:after="0" w:line="275" w:lineRule="auto"/>
        <w:rPr>
          <w:sz w:val="20"/>
          <w:szCs w:val="20"/>
          <w:color w:val="auto"/>
        </w:rPr>
      </w:pPr>
      <w:r>
        <w:rPr>
          <w:rFonts w:ascii="Arial" w:cs="Arial" w:eastAsia="Arial" w:hAnsi="Arial"/>
          <w:sz w:val="19"/>
          <w:szCs w:val="19"/>
          <w:color w:val="auto"/>
        </w:rPr>
        <w:t>Term Loan Advance in the manner requested by the Advance Request provided that each of the conditions precedent to such Term Loan Advance is satisfied as of the requested Advance Date.</w:t>
      </w:r>
    </w:p>
    <w:p>
      <w:pPr>
        <w:spacing w:after="0" w:line="156" w:lineRule="exact"/>
        <w:rPr>
          <w:sz w:val="20"/>
          <w:szCs w:val="20"/>
          <w:color w:val="auto"/>
        </w:rPr>
      </w:pPr>
    </w:p>
    <w:p>
      <w:pPr>
        <w:ind w:right="40" w:firstLine="1733"/>
        <w:spacing w:after="0" w:line="281" w:lineRule="auto"/>
        <w:tabs>
          <w:tab w:leader="none" w:pos="22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 Term Loan Interest Rate. The principal balance of the Term Loan shall bear interest thereon from such Advance Date at the Term Loan Interest Rate based on a year consisting of 360 days, with interest computed daily based on the actual number of days elapsed. The Term Loan Interest Rate will float and change on the day the prime rate changes from time to time.</w:t>
      </w:r>
    </w:p>
    <w:p>
      <w:pPr>
        <w:spacing w:after="0" w:line="153" w:lineRule="exact"/>
        <w:rPr>
          <w:rFonts w:ascii="Arial" w:cs="Arial" w:eastAsia="Arial" w:hAnsi="Arial"/>
          <w:sz w:val="18"/>
          <w:szCs w:val="18"/>
          <w:color w:val="auto"/>
        </w:rPr>
      </w:pPr>
    </w:p>
    <w:p>
      <w:pPr>
        <w:ind w:firstLine="1733"/>
        <w:spacing w:after="0" w:line="277" w:lineRule="auto"/>
        <w:tabs>
          <w:tab w:leader="none" w:pos="2268" w:val="left"/>
        </w:tabs>
        <w:numPr>
          <w:ilvl w:val="0"/>
          <w:numId w:val="94"/>
        </w:numPr>
        <w:rPr>
          <w:rFonts w:ascii="Arial" w:cs="Arial" w:eastAsia="Arial" w:hAnsi="Arial"/>
          <w:sz w:val="17"/>
          <w:szCs w:val="17"/>
          <w:color w:val="auto"/>
        </w:rPr>
      </w:pPr>
      <w:r>
        <w:rPr>
          <w:rFonts w:ascii="Arial" w:cs="Arial" w:eastAsia="Arial" w:hAnsi="Arial"/>
          <w:sz w:val="17"/>
          <w:szCs w:val="17"/>
          <w:color w:val="auto"/>
        </w:rPr>
        <w:t>Payment. Borrower will pay accrued but unpaid interest on each outstanding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reasonable and documented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w:t>
      </w:r>
    </w:p>
    <w:p>
      <w:pPr>
        <w:spacing w:after="0" w:line="169" w:lineRule="exact"/>
        <w:rPr>
          <w:sz w:val="20"/>
          <w:szCs w:val="20"/>
          <w:color w:val="auto"/>
        </w:rPr>
      </w:pPr>
    </w:p>
    <w:p>
      <w:pPr>
        <w:ind w:firstLine="864"/>
        <w:spacing w:after="0" w:line="249" w:lineRule="auto"/>
        <w:rPr>
          <w:sz w:val="20"/>
          <w:szCs w:val="20"/>
          <w:color w:val="auto"/>
        </w:rPr>
      </w:pPr>
      <w:r>
        <w:rPr>
          <w:rFonts w:ascii="Arial" w:cs="Arial" w:eastAsia="Arial" w:hAnsi="Arial"/>
          <w:sz w:val="19"/>
          <w:szCs w:val="19"/>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81" w:lineRule="exact"/>
        <w:rPr>
          <w:sz w:val="20"/>
          <w:szCs w:val="20"/>
          <w:color w:val="auto"/>
        </w:rPr>
      </w:pPr>
    </w:p>
    <w:p>
      <w:pPr>
        <w:jc w:val="both"/>
        <w:ind w:right="80" w:firstLine="864"/>
        <w:spacing w:after="0" w:line="260" w:lineRule="auto"/>
        <w:rPr>
          <w:sz w:val="20"/>
          <w:szCs w:val="20"/>
          <w:color w:val="auto"/>
        </w:rPr>
      </w:pPr>
      <w:r>
        <w:rPr>
          <w:rFonts w:ascii="Arial" w:cs="Arial" w:eastAsia="Arial" w:hAnsi="Arial"/>
          <w:sz w:val="19"/>
          <w:szCs w:val="19"/>
          <w:color w:val="auto"/>
        </w:rPr>
        <w:t>2.4 Default Interest. In the event any payment is not paid on the scheduled payment date (other than a failure to pay due solely to an administrative or operational error of Agent or the Lenders or Borrower’s bank if Borrower had the funds to make the payment when due and makes the payment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86" w:name="page187"/>
    <w:bookmarkEnd w:id="186"/>
    <w:p>
      <w:pPr>
        <w:ind w:right="120"/>
        <w:spacing w:after="0" w:line="289" w:lineRule="auto"/>
        <w:rPr>
          <w:sz w:val="20"/>
          <w:szCs w:val="20"/>
          <w:color w:val="auto"/>
        </w:rPr>
      </w:pPr>
      <w:r>
        <w:rPr>
          <w:rFonts w:ascii="Arial" w:cs="Arial" w:eastAsia="Arial" w:hAnsi="Arial"/>
          <w:sz w:val="17"/>
          <w:szCs w:val="17"/>
          <w:color w:val="auto"/>
        </w:rPr>
        <w:t>three (3) Business Days following Borrower’s knowledge of such failure to pay), an amount equal to five percent (5%)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p>
    <w:p>
      <w:pPr>
        <w:spacing w:after="0" w:line="151" w:lineRule="exact"/>
        <w:rPr>
          <w:sz w:val="20"/>
          <w:szCs w:val="20"/>
          <w:color w:val="auto"/>
        </w:rPr>
      </w:pPr>
    </w:p>
    <w:p>
      <w:pPr>
        <w:ind w:firstLine="864"/>
        <w:spacing w:after="0" w:line="262" w:lineRule="auto"/>
        <w:rPr>
          <w:sz w:val="20"/>
          <w:szCs w:val="20"/>
          <w:color w:val="auto"/>
        </w:rPr>
      </w:pPr>
      <w:r>
        <w:rPr>
          <w:rFonts w:ascii="Arial" w:cs="Arial" w:eastAsia="Arial" w:hAnsi="Arial"/>
          <w:sz w:val="18"/>
          <w:szCs w:val="18"/>
          <w:color w:val="auto"/>
        </w:rPr>
        <w:t>2.5 Prepayment. At its option upon at least five (5) Business Days prior written notice to Agent, Borrower may prepay all, but not less than all, of the outstanding Advances by paying the entire principal balance, all accrued and unpaid interest thereon, together with a prepayment charge equal to the following percentage of the Advance amount being prepaid: with respect to each Advance, if such Advance amounts are prepaid in any of the first twelve (12) months following the First Amendment Effective Date, 2.00%; after twelve (12) months but prior to twenty four (24) months, 1.50%; after twenty four (24) months but prior to thirty six (36) months, 1.00%; and thereafter, 0.00% (each, a “Prepayment Charge”).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agree to waive the Prepayment Charge if Agent, the Lenders or any Affiliate thereof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In connection with any prepayment of all outstanding Secured Obligations in accordance with the terms herein, Borrowers may request to terminate this Agreement and the Term Commitments upon such repayment of all outstanding Secured Obligations by written notice to Agent and Lenders. For the avoidance of doubt, if a payment hereunder becomes due and payable on a day that is not a Business Day, the due date thereof shall be the immediately preceding Business Day.</w:t>
      </w:r>
    </w:p>
    <w:p>
      <w:pPr>
        <w:spacing w:after="0" w:line="170"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7"/>
          <w:szCs w:val="17"/>
          <w:color w:val="auto"/>
        </w:rPr>
        <w:t>End of Term Charges.</w:t>
      </w:r>
    </w:p>
    <w:p>
      <w:pPr>
        <w:spacing w:after="0" w:line="215" w:lineRule="exact"/>
        <w:rPr>
          <w:sz w:val="20"/>
          <w:szCs w:val="20"/>
          <w:color w:val="auto"/>
        </w:rPr>
      </w:pPr>
    </w:p>
    <w:p>
      <w:pPr>
        <w:ind w:right="20" w:firstLine="1733"/>
        <w:spacing w:after="0" w:line="286" w:lineRule="auto"/>
        <w:tabs>
          <w:tab w:leader="none" w:pos="2257" w:val="left"/>
        </w:tabs>
        <w:numPr>
          <w:ilvl w:val="0"/>
          <w:numId w:val="95"/>
        </w:numPr>
        <w:rPr>
          <w:rFonts w:ascii="Arial" w:cs="Arial" w:eastAsia="Arial" w:hAnsi="Arial"/>
          <w:sz w:val="17"/>
          <w:szCs w:val="17"/>
          <w:color w:val="auto"/>
        </w:rPr>
      </w:pPr>
      <w:r>
        <w:rPr>
          <w:rFonts w:ascii="Arial" w:cs="Arial" w:eastAsia="Arial" w:hAnsi="Arial"/>
          <w:sz w:val="17"/>
          <w:szCs w:val="17"/>
          <w:color w:val="auto"/>
        </w:rPr>
        <w:t>On the earliest to occur of (i) September 1, 2023,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the Lenders a charge equal to Nine Hundred Ninety-Eight Thousand Dollars ($998,000) (the “End of Term Charge A”). Notwithstanding the required payment date of such End of Term Charge A, it shall be deemed earned by the Lenders as of the Closing Date. For the avoidance of doubt, if a payment hereunder becomes due and payable on a day that is not a Business Day, the due date thereof shall be the immediately preceding Business Day.</w:t>
      </w:r>
    </w:p>
    <w:p>
      <w:pPr>
        <w:spacing w:after="0" w:line="153" w:lineRule="exact"/>
        <w:rPr>
          <w:rFonts w:ascii="Arial" w:cs="Arial" w:eastAsia="Arial" w:hAnsi="Arial"/>
          <w:sz w:val="17"/>
          <w:szCs w:val="17"/>
          <w:color w:val="auto"/>
        </w:rPr>
      </w:pPr>
    </w:p>
    <w:p>
      <w:pPr>
        <w:ind w:firstLine="1733"/>
        <w:spacing w:after="0" w:line="286" w:lineRule="auto"/>
        <w:tabs>
          <w:tab w:leader="none" w:pos="22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the Lenders a charge equal to 4.99% of the aggregate principal amount of the Term Loan Advances funded on or after the First Amendment Effective Date (the “End of Term Charge B”; together with the End of Term Charge A, the “End of Term Charges”). Notwithstanding the required payment date of such End of Term Charge B, it shall be deemed earned by the Lenders as of the First Amendment Effective Date. For the avoidance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254000</wp:posOffset>
            </wp:positionV>
            <wp:extent cx="717804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87" w:name="page188"/>
    <w:bookmarkEnd w:id="187"/>
    <w:p>
      <w:pPr>
        <w:ind w:right="380"/>
        <w:spacing w:after="0" w:line="275" w:lineRule="auto"/>
        <w:rPr>
          <w:sz w:val="20"/>
          <w:szCs w:val="20"/>
          <w:color w:val="auto"/>
        </w:rPr>
      </w:pPr>
      <w:r>
        <w:rPr>
          <w:rFonts w:ascii="Arial" w:cs="Arial" w:eastAsia="Arial" w:hAnsi="Arial"/>
          <w:sz w:val="19"/>
          <w:szCs w:val="19"/>
          <w:color w:val="auto"/>
        </w:rPr>
        <w:t>of doubt, if a payment hereunder becomes due and payable on a day that is not a Business Day, the due date thereof shall be the immediately preceding Business Day.</w:t>
      </w:r>
    </w:p>
    <w:p>
      <w:pPr>
        <w:spacing w:after="0" w:line="156" w:lineRule="exact"/>
        <w:rPr>
          <w:sz w:val="20"/>
          <w:szCs w:val="20"/>
          <w:color w:val="auto"/>
        </w:rPr>
      </w:pPr>
    </w:p>
    <w:p>
      <w:pPr>
        <w:ind w:right="40" w:firstLine="864"/>
        <w:spacing w:after="0" w:line="275" w:lineRule="auto"/>
        <w:rPr>
          <w:sz w:val="20"/>
          <w:szCs w:val="20"/>
          <w:color w:val="auto"/>
        </w:rPr>
      </w:pPr>
      <w:r>
        <w:rPr>
          <w:rFonts w:ascii="Arial" w:cs="Arial" w:eastAsia="Arial" w:hAnsi="Arial"/>
          <w:sz w:val="19"/>
          <w:szCs w:val="19"/>
          <w:color w:val="auto"/>
        </w:rPr>
        <w:t>2.7 Pro Rata Treatment. Each payment (including prepayment) on account of any fee and any reduction of the Term Loans shall be made pro rata according to the Term Commitments of the relevant Lender.</w:t>
      </w:r>
    </w:p>
    <w:p>
      <w:pPr>
        <w:spacing w:after="0" w:line="156" w:lineRule="exact"/>
        <w:rPr>
          <w:sz w:val="20"/>
          <w:szCs w:val="20"/>
          <w:color w:val="auto"/>
        </w:rPr>
      </w:pPr>
    </w:p>
    <w:p>
      <w:pPr>
        <w:ind w:right="260" w:firstLine="864"/>
        <w:spacing w:after="0" w:line="275" w:lineRule="auto"/>
        <w:rPr>
          <w:sz w:val="20"/>
          <w:szCs w:val="20"/>
          <w:color w:val="auto"/>
        </w:rPr>
      </w:pPr>
      <w:r>
        <w:rPr>
          <w:rFonts w:ascii="Arial" w:cs="Arial" w:eastAsia="Arial" w:hAnsi="Arial"/>
          <w:sz w:val="19"/>
          <w:szCs w:val="19"/>
          <w:color w:val="auto"/>
        </w:rPr>
        <w:t>2.8 Taxes; Increased Costs. The Borrower, the Agent and the Lenders each hereby agree to the terms and conditions set forth on Addendum 1 attached hereto.</w:t>
      </w:r>
    </w:p>
    <w:p>
      <w:pPr>
        <w:spacing w:after="0" w:line="156" w:lineRule="exact"/>
        <w:rPr>
          <w:sz w:val="20"/>
          <w:szCs w:val="20"/>
          <w:color w:val="auto"/>
        </w:rPr>
      </w:pPr>
    </w:p>
    <w:p>
      <w:pPr>
        <w:ind w:firstLine="864"/>
        <w:spacing w:after="0" w:line="277" w:lineRule="auto"/>
        <w:rPr>
          <w:sz w:val="20"/>
          <w:szCs w:val="20"/>
          <w:color w:val="auto"/>
        </w:rPr>
      </w:pPr>
      <w:r>
        <w:rPr>
          <w:rFonts w:ascii="Arial" w:cs="Arial" w:eastAsia="Arial" w:hAnsi="Arial"/>
          <w:sz w:val="17"/>
          <w:szCs w:val="17"/>
          <w:color w:val="auto"/>
        </w:rPr>
        <w:t>2.9 Treatment of Prepayment Charge and End of Term Charges. Borrower agrees that any Prepayment Charge and any End of Term Charges payable shall be presumed to be the liquidated damages sustained by each Lender as the result of the early termination, and Borrower agrees that it is reasonable under the circumstances currently existing and existing as of the Closing Date and the First Amendment Effective Date. The Prepayment Charge and the End of Term Charges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Charges in connection with any such</w:t>
      </w:r>
    </w:p>
    <w:p>
      <w:pPr>
        <w:spacing w:after="0" w:line="1"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acceleration. Borrower agrees (to the fullest extent that each may lawfully do so): (a) each of the Prepayment Charge and the End of Term Charges is reasonable and is the product of an arm’s length transaction between sophisticated business people, ably represented by counsel; (b) each of the Prepayment Charge and the End of Term Charges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Charges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Charges to the Lenders as herein described was on the Closing Date and the First Amendment Effective Date and continues to be a material inducement to the Lenders to provide the Term Loans.</w:t>
      </w:r>
    </w:p>
    <w:p>
      <w:pPr>
        <w:spacing w:after="0" w:line="151" w:lineRule="exact"/>
        <w:rPr>
          <w:sz w:val="20"/>
          <w:szCs w:val="20"/>
          <w:color w:val="auto"/>
        </w:rPr>
      </w:pPr>
    </w:p>
    <w:p>
      <w:pPr>
        <w:ind w:left="3720"/>
        <w:spacing w:after="0"/>
        <w:tabs>
          <w:tab w:leader="none" w:pos="5480" w:val="left"/>
        </w:tabs>
        <w:rPr>
          <w:sz w:val="20"/>
          <w:szCs w:val="20"/>
          <w:color w:val="auto"/>
        </w:rPr>
      </w:pPr>
      <w:r>
        <w:rPr>
          <w:rFonts w:ascii="Arial" w:cs="Arial" w:eastAsia="Arial" w:hAnsi="Arial"/>
          <w:sz w:val="19"/>
          <w:szCs w:val="19"/>
          <w:b w:val="1"/>
          <w:bCs w:val="1"/>
          <w:color w:val="auto"/>
        </w:rPr>
        <w:t>SECTION 3.</w:t>
      </w:r>
      <w:r>
        <w:rPr>
          <w:sz w:val="20"/>
          <w:szCs w:val="20"/>
          <w:color w:val="auto"/>
        </w:rPr>
        <w:tab/>
      </w:r>
      <w:r>
        <w:rPr>
          <w:rFonts w:ascii="Arial" w:cs="Arial" w:eastAsia="Arial" w:hAnsi="Arial"/>
          <w:sz w:val="19"/>
          <w:szCs w:val="19"/>
          <w:b w:val="1"/>
          <w:bCs w:val="1"/>
          <w:u w:val="single" w:color="auto"/>
          <w:color w:val="auto"/>
        </w:rPr>
        <w:t>SECURITY INTEREST</w:t>
      </w:r>
    </w:p>
    <w:p>
      <w:pPr>
        <w:spacing w:after="0" w:line="221" w:lineRule="exact"/>
        <w:rPr>
          <w:sz w:val="20"/>
          <w:szCs w:val="20"/>
          <w:color w:val="auto"/>
        </w:rPr>
      </w:pPr>
    </w:p>
    <w:p>
      <w:pPr>
        <w:ind w:right="80" w:firstLine="864"/>
        <w:spacing w:after="0" w:line="279" w:lineRule="auto"/>
        <w:rPr>
          <w:sz w:val="20"/>
          <w:szCs w:val="20"/>
          <w:color w:val="auto"/>
        </w:rPr>
      </w:pPr>
      <w:r>
        <w:rPr>
          <w:rFonts w:ascii="Arial" w:cs="Arial" w:eastAsia="Arial" w:hAnsi="Arial"/>
          <w:sz w:val="17"/>
          <w:szCs w:val="17"/>
          <w:color w:val="auto"/>
        </w:rPr>
        <w:t>3.1 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(other than Intellectual Property); (e) Inventory; (f) 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provided,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260985</wp:posOffset>
            </wp:positionV>
            <wp:extent cx="717804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88" w:name="page189"/>
    <w:bookmarkEnd w:id="188"/>
    <w:p>
      <w:pPr>
        <w:ind w:right="420"/>
        <w:spacing w:after="0" w:line="275" w:lineRule="auto"/>
        <w:rPr>
          <w:sz w:val="20"/>
          <w:szCs w:val="20"/>
          <w:color w:val="auto"/>
        </w:rPr>
      </w:pPr>
      <w:r>
        <w:rPr>
          <w:rFonts w:ascii="Arial" w:cs="Arial" w:eastAsia="Arial" w:hAnsi="Arial"/>
          <w:sz w:val="19"/>
          <w:szCs w:val="19"/>
          <w:color w:val="auto"/>
        </w:rPr>
        <w:t>of the date of this Agreement, include the Intellectual Property to the extent necessary to permit perfection of Agent’s security interest in the Rights to Payment.</w:t>
      </w:r>
    </w:p>
    <w:p>
      <w:pPr>
        <w:spacing w:after="0" w:line="156" w:lineRule="exact"/>
        <w:rPr>
          <w:sz w:val="20"/>
          <w:szCs w:val="20"/>
          <w:color w:val="auto"/>
        </w:rPr>
      </w:pPr>
    </w:p>
    <w:p>
      <w:pPr>
        <w:ind w:firstLine="1728"/>
        <w:spacing w:after="0" w:line="248" w:lineRule="auto"/>
        <w:rPr>
          <w:sz w:val="20"/>
          <w:szCs w:val="20"/>
          <w:color w:val="auto"/>
        </w:rPr>
      </w:pPr>
      <w:r>
        <w:rPr>
          <w:rFonts w:ascii="Arial" w:cs="Arial" w:eastAsia="Arial" w:hAnsi="Arial"/>
          <w:sz w:val="19"/>
          <w:szCs w:val="19"/>
          <w:color w:val="auto"/>
        </w:rPr>
        <w:t>Notwithstanding the broad grant of the security interest set forth in Section 3.1, above, the Collateral shall not include (a) Excluded Accounts, (b) nonassignable licenses or contracts, which by their terms require the consent of the licensor thereof or another party (but only to the extent such prohibition on transfer is enforceable under applicable law, including, without limitation, Sections 9406, 9407 and 9408 of the UCC), (c) the Incyte Collaboration Agreement and any Intellectual Property relating thereto, or (d) more than 65% of the issued and outstanding shares of capital stock of any Foreign Subsidiary which shares entitle the holder thereof to vote for directors or any other matter, solely to the extent Borrower has provided Agent with evidence satisfactory to Agent that the pledge of more than 65% of such voting stock of such Subsidiary would reasonably be expected to result in a material adverse tax consequence to Borrower, and solely for as long as such consequence may result, such portion of such voting stock of such Subsidiary, if excluded from the Collateral, would avoid such material adverse tax consequence (it being understood that in the case of any Foreign Subsidiary whose ownership does not satisfy the holding period requirement set forth in Section 246(c)(5) of the Code, not more than 65% of such Foreign Subsidiary’s stock shall be required to be pledged until the holding period is satisfied).</w:t>
      </w:r>
    </w:p>
    <w:p>
      <w:pPr>
        <w:spacing w:after="0" w:line="185" w:lineRule="exact"/>
        <w:rPr>
          <w:sz w:val="20"/>
          <w:szCs w:val="20"/>
          <w:color w:val="auto"/>
        </w:rPr>
      </w:pPr>
    </w:p>
    <w:p>
      <w:pPr>
        <w:ind w:right="160" w:firstLine="864"/>
        <w:spacing w:after="0" w:line="251" w:lineRule="auto"/>
        <w:rPr>
          <w:sz w:val="20"/>
          <w:szCs w:val="20"/>
          <w:color w:val="auto"/>
        </w:rPr>
      </w:pPr>
      <w:r>
        <w:rPr>
          <w:rFonts w:ascii="Arial" w:cs="Arial" w:eastAsia="Arial" w:hAnsi="Arial"/>
          <w:sz w:val="19"/>
          <w:szCs w:val="19"/>
          <w:color w:val="auto"/>
        </w:rPr>
        <w:t>3.2 If this Agreement is terminated in accordance with its terms, Agent’s Lien in the Collateral shall continue until the Secured Obligations (other than inchoate indemnity obligations) are paid in full in accordance with the terms of this Agreement. At such time, the Collateral shall be released from the Liens created hereby, this Agreement and all obligations (other than those expressly stated to survive such termination) of the Agent, Lender and each Borrower hereunder shall terminate. Agent agrees to execute such documents, return any Collateral held by Agent hereunder and take such other steps as are reasonably necessary to accomplish the foregoing, all at the Borrower’s sole cost and expense.</w:t>
      </w:r>
    </w:p>
    <w:p>
      <w:pPr>
        <w:spacing w:after="0" w:line="174" w:lineRule="exact"/>
        <w:rPr>
          <w:sz w:val="20"/>
          <w:szCs w:val="20"/>
          <w:color w:val="auto"/>
        </w:rPr>
      </w:pPr>
    </w:p>
    <w:p>
      <w:pPr>
        <w:ind w:left="3020"/>
        <w:spacing w:after="0"/>
        <w:tabs>
          <w:tab w:leader="none" w:pos="4800" w:val="left"/>
        </w:tabs>
        <w:rPr>
          <w:sz w:val="20"/>
          <w:szCs w:val="20"/>
          <w:color w:val="auto"/>
        </w:rPr>
      </w:pPr>
      <w:r>
        <w:rPr>
          <w:rFonts w:ascii="Arial" w:cs="Arial" w:eastAsia="Arial" w:hAnsi="Arial"/>
          <w:sz w:val="19"/>
          <w:szCs w:val="19"/>
          <w:b w:val="1"/>
          <w:bCs w:val="1"/>
          <w:color w:val="auto"/>
        </w:rPr>
        <w:t>SECTION 4.</w:t>
      </w:r>
      <w:r>
        <w:rPr>
          <w:sz w:val="20"/>
          <w:szCs w:val="20"/>
          <w:color w:val="auto"/>
        </w:rPr>
        <w:tab/>
      </w:r>
      <w:r>
        <w:rPr>
          <w:rFonts w:ascii="Arial" w:cs="Arial" w:eastAsia="Arial" w:hAnsi="Arial"/>
          <w:sz w:val="19"/>
          <w:szCs w:val="19"/>
          <w:b w:val="1"/>
          <w:bCs w:val="1"/>
          <w:u w:val="single" w:color="auto"/>
          <w:color w:val="auto"/>
        </w:rPr>
        <w:t>CONDITIONS PRECEDENT TO LOAN</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obligations of the Lenders to make the Loan hereunder are subject to the satisfaction by Borrower of the following conditions:</w:t>
      </w:r>
    </w:p>
    <w:p>
      <w:pPr>
        <w:spacing w:after="0" w:line="227"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Initial Advance. On or prior to the Closing Date, Borrower shall have delivered to Agent the following:</w:t>
      </w:r>
    </w:p>
    <w:p>
      <w:pPr>
        <w:spacing w:after="0" w:line="215" w:lineRule="exact"/>
        <w:rPr>
          <w:sz w:val="20"/>
          <w:szCs w:val="20"/>
          <w:color w:val="auto"/>
        </w:rPr>
      </w:pPr>
    </w:p>
    <w:p>
      <w:pPr>
        <w:jc w:val="both"/>
        <w:ind w:right="300" w:firstLine="1733"/>
        <w:spacing w:after="0" w:line="260" w:lineRule="auto"/>
        <w:tabs>
          <w:tab w:leader="none" w:pos="2257"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executed copies of the Loan Documents,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70" w:lineRule="exact"/>
        <w:rPr>
          <w:rFonts w:ascii="Arial" w:cs="Arial" w:eastAsia="Arial" w:hAnsi="Arial"/>
          <w:sz w:val="19"/>
          <w:szCs w:val="19"/>
          <w:color w:val="auto"/>
        </w:rPr>
      </w:pPr>
    </w:p>
    <w:p>
      <w:pPr>
        <w:ind w:left="2280" w:hanging="547"/>
        <w:spacing w:after="0"/>
        <w:tabs>
          <w:tab w:leader="none" w:pos="22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 legal opinion of Borrower’s counsel, in form and substance reasonably acceptable to Agent;</w:t>
      </w:r>
    </w:p>
    <w:p>
      <w:pPr>
        <w:spacing w:after="0" w:line="215" w:lineRule="exact"/>
        <w:rPr>
          <w:rFonts w:ascii="Arial" w:cs="Arial" w:eastAsia="Arial" w:hAnsi="Arial"/>
          <w:sz w:val="19"/>
          <w:szCs w:val="19"/>
          <w:color w:val="auto"/>
        </w:rPr>
      </w:pPr>
    </w:p>
    <w:p>
      <w:pPr>
        <w:ind w:right="940" w:firstLine="1733"/>
        <w:spacing w:after="0" w:line="275" w:lineRule="auto"/>
        <w:tabs>
          <w:tab w:leader="none" w:pos="2257" w:val="left"/>
        </w:tabs>
        <w:numPr>
          <w:ilvl w:val="0"/>
          <w:numId w:val="96"/>
        </w:numPr>
        <w:rPr>
          <w:rFonts w:ascii="Arial" w:cs="Arial" w:eastAsia="Arial" w:hAnsi="Arial"/>
          <w:sz w:val="19"/>
          <w:szCs w:val="19"/>
          <w:color w:val="auto"/>
        </w:rPr>
      </w:pPr>
      <w:r>
        <w:rPr>
          <w:rFonts w:ascii="Arial" w:cs="Arial" w:eastAsia="Arial" w:hAnsi="Arial"/>
          <w:sz w:val="19"/>
          <w:szCs w:val="19"/>
          <w:color w:val="auto"/>
        </w:rPr>
        <w:t>certified copy of resolutions of Borrower’s board of directors evidencing approval of the Loan and other transactions evidenced by the Loan Documents;</w:t>
      </w:r>
    </w:p>
    <w:p>
      <w:pPr>
        <w:spacing w:after="0" w:line="156" w:lineRule="exact"/>
        <w:rPr>
          <w:rFonts w:ascii="Arial" w:cs="Arial" w:eastAsia="Arial" w:hAnsi="Arial"/>
          <w:sz w:val="19"/>
          <w:szCs w:val="19"/>
          <w:color w:val="auto"/>
        </w:rPr>
      </w:pPr>
    </w:p>
    <w:p>
      <w:pPr>
        <w:ind w:left="2280" w:hanging="547"/>
        <w:spacing w:after="0"/>
        <w:tabs>
          <w:tab w:leader="none" w:pos="2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certified copies of the Certificate of Incorporation and the Bylaws, as amended through the Closing Date, of</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283210</wp:posOffset>
            </wp:positionV>
            <wp:extent cx="717804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9" w:name="page190"/>
    <w:bookmarkEnd w:id="189"/>
    <w:p>
      <w:pPr>
        <w:ind w:right="400" w:firstLine="1733"/>
        <w:spacing w:after="0" w:line="275" w:lineRule="auto"/>
        <w:tabs>
          <w:tab w:leader="none" w:pos="2257"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certificate of good standing for Borrower from its state of incorporation and similar certificates from all other jurisdictions in which it does business and where the failure to be qualified could have a Material Adverse Effect;</w:t>
      </w:r>
    </w:p>
    <w:p>
      <w:pPr>
        <w:spacing w:after="0" w:line="156" w:lineRule="exact"/>
        <w:rPr>
          <w:rFonts w:ascii="Arial" w:cs="Arial" w:eastAsia="Arial" w:hAnsi="Arial"/>
          <w:sz w:val="19"/>
          <w:szCs w:val="19"/>
          <w:color w:val="auto"/>
        </w:rPr>
      </w:pPr>
    </w:p>
    <w:p>
      <w:pPr>
        <w:ind w:left="2240" w:hanging="507"/>
        <w:spacing w:after="0"/>
        <w:tabs>
          <w:tab w:leader="none" w:pos="22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evidence reasonably satisfactory to Agent that Borrower has received at least Twenty Million Dollars</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color w:val="auto"/>
        </w:rPr>
        <w:t>($20,000,000.00) in unrestricted (including, not subject to any redemption, clawback, escrow or similar encumbrance or restriction) net cash proceeds from one or more bona fide equity financings, in each case after December 16, 2019 and prior to the Closing Date, in each case subject to verification by Agent (including supporting documentation reasonably requested by Agent);</w:t>
      </w:r>
    </w:p>
    <w:p>
      <w:pPr>
        <w:spacing w:after="0" w:line="179" w:lineRule="exact"/>
        <w:rPr>
          <w:sz w:val="20"/>
          <w:szCs w:val="20"/>
          <w:color w:val="auto"/>
        </w:rPr>
      </w:pPr>
    </w:p>
    <w:p>
      <w:pPr>
        <w:ind w:right="460" w:firstLine="1733"/>
        <w:spacing w:after="0" w:line="275" w:lineRule="auto"/>
        <w:tabs>
          <w:tab w:leader="none" w:pos="2268" w:val="left"/>
        </w:tabs>
        <w:numPr>
          <w:ilvl w:val="0"/>
          <w:numId w:val="98"/>
        </w:numPr>
        <w:rPr>
          <w:rFonts w:ascii="Arial" w:cs="Arial" w:eastAsia="Arial" w:hAnsi="Arial"/>
          <w:sz w:val="19"/>
          <w:szCs w:val="19"/>
          <w:color w:val="auto"/>
        </w:rPr>
      </w:pPr>
      <w:r>
        <w:rPr>
          <w:rFonts w:ascii="Arial" w:cs="Arial" w:eastAsia="Arial" w:hAnsi="Arial"/>
          <w:sz w:val="19"/>
          <w:szCs w:val="19"/>
          <w:color w:val="auto"/>
        </w:rPr>
        <w:t>payment of the Due Diligence Fee, Initial Facility Charge and reimbursement of Agent’s and Lender’s current expenses reimbursable pursuant to this Agreement, which amounts may be deducted from the initial Advance;</w:t>
      </w:r>
    </w:p>
    <w:p>
      <w:pPr>
        <w:spacing w:after="0" w:line="156" w:lineRule="exact"/>
        <w:rPr>
          <w:rFonts w:ascii="Arial" w:cs="Arial" w:eastAsia="Arial" w:hAnsi="Arial"/>
          <w:sz w:val="19"/>
          <w:szCs w:val="19"/>
          <w:color w:val="auto"/>
        </w:rPr>
      </w:pPr>
    </w:p>
    <w:p>
      <w:pPr>
        <w:ind w:left="2280" w:hanging="547"/>
        <w:spacing w:after="0"/>
        <w:tabs>
          <w:tab w:leader="none" w:pos="22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all certificates of insurance and copies of each insurance policy required hereunder; and</w:t>
      </w:r>
    </w:p>
    <w:p>
      <w:pPr>
        <w:spacing w:after="0" w:line="215" w:lineRule="exact"/>
        <w:rPr>
          <w:rFonts w:ascii="Arial" w:cs="Arial" w:eastAsia="Arial" w:hAnsi="Arial"/>
          <w:sz w:val="19"/>
          <w:szCs w:val="19"/>
          <w:color w:val="auto"/>
        </w:rPr>
      </w:pPr>
    </w:p>
    <w:p>
      <w:pPr>
        <w:ind w:left="2240" w:hanging="507"/>
        <w:spacing w:after="0"/>
        <w:tabs>
          <w:tab w:leader="none" w:pos="22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such other documents as Agent may reasonably request.</w:t>
      </w:r>
    </w:p>
    <w:p>
      <w:pPr>
        <w:spacing w:after="0" w:line="21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color w:val="auto"/>
        </w:rPr>
        <w:t>All Advances. On or prior to each Advance Date:</w:t>
      </w:r>
    </w:p>
    <w:p>
      <w:pPr>
        <w:spacing w:after="0" w:line="215" w:lineRule="exact"/>
        <w:rPr>
          <w:sz w:val="20"/>
          <w:szCs w:val="20"/>
          <w:color w:val="auto"/>
        </w:rPr>
      </w:pPr>
    </w:p>
    <w:p>
      <w:pPr>
        <w:ind w:right="20" w:firstLine="1733"/>
        <w:spacing w:after="0" w:line="260" w:lineRule="auto"/>
        <w:tabs>
          <w:tab w:leader="none" w:pos="2257" w:val="left"/>
        </w:tabs>
        <w:numPr>
          <w:ilvl w:val="0"/>
          <w:numId w:val="99"/>
        </w:numPr>
        <w:rPr>
          <w:rFonts w:ascii="Arial" w:cs="Arial" w:eastAsia="Arial" w:hAnsi="Arial"/>
          <w:sz w:val="19"/>
          <w:szCs w:val="19"/>
          <w:color w:val="auto"/>
        </w:rPr>
      </w:pPr>
      <w:r>
        <w:rPr>
          <w:rFonts w:ascii="Arial" w:cs="Arial" w:eastAsia="Arial" w:hAnsi="Arial"/>
          <w:sz w:val="19"/>
          <w:szCs w:val="19"/>
          <w:color w:val="auto"/>
        </w:rPr>
        <w:t>Agent shall have received (i) an Advance Request for the relevant Advance as required by Section 2.2(b), each duly executed by Borrower’s Chief Executive Officer, Chief Financial Officer or Chief Operating Officer, and (ii) any other documents Agent may reasonably request.</w:t>
      </w:r>
    </w:p>
    <w:p>
      <w:pPr>
        <w:spacing w:after="0" w:line="170" w:lineRule="exact"/>
        <w:rPr>
          <w:rFonts w:ascii="Arial" w:cs="Arial" w:eastAsia="Arial" w:hAnsi="Arial"/>
          <w:sz w:val="19"/>
          <w:szCs w:val="19"/>
          <w:color w:val="auto"/>
        </w:rPr>
      </w:pPr>
    </w:p>
    <w:p>
      <w:pPr>
        <w:ind w:right="80" w:firstLine="1733"/>
        <w:spacing w:after="0" w:line="260" w:lineRule="auto"/>
        <w:tabs>
          <w:tab w:leader="none" w:pos="2268"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70" w:lineRule="exact"/>
        <w:rPr>
          <w:rFonts w:ascii="Arial" w:cs="Arial" w:eastAsia="Arial" w:hAnsi="Arial"/>
          <w:sz w:val="19"/>
          <w:szCs w:val="19"/>
          <w:color w:val="auto"/>
        </w:rPr>
      </w:pPr>
    </w:p>
    <w:p>
      <w:pPr>
        <w:ind w:firstLine="1733"/>
        <w:spacing w:after="0" w:line="260" w:lineRule="auto"/>
        <w:tabs>
          <w:tab w:leader="none" w:pos="2257" w:val="left"/>
        </w:tabs>
        <w:numPr>
          <w:ilvl w:val="0"/>
          <w:numId w:val="99"/>
        </w:numPr>
        <w:rPr>
          <w:rFonts w:ascii="Arial" w:cs="Arial" w:eastAsia="Arial" w:hAnsi="Arial"/>
          <w:sz w:val="19"/>
          <w:szCs w:val="19"/>
          <w:color w:val="auto"/>
        </w:rPr>
      </w:pPr>
      <w:r>
        <w:rPr>
          <w:rFonts w:ascii="Arial" w:cs="Arial" w:eastAsia="Arial" w:hAnsi="Arial"/>
          <w:sz w:val="19"/>
          <w:szCs w:val="19"/>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70" w:lineRule="exact"/>
        <w:rPr>
          <w:rFonts w:ascii="Arial" w:cs="Arial" w:eastAsia="Arial" w:hAnsi="Arial"/>
          <w:sz w:val="19"/>
          <w:szCs w:val="19"/>
          <w:color w:val="auto"/>
        </w:rPr>
      </w:pPr>
    </w:p>
    <w:p>
      <w:pPr>
        <w:ind w:left="2280" w:hanging="547"/>
        <w:spacing w:after="0"/>
        <w:tabs>
          <w:tab w:leader="none" w:pos="2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any Tranche 2-A Advance, Borrower shall have paid the applicable Tranche 2-A Facility Charge.</w:t>
      </w:r>
    </w:p>
    <w:p>
      <w:pPr>
        <w:spacing w:after="0" w:line="226" w:lineRule="exact"/>
        <w:rPr>
          <w:rFonts w:ascii="Arial" w:cs="Arial" w:eastAsia="Arial" w:hAnsi="Arial"/>
          <w:sz w:val="18"/>
          <w:szCs w:val="18"/>
          <w:color w:val="auto"/>
        </w:rPr>
      </w:pPr>
    </w:p>
    <w:p>
      <w:pPr>
        <w:ind w:left="2260" w:hanging="527"/>
        <w:spacing w:after="0"/>
        <w:tabs>
          <w:tab w:leader="none" w:pos="2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any Tranche 2-B Advance, Borrower shall have paid the applicable Tranche 2-B Facility Charge.</w:t>
      </w:r>
    </w:p>
    <w:p>
      <w:pPr>
        <w:spacing w:after="0" w:line="226" w:lineRule="exact"/>
        <w:rPr>
          <w:rFonts w:ascii="Arial" w:cs="Arial" w:eastAsia="Arial" w:hAnsi="Arial"/>
          <w:sz w:val="18"/>
          <w:szCs w:val="18"/>
          <w:color w:val="auto"/>
        </w:rPr>
      </w:pPr>
    </w:p>
    <w:p>
      <w:pPr>
        <w:ind w:left="2240" w:hanging="507"/>
        <w:spacing w:after="0"/>
        <w:tabs>
          <w:tab w:leader="none" w:pos="2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any Tranche 3 Advance, Borrower shall have paid the applicable Tranche 3 Facility Charge.</w:t>
      </w:r>
    </w:p>
    <w:p>
      <w:pPr>
        <w:spacing w:after="0" w:line="226" w:lineRule="exact"/>
        <w:rPr>
          <w:rFonts w:ascii="Arial" w:cs="Arial" w:eastAsia="Arial" w:hAnsi="Arial"/>
          <w:sz w:val="18"/>
          <w:szCs w:val="18"/>
          <w:color w:val="auto"/>
        </w:rPr>
      </w:pPr>
    </w:p>
    <w:p>
      <w:pPr>
        <w:ind w:right="320" w:firstLine="1733"/>
        <w:spacing w:after="0" w:line="335" w:lineRule="auto"/>
        <w:tabs>
          <w:tab w:leader="none" w:pos="2268" w:val="left"/>
        </w:tabs>
        <w:numPr>
          <w:ilvl w:val="0"/>
          <w:numId w:val="99"/>
        </w:numPr>
        <w:rPr>
          <w:rFonts w:ascii="Arial" w:cs="Arial" w:eastAsia="Arial" w:hAnsi="Arial"/>
          <w:sz w:val="17"/>
          <w:szCs w:val="17"/>
          <w:color w:val="auto"/>
        </w:rPr>
      </w:pPr>
      <w:r>
        <w:rPr>
          <w:rFonts w:ascii="Arial" w:cs="Arial" w:eastAsia="Arial" w:hAnsi="Arial"/>
          <w:sz w:val="17"/>
          <w:szCs w:val="17"/>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11" w:lineRule="exact"/>
        <w:rPr>
          <w:sz w:val="20"/>
          <w:szCs w:val="20"/>
          <w:color w:val="auto"/>
        </w:rPr>
      </w:pPr>
    </w:p>
    <w:p>
      <w:pPr>
        <w:ind w:right="340" w:firstLine="864"/>
        <w:spacing w:after="0" w:line="260" w:lineRule="auto"/>
        <w:rPr>
          <w:sz w:val="20"/>
          <w:szCs w:val="20"/>
          <w:color w:val="auto"/>
        </w:rPr>
      </w:pPr>
      <w:r>
        <w:rPr>
          <w:rFonts w:ascii="Arial" w:cs="Arial" w:eastAsia="Arial" w:hAnsi="Arial"/>
          <w:sz w:val="19"/>
          <w:szCs w:val="19"/>
          <w:color w:val="auto"/>
        </w:rPr>
        <w:t>4.3 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0" w:name="page191"/>
    <w:bookmarkEnd w:id="190"/>
    <w:p>
      <w:pPr>
        <w:ind w:left="2120"/>
        <w:spacing w:after="0"/>
        <w:tabs>
          <w:tab w:leader="none" w:pos="3880" w:val="left"/>
        </w:tabs>
        <w:rPr>
          <w:sz w:val="20"/>
          <w:szCs w:val="20"/>
          <w:color w:val="auto"/>
        </w:rPr>
      </w:pPr>
      <w:r>
        <w:rPr>
          <w:rFonts w:ascii="Arial" w:cs="Arial" w:eastAsia="Arial" w:hAnsi="Arial"/>
          <w:sz w:val="19"/>
          <w:szCs w:val="19"/>
          <w:b w:val="1"/>
          <w:bCs w:val="1"/>
          <w:color w:val="auto"/>
        </w:rPr>
        <w:t>SECTION 5.</w:t>
      </w:r>
      <w:r>
        <w:rPr>
          <w:sz w:val="20"/>
          <w:szCs w:val="20"/>
          <w:color w:val="auto"/>
        </w:rPr>
        <w:tab/>
      </w:r>
      <w:r>
        <w:rPr>
          <w:rFonts w:ascii="Arial" w:cs="Arial" w:eastAsia="Arial" w:hAnsi="Arial"/>
          <w:sz w:val="19"/>
          <w:szCs w:val="19"/>
          <w:b w:val="1"/>
          <w:bCs w:val="1"/>
          <w:u w:val="single" w:color="auto"/>
          <w:color w:val="auto"/>
        </w:rPr>
        <w:t>REPRESENTATIONS AND WARRANTIES OF BORROWER</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Borrower represents and warrants that:</w:t>
      </w:r>
    </w:p>
    <w:p>
      <w:pPr>
        <w:spacing w:after="0" w:line="215" w:lineRule="exact"/>
        <w:rPr>
          <w:sz w:val="20"/>
          <w:szCs w:val="20"/>
          <w:color w:val="auto"/>
        </w:rPr>
      </w:pPr>
    </w:p>
    <w:p>
      <w:pPr>
        <w:ind w:right="140" w:firstLine="864"/>
        <w:spacing w:after="0" w:line="251" w:lineRule="auto"/>
        <w:rPr>
          <w:sz w:val="20"/>
          <w:szCs w:val="20"/>
          <w:color w:val="auto"/>
        </w:rPr>
      </w:pPr>
      <w:r>
        <w:rPr>
          <w:rFonts w:ascii="Arial" w:cs="Arial" w:eastAsia="Arial" w:hAnsi="Arial"/>
          <w:sz w:val="19"/>
          <w:szCs w:val="19"/>
          <w:color w:val="auto"/>
        </w:rPr>
        <w:t>5.1 Corporate Status. Borrower is a corporation duly organized, legally existing and in good standing under the laws of the State of Delaware, and is duly qualified as a foreign corporation in all jurisdictions in which the nature of its business or location of its properties require such qualifications and where the failure to be qualified would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w:t>
      </w:r>
    </w:p>
    <w:p>
      <w:pPr>
        <w:spacing w:after="0" w:line="180" w:lineRule="exact"/>
        <w:rPr>
          <w:sz w:val="20"/>
          <w:szCs w:val="20"/>
          <w:color w:val="auto"/>
        </w:rPr>
      </w:pPr>
    </w:p>
    <w:p>
      <w:pPr>
        <w:ind w:right="140" w:firstLine="864"/>
        <w:spacing w:after="0" w:line="275" w:lineRule="auto"/>
        <w:rPr>
          <w:sz w:val="20"/>
          <w:szCs w:val="20"/>
          <w:color w:val="auto"/>
        </w:rPr>
      </w:pPr>
      <w:r>
        <w:rPr>
          <w:rFonts w:ascii="Arial" w:cs="Arial" w:eastAsia="Arial" w:hAnsi="Arial"/>
          <w:sz w:val="19"/>
          <w:szCs w:val="19"/>
          <w:color w:val="auto"/>
        </w:rPr>
        <w:t>5.2 Collateral. Borrower owns the Collateral and the Intellectual Property, free of all Liens, except for Permitted Liens. Borrower has the power and authority to grant to Agent a Lien in the Collateral as security for the Secured Obligations.</w:t>
      </w:r>
    </w:p>
    <w:p>
      <w:pPr>
        <w:spacing w:after="0" w:line="156" w:lineRule="exact"/>
        <w:rPr>
          <w:sz w:val="20"/>
          <w:szCs w:val="20"/>
          <w:color w:val="auto"/>
        </w:rPr>
      </w:pPr>
    </w:p>
    <w:p>
      <w:pPr>
        <w:ind w:right="60" w:firstLine="864"/>
        <w:spacing w:after="0" w:line="250" w:lineRule="auto"/>
        <w:rPr>
          <w:sz w:val="20"/>
          <w:szCs w:val="20"/>
          <w:color w:val="auto"/>
        </w:rPr>
      </w:pPr>
      <w:r>
        <w:rPr>
          <w:rFonts w:ascii="Arial" w:cs="Arial" w:eastAsia="Arial" w:hAnsi="Arial"/>
          <w:sz w:val="19"/>
          <w:szCs w:val="19"/>
          <w:color w:val="auto"/>
        </w:rPr>
        <w:t>5.3 Consents. Borrower’s execution, delivery and performance of this Agreement and all other Loan Documents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Schedule 5.3, do not violate any material contract or material agreement or require the consent or approval of any other Person which has not already been obtained. The individual or individuals executing the Loan Documents are duly authorized to do so.</w:t>
      </w:r>
    </w:p>
    <w:p>
      <w:pPr>
        <w:spacing w:after="0" w:line="181" w:lineRule="exact"/>
        <w:rPr>
          <w:sz w:val="20"/>
          <w:szCs w:val="20"/>
          <w:color w:val="auto"/>
        </w:rPr>
      </w:pPr>
    </w:p>
    <w:p>
      <w:pPr>
        <w:ind w:right="100" w:firstLine="864"/>
        <w:spacing w:after="0" w:line="335" w:lineRule="auto"/>
        <w:rPr>
          <w:sz w:val="20"/>
          <w:szCs w:val="20"/>
          <w:color w:val="auto"/>
        </w:rPr>
      </w:pPr>
      <w:r>
        <w:rPr>
          <w:rFonts w:ascii="Arial" w:cs="Arial" w:eastAsia="Arial" w:hAnsi="Arial"/>
          <w:sz w:val="17"/>
          <w:szCs w:val="17"/>
          <w:color w:val="auto"/>
        </w:rPr>
        <w:t>5.4 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11" w:lineRule="exact"/>
        <w:rPr>
          <w:sz w:val="20"/>
          <w:szCs w:val="20"/>
          <w:color w:val="auto"/>
        </w:rPr>
      </w:pPr>
    </w:p>
    <w:p>
      <w:pPr>
        <w:ind w:right="40" w:firstLine="864"/>
        <w:spacing w:after="0" w:line="260" w:lineRule="auto"/>
        <w:rPr>
          <w:sz w:val="20"/>
          <w:szCs w:val="20"/>
          <w:color w:val="auto"/>
        </w:rPr>
      </w:pPr>
      <w:r>
        <w:rPr>
          <w:rFonts w:ascii="Arial" w:cs="Arial" w:eastAsia="Arial" w:hAnsi="Arial"/>
          <w:sz w:val="19"/>
          <w:szCs w:val="19"/>
          <w:color w:val="auto"/>
        </w:rPr>
        <w:t>5.5 Actions Before Governmental Authorities. There are no actions, suits or proceedings at law or in equity or by or before any governmental authority now pending or, to the knowledge of Borrower, threatened in writing against or affecting Borrower or its property, that is reasonably expected to result in a Material Adverse Effect.</w:t>
      </w:r>
    </w:p>
    <w:p>
      <w:pPr>
        <w:spacing w:after="0" w:line="171" w:lineRule="exact"/>
        <w:rPr>
          <w:sz w:val="20"/>
          <w:szCs w:val="20"/>
          <w:color w:val="auto"/>
        </w:rPr>
      </w:pPr>
    </w:p>
    <w:p>
      <w:pPr>
        <w:ind w:right="200" w:firstLine="864"/>
        <w:spacing w:after="0" w:line="255" w:lineRule="auto"/>
        <w:rPr>
          <w:sz w:val="20"/>
          <w:szCs w:val="20"/>
          <w:color w:val="auto"/>
        </w:rPr>
      </w:pPr>
      <w:r>
        <w:rPr>
          <w:rFonts w:ascii="Arial" w:cs="Arial" w:eastAsia="Arial" w:hAnsi="Arial"/>
          <w:sz w:val="19"/>
          <w:szCs w:val="19"/>
          <w:color w:val="auto"/>
        </w:rPr>
        <w:t>5.6 Laws. 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 of any agreement or instrument evidencing material Indebtedness, or any other material agreement to which it is a party or by which it is bound.</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19"/>
          <w:szCs w:val="19"/>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271780</wp:posOffset>
            </wp:positionV>
            <wp:extent cx="717804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191" w:name="page192"/>
    <w:bookmarkEnd w:id="191"/>
    <w:p>
      <w:pPr>
        <w:ind w:right="20"/>
        <w:spacing w:after="0" w:line="305" w:lineRule="auto"/>
        <w:rPr>
          <w:sz w:val="20"/>
          <w:szCs w:val="20"/>
          <w:color w:val="auto"/>
        </w:rPr>
      </w:pPr>
      <w:r>
        <w:rPr>
          <w:rFonts w:ascii="Arial" w:cs="Arial" w:eastAsia="Arial" w:hAnsi="Arial"/>
          <w:sz w:val="17"/>
          <w:szCs w:val="17"/>
          <w:color w:val="auto"/>
        </w:rPr>
        <w:t>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35" w:lineRule="exact"/>
        <w:rPr>
          <w:sz w:val="20"/>
          <w:szCs w:val="20"/>
          <w:color w:val="auto"/>
        </w:rPr>
      </w:pPr>
    </w:p>
    <w:p>
      <w:pPr>
        <w:ind w:firstLine="864"/>
        <w:spacing w:after="0" w:line="279" w:lineRule="auto"/>
        <w:rPr>
          <w:sz w:val="20"/>
          <w:szCs w:val="20"/>
          <w:color w:val="auto"/>
        </w:rPr>
      </w:pPr>
      <w:r>
        <w:rPr>
          <w:rFonts w:ascii="Arial" w:cs="Arial" w:eastAsia="Arial" w:hAnsi="Arial"/>
          <w:sz w:val="17"/>
          <w:szCs w:val="17"/>
          <w:color w:val="auto"/>
        </w:rPr>
        <w:t>None of Borrower, any of its Subsidiaries, or, to Borrower’s knowledge,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its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65"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5.7 Information Correct and Current. No information, report, Advance Request, financial statement, exhibit or schedule furnished (in each case, other than forecasts, projections and other forward looking statements and information of a general economic or industry nature), by or on behalf of Borrower to Agent in connection with any Loan Document or included therein or delivered pursuant thereto contained, or, when taken as a whole,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at the time delivered, and (ii) the most current of such projections provided to Borrower’s Board of Directors (it being understood that such projections are subject to significant uncertainties and contingencies, many of which are beyond the control of the Borrower, that no assurance is given that any particular projections will be realized, and that actual results may differ).</w:t>
      </w:r>
    </w:p>
    <w:p>
      <w:pPr>
        <w:spacing w:after="0" w:line="173" w:lineRule="exact"/>
        <w:rPr>
          <w:sz w:val="20"/>
          <w:szCs w:val="20"/>
          <w:color w:val="auto"/>
        </w:rPr>
      </w:pPr>
    </w:p>
    <w:p>
      <w:pPr>
        <w:ind w:firstLine="864"/>
        <w:spacing w:after="0" w:line="266" w:lineRule="auto"/>
        <w:rPr>
          <w:sz w:val="20"/>
          <w:szCs w:val="20"/>
          <w:color w:val="auto"/>
        </w:rPr>
      </w:pPr>
      <w:r>
        <w:rPr>
          <w:rFonts w:ascii="Arial" w:cs="Arial" w:eastAsia="Arial" w:hAnsi="Arial"/>
          <w:sz w:val="18"/>
          <w:szCs w:val="18"/>
          <w:color w:val="auto"/>
        </w:rPr>
        <w:t>5.8 Tax Matters. Except as described on Schedule 5.8 and as otherwise being contested in good faith with adequate reserves under GAAP, (a) Borrower and its Subsidiaries have filed all material federal and state income Tax returns and other material Tax returns that they are required to file, (b) Borrower and its Subsidiaries have duly paid or fully reserved for all federal and state income Taxes and other material Taxes or installments thereof that they are required to pay as and when due,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263525</wp:posOffset>
            </wp:positionV>
            <wp:extent cx="717804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2" w:name="page193"/>
    <w:bookmarkEnd w:id="192"/>
    <w:p>
      <w:pPr>
        <w:ind w:firstLine="864"/>
        <w:spacing w:after="0" w:line="282" w:lineRule="auto"/>
        <w:rPr>
          <w:sz w:val="20"/>
          <w:szCs w:val="20"/>
          <w:color w:val="auto"/>
        </w:rPr>
      </w:pPr>
      <w:r>
        <w:rPr>
          <w:rFonts w:ascii="Arial" w:cs="Arial" w:eastAsia="Arial" w:hAnsi="Arial"/>
          <w:sz w:val="17"/>
          <w:szCs w:val="17"/>
          <w:color w:val="auto"/>
        </w:rPr>
        <w:t>5.9 Intellectual Property Claims. Borrower is the sole owner of, or otherwise has the right to use, the Intellectual Property material to Borrower’s business. Except as described on Schedule 5.9, (i) each of the material Copyrights, Trademarks and Patents is valid and enforceable, (ii) no material part of the Intellectual Property has been judged invalid or unenforceable, in whole or in part, and (iii) no claim has been made to Borrower that any material part of the Intellectual Property violates the rights of any third party. Exhibit C is a true, correct and complete list of each of Borrower’s Patents, registered Trademarks, registered Copyrights, and material agreements under which Borrower licenses Intellectual Property from third parties (other than shrink-wrap software licenses),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54"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5.10 Intellectual Property. Except as described on Schedule 5.10,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except customary covenants in inbound license agreements and equipment leases where Borrower is the licensee or lessee. Except as described in Schedule 5.10 or disclosed in the Compliance Certificate, Borrower is not a party to, nor is it bound by, any Restricted License.</w:t>
      </w:r>
    </w:p>
    <w:p>
      <w:pPr>
        <w:spacing w:after="0" w:line="173" w:lineRule="exact"/>
        <w:rPr>
          <w:sz w:val="20"/>
          <w:szCs w:val="20"/>
          <w:color w:val="auto"/>
        </w:rPr>
      </w:pPr>
    </w:p>
    <w:p>
      <w:pPr>
        <w:ind w:right="20" w:firstLine="864"/>
        <w:spacing w:after="0" w:line="251" w:lineRule="auto"/>
        <w:rPr>
          <w:sz w:val="20"/>
          <w:szCs w:val="20"/>
          <w:color w:val="auto"/>
        </w:rPr>
      </w:pPr>
      <w:r>
        <w:rPr>
          <w:rFonts w:ascii="Arial" w:cs="Arial" w:eastAsia="Arial" w:hAnsi="Arial"/>
          <w:sz w:val="19"/>
          <w:szCs w:val="19"/>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80" w:lineRule="exact"/>
        <w:rPr>
          <w:sz w:val="20"/>
          <w:szCs w:val="20"/>
          <w:color w:val="auto"/>
        </w:rPr>
      </w:pPr>
    </w:p>
    <w:p>
      <w:pPr>
        <w:ind w:firstLine="864"/>
        <w:spacing w:after="0" w:line="264" w:lineRule="auto"/>
        <w:rPr>
          <w:sz w:val="20"/>
          <w:szCs w:val="20"/>
          <w:color w:val="auto"/>
        </w:rPr>
      </w:pPr>
      <w:r>
        <w:rPr>
          <w:rFonts w:ascii="Arial" w:cs="Arial" w:eastAsia="Arial" w:hAnsi="Arial"/>
          <w:sz w:val="18"/>
          <w:szCs w:val="18"/>
          <w:color w:val="auto"/>
        </w:rPr>
        <w:t>5.11 Borrower Products. Except as described on Schedule 5.11, no material Intellectual Property owned by Borrower or Borrower Product has been or is subject to any actual or, to the knowledge of Borrower, threatened litigation in writing, proceeding (including any proceeding in the United States Patent and Trademark Office or any corresponding foreign office or agency) or outstanding decree, order, judgment, settlement agreement or stipulation that restricts in any material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material future Intellectual Property related to the operation or conduct of the business of Borrower or Borrower Products. Borrower has not received any written notice or claim, or, to the knowledge of Borrower, oral notice or claim, challenging or questioning Borrower’s ownership in any material Intellectual Property (or written notice of any claim challenging or questioning the ownership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266065</wp:posOffset>
            </wp:positionV>
            <wp:extent cx="717804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3" w:name="page194"/>
    <w:bookmarkEnd w:id="193"/>
    <w:p>
      <w:pPr>
        <w:ind w:right="120"/>
        <w:spacing w:after="0" w:line="281" w:lineRule="auto"/>
        <w:rPr>
          <w:sz w:val="20"/>
          <w:szCs w:val="20"/>
          <w:color w:val="auto"/>
        </w:rPr>
      </w:pPr>
      <w:r>
        <w:rPr>
          <w:rFonts w:ascii="Arial" w:cs="Arial" w:eastAsia="Arial" w:hAnsi="Arial"/>
          <w:sz w:val="18"/>
          <w:szCs w:val="18"/>
          <w:color w:val="auto"/>
        </w:rPr>
        <w:t>any licensed Intellectual Property of the owner thereof) or suggesting that any third party has any claim of legal or beneficial ownership with respect thereto nor, to Borrower’s knowledge, is there a reasonable basis for any such claim. Neither Borrower’s use of its Intellectual Property nor the production and sale of Borrower Products infringes the Intellectual Property or other rights of others.</w:t>
      </w:r>
    </w:p>
    <w:p>
      <w:pPr>
        <w:spacing w:after="0" w:line="154" w:lineRule="exact"/>
        <w:rPr>
          <w:sz w:val="20"/>
          <w:szCs w:val="20"/>
          <w:color w:val="auto"/>
        </w:rPr>
      </w:pPr>
    </w:p>
    <w:p>
      <w:pPr>
        <w:ind w:firstLine="864"/>
        <w:spacing w:after="0" w:line="270" w:lineRule="auto"/>
        <w:rPr>
          <w:sz w:val="20"/>
          <w:szCs w:val="20"/>
          <w:color w:val="auto"/>
        </w:rPr>
      </w:pPr>
      <w:r>
        <w:rPr>
          <w:rFonts w:ascii="Arial" w:cs="Arial" w:eastAsia="Arial" w:hAnsi="Arial"/>
          <w:sz w:val="18"/>
          <w:szCs w:val="18"/>
          <w:color w:val="auto"/>
        </w:rPr>
        <w:t>5.12 Financial Accounts. Exhibit D, as may be updated by the Borrower in a written notice provided to Agent after the Closing Date, is a true, correct and complete list of (a) all banks and other financial institutions at which Borrower or any Subsidiary (other than the MSC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63" w:lineRule="exact"/>
        <w:rPr>
          <w:sz w:val="20"/>
          <w:szCs w:val="20"/>
          <w:color w:val="auto"/>
        </w:rPr>
      </w:pPr>
    </w:p>
    <w:p>
      <w:pPr>
        <w:ind w:right="120" w:firstLine="864"/>
        <w:spacing w:after="0" w:line="335" w:lineRule="auto"/>
        <w:rPr>
          <w:sz w:val="20"/>
          <w:szCs w:val="20"/>
          <w:color w:val="auto"/>
        </w:rPr>
      </w:pPr>
      <w:r>
        <w:rPr>
          <w:rFonts w:ascii="Arial" w:cs="Arial" w:eastAsia="Arial" w:hAnsi="Arial"/>
          <w:sz w:val="17"/>
          <w:szCs w:val="17"/>
          <w:color w:val="auto"/>
        </w:rPr>
        <w:t>5.13 Employee Loans. Except as permitted hereunder, Borrower has no outstanding loans to any employee, officer or director of the Borrower nor has Borrower guaranteed the payment of any loan made to an employee, officer or director of the Borrower by a third party.</w:t>
      </w:r>
    </w:p>
    <w:p>
      <w:pPr>
        <w:spacing w:after="0" w:line="111" w:lineRule="exact"/>
        <w:rPr>
          <w:sz w:val="20"/>
          <w:szCs w:val="20"/>
          <w:color w:val="auto"/>
        </w:rPr>
      </w:pPr>
    </w:p>
    <w:p>
      <w:pPr>
        <w:jc w:val="both"/>
        <w:ind w:right="200" w:firstLine="864"/>
        <w:spacing w:after="0" w:line="260" w:lineRule="auto"/>
        <w:rPr>
          <w:sz w:val="20"/>
          <w:szCs w:val="20"/>
          <w:color w:val="auto"/>
        </w:rPr>
      </w:pPr>
      <w:r>
        <w:rPr>
          <w:rFonts w:ascii="Arial" w:cs="Arial" w:eastAsia="Arial" w:hAnsi="Arial"/>
          <w:sz w:val="19"/>
          <w:szCs w:val="19"/>
          <w:color w:val="auto"/>
        </w:rPr>
        <w:t>5.14 Subsidiaries. Borrower does not own any stock, partnership interest or other securities of any Person, except for Permitted Investments. Attached as Schedule 1, as may be updated by Borrower in a written notice provided after the Closing Date, is a true, correct and complete list of each direct and indirect Subsidiary of Parent.</w:t>
      </w:r>
    </w:p>
    <w:p>
      <w:pPr>
        <w:spacing w:after="0" w:line="171" w:lineRule="exact"/>
        <w:rPr>
          <w:sz w:val="20"/>
          <w:szCs w:val="20"/>
          <w:color w:val="auto"/>
        </w:rPr>
      </w:pPr>
    </w:p>
    <w:p>
      <w:pPr>
        <w:ind w:right="320" w:firstLine="864"/>
        <w:spacing w:after="0" w:line="275" w:lineRule="auto"/>
        <w:rPr>
          <w:sz w:val="20"/>
          <w:szCs w:val="20"/>
          <w:color w:val="auto"/>
        </w:rPr>
      </w:pPr>
      <w:r>
        <w:rPr>
          <w:rFonts w:ascii="Arial" w:cs="Arial" w:eastAsia="Arial" w:hAnsi="Arial"/>
          <w:sz w:val="19"/>
          <w:szCs w:val="19"/>
          <w:color w:val="auto"/>
        </w:rPr>
        <w:t>5.15 Foreign Subsidiary Voting Rights. No decision or action in any governing document of any Foreign Subsidiary requires a vote of greater than 50.1% of the Equity Interests or voting rights of such Foreign Subsidiary.</w:t>
      </w:r>
    </w:p>
    <w:p>
      <w:pPr>
        <w:spacing w:after="0" w:line="150" w:lineRule="exact"/>
        <w:rPr>
          <w:sz w:val="20"/>
          <w:szCs w:val="20"/>
          <w:color w:val="auto"/>
        </w:rPr>
      </w:pPr>
    </w:p>
    <w:p>
      <w:pPr>
        <w:ind w:left="3140"/>
        <w:spacing w:after="0"/>
        <w:tabs>
          <w:tab w:leader="none" w:pos="4900" w:val="left"/>
        </w:tabs>
        <w:rPr>
          <w:sz w:val="20"/>
          <w:szCs w:val="20"/>
          <w:color w:val="auto"/>
        </w:rPr>
      </w:pPr>
      <w:r>
        <w:rPr>
          <w:rFonts w:ascii="Arial" w:cs="Arial" w:eastAsia="Arial" w:hAnsi="Arial"/>
          <w:sz w:val="19"/>
          <w:szCs w:val="19"/>
          <w:b w:val="1"/>
          <w:bCs w:val="1"/>
          <w:color w:val="auto"/>
        </w:rPr>
        <w:t>SECTION 6.</w:t>
      </w:r>
      <w:r>
        <w:rPr>
          <w:sz w:val="20"/>
          <w:szCs w:val="20"/>
          <w:color w:val="auto"/>
        </w:rPr>
        <w:tab/>
      </w:r>
      <w:r>
        <w:rPr>
          <w:rFonts w:ascii="Arial" w:cs="Arial" w:eastAsia="Arial" w:hAnsi="Arial"/>
          <w:sz w:val="19"/>
          <w:szCs w:val="19"/>
          <w:b w:val="1"/>
          <w:bCs w:val="1"/>
          <w:u w:val="single" w:color="auto"/>
          <w:color w:val="auto"/>
        </w:rPr>
        <w:t>INSURANCE; INDEMNIFICATION</w:t>
      </w:r>
    </w:p>
    <w:p>
      <w:pPr>
        <w:spacing w:after="0" w:line="221" w:lineRule="exact"/>
        <w:rPr>
          <w:sz w:val="20"/>
          <w:szCs w:val="20"/>
          <w:color w:val="auto"/>
        </w:rPr>
      </w:pPr>
    </w:p>
    <w:p>
      <w:pPr>
        <w:ind w:firstLine="864"/>
        <w:spacing w:after="0" w:line="279" w:lineRule="auto"/>
        <w:rPr>
          <w:sz w:val="20"/>
          <w:szCs w:val="20"/>
          <w:color w:val="auto"/>
        </w:rPr>
      </w:pPr>
      <w:r>
        <w:rPr>
          <w:rFonts w:ascii="Arial" w:cs="Arial" w:eastAsia="Arial" w:hAnsi="Arial"/>
          <w:sz w:val="17"/>
          <w:szCs w:val="17"/>
          <w:color w:val="auto"/>
        </w:rPr>
        <w:t>6.1 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limited contractual liability per the terms of the indemnification agreement found in Section 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outstanding (other than inchoate indemnity obligations), Borrower shall also cause to be carried and maintained insurance upon the Collateral, insuring against special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57" w:lineRule="exact"/>
        <w:rPr>
          <w:sz w:val="20"/>
          <w:szCs w:val="20"/>
          <w:color w:val="auto"/>
        </w:rPr>
      </w:pPr>
    </w:p>
    <w:p>
      <w:pPr>
        <w:ind w:right="60" w:firstLine="864"/>
        <w:spacing w:after="0" w:line="260" w:lineRule="auto"/>
        <w:rPr>
          <w:sz w:val="20"/>
          <w:szCs w:val="20"/>
          <w:color w:val="auto"/>
        </w:rPr>
      </w:pPr>
      <w:r>
        <w:rPr>
          <w:rFonts w:ascii="Arial" w:cs="Arial" w:eastAsia="Arial" w:hAnsi="Arial"/>
          <w:sz w:val="19"/>
          <w:szCs w:val="19"/>
          <w:color w:val="auto"/>
        </w:rPr>
        <w:t>6.2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94" w:name="page195"/>
    <w:bookmarkEnd w:id="194"/>
    <w:p>
      <w:pPr>
        <w:spacing w:after="0" w:line="249" w:lineRule="auto"/>
        <w:rPr>
          <w:sz w:val="20"/>
          <w:szCs w:val="20"/>
          <w:color w:val="auto"/>
        </w:rPr>
      </w:pPr>
      <w:r>
        <w:rPr>
          <w:rFonts w:ascii="Arial" w:cs="Arial" w:eastAsia="Arial" w:hAnsi="Arial"/>
          <w:sz w:val="19"/>
          <w:szCs w:val="19"/>
          <w:color w:val="auto"/>
        </w:rPr>
        <w:t>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181" w:lineRule="exact"/>
        <w:rPr>
          <w:sz w:val="20"/>
          <w:szCs w:val="20"/>
          <w:color w:val="auto"/>
        </w:rPr>
      </w:pPr>
    </w:p>
    <w:p>
      <w:pPr>
        <w:ind w:firstLine="864"/>
        <w:spacing w:after="0" w:line="276" w:lineRule="auto"/>
        <w:rPr>
          <w:sz w:val="20"/>
          <w:szCs w:val="20"/>
          <w:color w:val="auto"/>
        </w:rPr>
      </w:pPr>
      <w:r>
        <w:rPr>
          <w:rFonts w:ascii="Arial" w:cs="Arial" w:eastAsia="Arial" w:hAnsi="Arial"/>
          <w:sz w:val="17"/>
          <w:szCs w:val="17"/>
          <w:color w:val="auto"/>
        </w:rPr>
        <w:t>6.3 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and documented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Borrower or any Indemnified Person be liable on any theory of liability for any special, indirect, consequential or punitive damages (including any loss of profits, business or anticipated</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savings). This Section 6.3 shall survive the repayment of indebtedness under, and otherwise shall survive the expiration or other termination of, the Loan Agreement.</w:t>
      </w:r>
    </w:p>
    <w:p>
      <w:pPr>
        <w:spacing w:after="0" w:line="167" w:lineRule="exact"/>
        <w:rPr>
          <w:sz w:val="20"/>
          <w:szCs w:val="20"/>
          <w:color w:val="auto"/>
        </w:rPr>
      </w:pPr>
    </w:p>
    <w:p>
      <w:pPr>
        <w:ind w:left="3360"/>
        <w:spacing w:after="0"/>
        <w:tabs>
          <w:tab w:leader="none" w:pos="5120" w:val="left"/>
        </w:tabs>
        <w:rPr>
          <w:sz w:val="20"/>
          <w:szCs w:val="20"/>
          <w:color w:val="auto"/>
        </w:rPr>
      </w:pPr>
      <w:r>
        <w:rPr>
          <w:rFonts w:ascii="Arial" w:cs="Arial" w:eastAsia="Arial" w:hAnsi="Arial"/>
          <w:sz w:val="19"/>
          <w:szCs w:val="19"/>
          <w:b w:val="1"/>
          <w:bCs w:val="1"/>
          <w:color w:val="auto"/>
        </w:rPr>
        <w:t>SECTION 7.</w:t>
      </w:r>
      <w:r>
        <w:rPr>
          <w:sz w:val="20"/>
          <w:szCs w:val="20"/>
          <w:color w:val="auto"/>
        </w:rPr>
        <w:tab/>
      </w:r>
      <w:r>
        <w:rPr>
          <w:rFonts w:ascii="Arial" w:cs="Arial" w:eastAsia="Arial" w:hAnsi="Arial"/>
          <w:sz w:val="19"/>
          <w:szCs w:val="19"/>
          <w:b w:val="1"/>
          <w:bCs w:val="1"/>
          <w:u w:val="single" w:color="auto"/>
          <w:color w:val="auto"/>
        </w:rPr>
        <w:t>COVENANTS OF BORROWER</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Borrower agrees as follows:</w:t>
      </w:r>
    </w:p>
    <w:p>
      <w:pPr>
        <w:spacing w:after="0" w:line="21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7"/>
          <w:szCs w:val="17"/>
          <w:color w:val="auto"/>
        </w:rPr>
        <w:t>Financial Reports. Borrower shall furnish to Agent the financial statements and reports listed hereinafter (the “Financial</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Statements”):</w:t>
      </w:r>
    </w:p>
    <w:p>
      <w:pPr>
        <w:spacing w:after="0" w:line="199" w:lineRule="exact"/>
        <w:rPr>
          <w:sz w:val="20"/>
          <w:szCs w:val="20"/>
          <w:color w:val="auto"/>
        </w:rPr>
      </w:pPr>
    </w:p>
    <w:p>
      <w:pPr>
        <w:ind w:right="40" w:firstLine="1733"/>
        <w:spacing w:after="0" w:line="266" w:lineRule="auto"/>
        <w:tabs>
          <w:tab w:leader="none" w:pos="225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soon as practicable (and in any event within 30 days) after the end of each month, unaudited interim and year-to-date financial statements of Parent and its Subsidiaries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Chief Financial Officer or Chief Operating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68" w:lineRule="exact"/>
        <w:rPr>
          <w:rFonts w:ascii="Arial" w:cs="Arial" w:eastAsia="Arial" w:hAnsi="Arial"/>
          <w:sz w:val="18"/>
          <w:szCs w:val="18"/>
          <w:color w:val="auto"/>
        </w:rPr>
      </w:pPr>
    </w:p>
    <w:p>
      <w:pPr>
        <w:ind w:right="220" w:firstLine="1733"/>
        <w:spacing w:after="0" w:line="275" w:lineRule="auto"/>
        <w:tabs>
          <w:tab w:leader="none" w:pos="226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as soon as practicable (and in any event within 45 days) after the end of each calendar quarter, unaudited interim and year-to-date financial statements of Parent and its Subsidiaries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255905</wp:posOffset>
            </wp:positionV>
            <wp:extent cx="717804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95" w:name="page196"/>
    <w:bookmarkEnd w:id="195"/>
    <w:p>
      <w:pPr>
        <w:spacing w:after="0" w:line="252" w:lineRule="auto"/>
        <w:rPr>
          <w:sz w:val="20"/>
          <w:szCs w:val="20"/>
          <w:color w:val="auto"/>
        </w:rPr>
      </w:pPr>
      <w:r>
        <w:rPr>
          <w:rFonts w:ascii="Arial" w:cs="Arial" w:eastAsia="Arial" w:hAnsi="Arial"/>
          <w:sz w:val="19"/>
          <w:szCs w:val="19"/>
          <w:color w:val="auto"/>
        </w:rPr>
        <w:t>of the end of such calendar quarter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Chief Financial Officer or Chief Operating Officer to the effect that they have been prepared in accordance with GAAP, except (i) for the absence of footnotes, and (ii) that they are subject to normal year-end adjustments;</w:t>
      </w:r>
    </w:p>
    <w:p>
      <w:pPr>
        <w:spacing w:after="0" w:line="180" w:lineRule="exact"/>
        <w:rPr>
          <w:sz w:val="20"/>
          <w:szCs w:val="20"/>
          <w:color w:val="auto"/>
        </w:rPr>
      </w:pPr>
    </w:p>
    <w:p>
      <w:pPr>
        <w:ind w:right="20" w:firstLine="1733"/>
        <w:spacing w:after="0" w:line="251" w:lineRule="auto"/>
        <w:tabs>
          <w:tab w:leader="none" w:pos="225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as soon as practicable (and in any event within ninety (90) days) after the end of each fiscal year, unqualified audited financial statements of Parent and its Subsidiaries as of the end of such year (prepared on a consolidated basis),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 (it being understood that Deloitte Touche Tohmatsu Limited and any other accounting firm of national standing are reasonably acceptable to Agent);</w:t>
      </w:r>
    </w:p>
    <w:p>
      <w:pPr>
        <w:spacing w:after="0" w:line="179" w:lineRule="exact"/>
        <w:rPr>
          <w:rFonts w:ascii="Arial" w:cs="Arial" w:eastAsia="Arial" w:hAnsi="Arial"/>
          <w:sz w:val="19"/>
          <w:szCs w:val="19"/>
          <w:color w:val="auto"/>
        </w:rPr>
      </w:pPr>
    </w:p>
    <w:p>
      <w:pPr>
        <w:ind w:left="2280" w:hanging="547"/>
        <w:spacing w:after="0"/>
        <w:tabs>
          <w:tab w:leader="none" w:pos="2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together with each set of financial statements delivered pursuant to Section 7.1(a) or (c), a Compliance Certificate</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in the form of Exhibit E;</w:t>
      </w:r>
    </w:p>
    <w:p>
      <w:pPr>
        <w:spacing w:after="0" w:line="199" w:lineRule="exact"/>
        <w:rPr>
          <w:rFonts w:ascii="Arial" w:cs="Arial" w:eastAsia="Arial" w:hAnsi="Arial"/>
          <w:sz w:val="17"/>
          <w:szCs w:val="17"/>
          <w:color w:val="auto"/>
        </w:rPr>
      </w:pPr>
    </w:p>
    <w:p>
      <w:pPr>
        <w:ind w:right="340" w:firstLine="1733"/>
        <w:spacing w:after="0" w:line="275" w:lineRule="auto"/>
        <w:tabs>
          <w:tab w:leader="none" w:pos="225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as soon as practicable (and in any event within 30 days) after the end of each month, a report showing agings of accounts receivable and accounts payable;</w:t>
      </w:r>
    </w:p>
    <w:p>
      <w:pPr>
        <w:spacing w:after="0" w:line="156" w:lineRule="exact"/>
        <w:rPr>
          <w:rFonts w:ascii="Arial" w:cs="Arial" w:eastAsia="Arial" w:hAnsi="Arial"/>
          <w:sz w:val="19"/>
          <w:szCs w:val="19"/>
          <w:color w:val="auto"/>
        </w:rPr>
      </w:pPr>
    </w:p>
    <w:p>
      <w:pPr>
        <w:jc w:val="both"/>
        <w:ind w:right="20" w:firstLine="1733"/>
        <w:spacing w:after="0" w:line="255" w:lineRule="auto"/>
        <w:tabs>
          <w:tab w:leader="none" w:pos="223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promptly after the sending or filing thereof, as the case may be, copies of any proxy statements, financial statements or reports that Borrower has made available to holders of its preferred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75" w:lineRule="exact"/>
        <w:rPr>
          <w:rFonts w:ascii="Arial" w:cs="Arial" w:eastAsia="Arial" w:hAnsi="Arial"/>
          <w:sz w:val="19"/>
          <w:szCs w:val="19"/>
          <w:color w:val="auto"/>
        </w:rPr>
      </w:pPr>
    </w:p>
    <w:p>
      <w:pPr>
        <w:ind w:right="220" w:firstLine="1733"/>
        <w:spacing w:after="0" w:line="260" w:lineRule="auto"/>
        <w:tabs>
          <w:tab w:leader="none" w:pos="22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copies of all minutes approved by the Board of Director within 30 days after each such approval, provided that in all cases Borrower may exclude confidential compensation information, information subject to attorney client privilege and information that would raise a direct conflict of interest with Agent or Lender;</w:t>
      </w:r>
    </w:p>
    <w:p>
      <w:pPr>
        <w:spacing w:after="0" w:line="170" w:lineRule="exact"/>
        <w:rPr>
          <w:rFonts w:ascii="Arial" w:cs="Arial" w:eastAsia="Arial" w:hAnsi="Arial"/>
          <w:sz w:val="19"/>
          <w:szCs w:val="19"/>
          <w:color w:val="auto"/>
        </w:rPr>
      </w:pPr>
    </w:p>
    <w:p>
      <w:pPr>
        <w:ind w:right="120" w:firstLine="1733"/>
        <w:spacing w:after="0" w:line="260" w:lineRule="auto"/>
        <w:tabs>
          <w:tab w:leader="none" w:pos="22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financial and business projections promptly following their approval by Borrower’s Board of Directors, and in any event, within 60 days after the end of Borrower’s fiscal year, as well as budgets, operating plans and other financial information reasonably requested by Agent; and</w:t>
      </w:r>
    </w:p>
    <w:p>
      <w:pPr>
        <w:spacing w:after="0" w:line="170" w:lineRule="exact"/>
        <w:rPr>
          <w:rFonts w:ascii="Arial" w:cs="Arial" w:eastAsia="Arial" w:hAnsi="Arial"/>
          <w:sz w:val="19"/>
          <w:szCs w:val="19"/>
          <w:color w:val="auto"/>
        </w:rPr>
      </w:pPr>
    </w:p>
    <w:p>
      <w:pPr>
        <w:ind w:right="60" w:firstLine="1733"/>
        <w:spacing w:after="0" w:line="260" w:lineRule="auto"/>
        <w:tabs>
          <w:tab w:leader="none" w:pos="222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prompt notice if Borrower or any Subsidiary has knowledge that Borrower, or any Subsidiary or Affiliate of Borrower, is listed on the OFAC Lists or (a) is convicted on, (b) pleads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(c) is indicted on, or (d) is arraigned and held over on charges involving money laundering or predicate crimes to money laundering.</w:t>
      </w:r>
    </w:p>
    <w:p>
      <w:pPr>
        <w:spacing w:after="0" w:line="171" w:lineRule="exact"/>
        <w:rPr>
          <w:sz w:val="20"/>
          <w:szCs w:val="20"/>
          <w:color w:val="auto"/>
        </w:rPr>
      </w:pPr>
    </w:p>
    <w:p>
      <w:pPr>
        <w:ind w:right="620"/>
        <w:spacing w:after="0" w:line="260" w:lineRule="auto"/>
        <w:rPr>
          <w:sz w:val="20"/>
          <w:szCs w:val="20"/>
          <w:color w:val="auto"/>
        </w:rPr>
      </w:pPr>
      <w:r>
        <w:rPr>
          <w:rFonts w:ascii="Arial" w:cs="Arial" w:eastAsia="Arial" w:hAnsi="Arial"/>
          <w:sz w:val="19"/>
          <w:szCs w:val="19"/>
          <w:color w:val="auto"/>
        </w:rPr>
        <w:t>Borrower shall not make any change in its (a) accounting policies or reporting practices other than to the extent required or otherwise contemplated by GAAP or other applicable regulatory requirements, or as approved by Agent, with such approval not to be unreasonably withheld, or (b) fiscal years or fiscal quarters. The fiscal year of Borrower shall end on December 31.</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The executed Compliance Certificate and all Financial Statements required to be delivered pursuant to clauses (a), (b), (c) and (d) shall be sent via e-mail to Agent at XXXXX with a copy to XXXXX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255905</wp:posOffset>
            </wp:positionV>
            <wp:extent cx="717804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color w:val="auto"/>
        </w:rPr>
        <w:t>XXXXX; provided, that if e-mail is not available or sending such Financial Statements via e-mail is not possible, they shall be faxed to Agent at:</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XXXXX, attention Account Manager: XXXXX.</w:t>
      </w:r>
    </w:p>
    <w:p>
      <w:pPr>
        <w:spacing w:after="0" w:line="199"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 xml:space="preserve">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emails a link thereto to Agent; provided that Borrower shall directly provide Agent all Financial Statements required to be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hereunder.</w:t>
      </w:r>
    </w:p>
    <w:p>
      <w:pPr>
        <w:spacing w:after="0" w:line="175" w:lineRule="exact"/>
        <w:rPr>
          <w:sz w:val="20"/>
          <w:szCs w:val="20"/>
          <w:color w:val="auto"/>
        </w:rPr>
      </w:pPr>
    </w:p>
    <w:p>
      <w:pPr>
        <w:ind w:right="20" w:firstLine="864"/>
        <w:spacing w:after="0" w:line="281" w:lineRule="auto"/>
        <w:rPr>
          <w:sz w:val="20"/>
          <w:szCs w:val="20"/>
          <w:color w:val="auto"/>
        </w:rPr>
      </w:pPr>
      <w:r>
        <w:rPr>
          <w:rFonts w:ascii="Arial" w:cs="Arial" w:eastAsia="Arial" w:hAnsi="Arial"/>
          <w:sz w:val="17"/>
          <w:szCs w:val="17"/>
          <w:color w:val="auto"/>
        </w:rPr>
        <w:t xml:space="preserve">7.2 Management Rights.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56" w:lineRule="exact"/>
        <w:rPr>
          <w:sz w:val="20"/>
          <w:szCs w:val="20"/>
          <w:color w:val="auto"/>
        </w:rPr>
      </w:pPr>
    </w:p>
    <w:p>
      <w:pPr>
        <w:ind w:firstLine="864"/>
        <w:spacing w:after="0" w:line="282" w:lineRule="auto"/>
        <w:rPr>
          <w:sz w:val="20"/>
          <w:szCs w:val="20"/>
          <w:color w:val="auto"/>
        </w:rPr>
      </w:pPr>
      <w:r>
        <w:rPr>
          <w:rFonts w:ascii="Arial" w:cs="Arial" w:eastAsia="Arial" w:hAnsi="Arial"/>
          <w:sz w:val="17"/>
          <w:szCs w:val="17"/>
          <w:color w:val="auto"/>
        </w:rPr>
        <w:t>7.3 Further Assurances. Borrower shall from time to time execute, deliver and file, alone or with Agent, any financing statements, security agreements, collateral assignments, notices, control agreements, promissory notes or other documents to perfect, give the highest priority to Agent’s Lien on the Collateral, subject only to Permitted Liens,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54" w:lineRule="exact"/>
        <w:rPr>
          <w:sz w:val="20"/>
          <w:szCs w:val="20"/>
          <w:color w:val="auto"/>
        </w:rPr>
      </w:pPr>
    </w:p>
    <w:p>
      <w:pPr>
        <w:ind w:right="40" w:firstLine="864"/>
        <w:spacing w:after="0" w:line="264" w:lineRule="auto"/>
        <w:rPr>
          <w:sz w:val="20"/>
          <w:szCs w:val="20"/>
          <w:color w:val="auto"/>
        </w:rPr>
      </w:pPr>
      <w:r>
        <w:rPr>
          <w:rFonts w:ascii="Arial" w:cs="Arial" w:eastAsia="Arial" w:hAnsi="Arial"/>
          <w:sz w:val="18"/>
          <w:szCs w:val="18"/>
          <w:color w:val="auto"/>
        </w:rPr>
        <w:t>7.4 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extensions, refinancings and renewals of any items of Permitted Indebtedness, provided that the principal amount is not increased or the terms modified to impose materially more burdensome terms upon Borrower or its Subsidiary, as the case may be, (e) Indebtedness owed under corporate credit cards constituting “Permitted Indebtedness” and prepaid in the ordinary course of business, (f) trade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266065</wp:posOffset>
            </wp:positionV>
            <wp:extent cx="717804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7" w:name="page198"/>
    <w:bookmarkEnd w:id="197"/>
    <w:p>
      <w:pPr>
        <w:ind w:right="240"/>
        <w:spacing w:after="0" w:line="275" w:lineRule="auto"/>
        <w:rPr>
          <w:sz w:val="20"/>
          <w:szCs w:val="20"/>
          <w:color w:val="auto"/>
        </w:rPr>
      </w:pPr>
      <w:r>
        <w:rPr>
          <w:rFonts w:ascii="Arial" w:cs="Arial" w:eastAsia="Arial" w:hAnsi="Arial"/>
          <w:sz w:val="19"/>
          <w:szCs w:val="19"/>
          <w:color w:val="auto"/>
        </w:rPr>
        <w:t>incurred in the ordinary course of business to the extent permitted under subsection (iv) of the definition of “Permitted Indebtedness”, or (g) as otherwise permitted hereunder or approved in writing by Agent.</w:t>
      </w:r>
    </w:p>
    <w:p>
      <w:pPr>
        <w:spacing w:after="0" w:line="156" w:lineRule="exact"/>
        <w:rPr>
          <w:sz w:val="20"/>
          <w:szCs w:val="20"/>
          <w:color w:val="auto"/>
        </w:rPr>
      </w:pPr>
    </w:p>
    <w:p>
      <w:pPr>
        <w:ind w:right="20" w:firstLine="864"/>
        <w:spacing w:after="0" w:line="261" w:lineRule="auto"/>
        <w:rPr>
          <w:sz w:val="20"/>
          <w:szCs w:val="20"/>
          <w:color w:val="auto"/>
        </w:rPr>
      </w:pPr>
      <w:r>
        <w:rPr>
          <w:rFonts w:ascii="Arial" w:cs="Arial" w:eastAsia="Arial" w:hAnsi="Arial"/>
          <w:sz w:val="18"/>
          <w:szCs w:val="18"/>
          <w:color w:val="auto"/>
        </w:rPr>
        <w:t>7.5 Collateral. Borrower shall at all times keep the Collateral, the Intellectual Property and all other property and assets used in Borrower’s business or in which Borrower now or hereafter holds any interest free and clear from any legal process or Liens whatsoever (except for Permitted Liens), and shall give Agent prompt written notice of any legal process affecting the Collateral, the Intellectual Property, such other property and assets, or any Liens thereon, provided however, that the Collateral and such other property and assets may be subject to Permitted Liens except that there shall be no Liens whatsoever on Intellectual Property. Borrower shall not agree with any Person other than Agent or the Lenders not to encumber its property other than pursuant to (a) any agreements governing any purchase money Liens or capital lease obligations otherwise permitted hereby (in which case, any prohibition or limitation shall only be effective against the assets financed thereby), (b) customary restrictions on assets subject to Liens permitted under subsection (xiv) of the definition of “Permitted Liens” (in which case, any prohibition or limitation shall only be effective against the cash collateral provided thereto) and (c) the Incyte Collaboration Agreement.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pursuant to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sublicense or sublease of leases, licenses and other agreements, and (d) any restrictions set forth in the Incyte Collaboration Agreement.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Liens whatsoever (except for Permitted Liens, provided however, that there shall be no Liens whatsoever on Intellectual Property other than pursuant to the Incyte Collaboration Agreement), and shall give Agent prompt written notice of any legal process affecting such Subsidiary’s assets in an amount greater than $500,000.</w:t>
      </w:r>
    </w:p>
    <w:p>
      <w:pPr>
        <w:spacing w:after="0" w:line="177" w:lineRule="exact"/>
        <w:rPr>
          <w:sz w:val="20"/>
          <w:szCs w:val="20"/>
          <w:color w:val="auto"/>
        </w:rPr>
      </w:pPr>
    </w:p>
    <w:p>
      <w:pPr>
        <w:ind w:right="200" w:firstLine="864"/>
        <w:spacing w:after="0" w:line="275" w:lineRule="auto"/>
        <w:rPr>
          <w:sz w:val="20"/>
          <w:szCs w:val="20"/>
          <w:color w:val="auto"/>
        </w:rPr>
      </w:pPr>
      <w:r>
        <w:rPr>
          <w:rFonts w:ascii="Arial" w:cs="Arial" w:eastAsia="Arial" w:hAnsi="Arial"/>
          <w:sz w:val="19"/>
          <w:szCs w:val="19"/>
          <w:color w:val="auto"/>
        </w:rPr>
        <w:t>7.6 Investments. Borrower shall not directly or indirectly acquire or own, or make any Investment in or to any Person, or permit any of its Subsidiaries so to do, other than Permitted Investments.</w:t>
      </w:r>
    </w:p>
    <w:p>
      <w:pPr>
        <w:spacing w:after="0" w:line="156" w:lineRule="exact"/>
        <w:rPr>
          <w:sz w:val="20"/>
          <w:szCs w:val="20"/>
          <w:color w:val="auto"/>
        </w:rPr>
      </w:pPr>
    </w:p>
    <w:p>
      <w:pPr>
        <w:ind w:firstLine="864"/>
        <w:spacing w:after="0" w:line="265" w:lineRule="auto"/>
        <w:rPr>
          <w:sz w:val="20"/>
          <w:szCs w:val="20"/>
          <w:color w:val="auto"/>
        </w:rPr>
      </w:pPr>
      <w:r>
        <w:rPr>
          <w:rFonts w:ascii="Arial" w:cs="Arial" w:eastAsia="Arial" w:hAnsi="Arial"/>
          <w:sz w:val="18"/>
          <w:szCs w:val="18"/>
          <w:color w:val="auto"/>
        </w:rPr>
        <w:t>7.7 Distributions. Borrower shall not, and shall not allow any Subsidiary to, (a) repurchase or redeem any class of stock or other Equity Interest other than pursuant to employee, director or consultant repurchase plans or other similar agreements, provided, however, in each case the repurchase or redemption price does not exceed the original consideration paid for such stock or Equity Interest, or (b) declare or pay any cash dividend or make any other cash distribution on any class of stock or other Equity Interest, except that a Subsidiary may pay dividends or make other distributions to Borrower or any Subsidiary of Borrower, or (c) lend money to any employees, officers or directors or guarantee the payment of any such loans granted by a third party in excess of $500,000 in the aggregate or (d) waive, release or forgive any Indebtedness (other than Indebtedness represented by a Permitted Investment made pursuant to clause (viii) of the definition of “Permitted Investment”) owed by any employees, officers or directors in excess of $500,000 in the aggregate in any fiscal year.</w:t>
      </w:r>
    </w:p>
    <w:p>
      <w:pPr>
        <w:spacing w:after="0" w:line="169" w:lineRule="exact"/>
        <w:rPr>
          <w:sz w:val="20"/>
          <w:szCs w:val="20"/>
          <w:color w:val="auto"/>
        </w:rPr>
      </w:pPr>
    </w:p>
    <w:p>
      <w:pPr>
        <w:ind w:right="100" w:firstLine="864"/>
        <w:spacing w:after="0" w:line="260" w:lineRule="auto"/>
        <w:rPr>
          <w:sz w:val="20"/>
          <w:szCs w:val="20"/>
          <w:color w:val="auto"/>
        </w:rPr>
      </w:pPr>
      <w:r>
        <w:rPr>
          <w:rFonts w:ascii="Arial" w:cs="Arial" w:eastAsia="Arial" w:hAnsi="Arial"/>
          <w:sz w:val="19"/>
          <w:szCs w:val="19"/>
          <w:color w:val="auto"/>
        </w:rPr>
        <w:t>7.8 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8" w:name="page199"/>
    <w:bookmarkEnd w:id="198"/>
    <w:p>
      <w:pPr>
        <w:ind w:firstLine="864"/>
        <w:spacing w:after="0" w:line="252" w:lineRule="auto"/>
        <w:rPr>
          <w:sz w:val="20"/>
          <w:szCs w:val="20"/>
          <w:color w:val="auto"/>
        </w:rPr>
      </w:pPr>
      <w:r>
        <w:rPr>
          <w:rFonts w:ascii="Arial" w:cs="Arial" w:eastAsia="Arial" w:hAnsi="Arial"/>
          <w:sz w:val="19"/>
          <w:szCs w:val="19"/>
          <w:color w:val="auto"/>
        </w:rPr>
        <w:t>7.9 Mergers or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 or acquire, or permit any of its Subsidiaries to acquire, in each case including for the avoidance of doubt through a merger, purchase, in-licensing arrangement or any similar transaction, all or substantially all of the capital stock or any property of another Person.</w:t>
      </w:r>
    </w:p>
    <w:p>
      <w:pPr>
        <w:spacing w:after="0" w:line="180" w:lineRule="exact"/>
        <w:rPr>
          <w:sz w:val="20"/>
          <w:szCs w:val="20"/>
          <w:color w:val="auto"/>
        </w:rPr>
      </w:pPr>
    </w:p>
    <w:p>
      <w:pPr>
        <w:ind w:right="60" w:firstLine="864"/>
        <w:spacing w:after="0" w:line="286" w:lineRule="auto"/>
        <w:rPr>
          <w:sz w:val="20"/>
          <w:szCs w:val="20"/>
          <w:color w:val="auto"/>
        </w:rPr>
      </w:pPr>
      <w:r>
        <w:rPr>
          <w:rFonts w:ascii="Arial" w:cs="Arial" w:eastAsia="Arial" w:hAnsi="Arial"/>
          <w:sz w:val="17"/>
          <w:szCs w:val="17"/>
          <w:color w:val="auto"/>
        </w:rPr>
        <w:t>7.10 Taxes.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Taxes for which Borrower and its Subsidiaries maintain adequate reserves in accordance with GAAP.</w:t>
      </w:r>
    </w:p>
    <w:p>
      <w:pPr>
        <w:spacing w:after="0" w:line="153" w:lineRule="exact"/>
        <w:rPr>
          <w:sz w:val="20"/>
          <w:szCs w:val="20"/>
          <w:color w:val="auto"/>
        </w:rPr>
      </w:pPr>
    </w:p>
    <w:p>
      <w:pPr>
        <w:ind w:right="520" w:firstLine="864"/>
        <w:spacing w:after="0" w:line="268" w:lineRule="auto"/>
        <w:rPr>
          <w:sz w:val="20"/>
          <w:szCs w:val="20"/>
          <w:color w:val="auto"/>
        </w:rPr>
      </w:pPr>
      <w:r>
        <w:rPr>
          <w:rFonts w:ascii="Arial" w:cs="Arial" w:eastAsia="Arial" w:hAnsi="Arial"/>
          <w:sz w:val="18"/>
          <w:szCs w:val="18"/>
          <w:color w:val="auto"/>
        </w:rPr>
        <w:t>7.11 Corporate Changes. Neither Borrower nor any Subsidiary shall change its corporate name, legal form or jurisdiction of formation without twenty (20) days’ prior written notice to Agent. Neither Borrower nor any Subsidiary shall suffer a Change in</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9"/>
          <w:szCs w:val="19"/>
          <w:color w:val="auto"/>
        </w:rPr>
        <w:t>Control. Neither Borrower nor any Subsidiary shall relocate its chief executive office or its principal place of business unless: (i) it has provided prior written notice to Agent; and (ii) such relocation shall be within the continental United States of America with respect to Borrower. Neither Borrower nor any Subsidiary shall relocate any item of Collateral (other than (x) sales of Inventory in the ordinary course of business, (y) relocations of Equipment having an aggregate value of up to $500,000 in any fiscal year, and (z) relocations of Collateral from a location described on Exhibit B to another location described on Exhibit B) unless (a) it has provided prompt written notice to Agent, (b) such relocation is within the continental United States of America with respect to Borrower and, (c) if such relocation is to a third party bailee, it has delivered a bailee agreement in form and substance reasonably acceptable to Agent.</w:t>
      </w:r>
    </w:p>
    <w:p>
      <w:pPr>
        <w:spacing w:after="0" w:line="184" w:lineRule="exact"/>
        <w:rPr>
          <w:sz w:val="20"/>
          <w:szCs w:val="20"/>
          <w:color w:val="auto"/>
        </w:rPr>
      </w:pPr>
    </w:p>
    <w:p>
      <w:pPr>
        <w:ind w:right="200" w:firstLine="864"/>
        <w:spacing w:after="0" w:line="260" w:lineRule="auto"/>
        <w:rPr>
          <w:sz w:val="20"/>
          <w:szCs w:val="20"/>
          <w:color w:val="auto"/>
        </w:rPr>
      </w:pPr>
      <w:r>
        <w:rPr>
          <w:rFonts w:ascii="Arial" w:cs="Arial" w:eastAsia="Arial" w:hAnsi="Arial"/>
          <w:sz w:val="19"/>
          <w:szCs w:val="19"/>
          <w:color w:val="auto"/>
        </w:rPr>
        <w:t>7.12 Deposit Accounts. Other than Excluded Accounts, neither Borrower nor any Subsidiary (other than Excluded Subsidiaries) shall maintain any Deposit Accounts, or accounts holding Investment Property, except with respect to which Agent has an Account Control Agreement.</w:t>
      </w:r>
    </w:p>
    <w:p>
      <w:pPr>
        <w:spacing w:after="0" w:line="171" w:lineRule="exact"/>
        <w:rPr>
          <w:sz w:val="20"/>
          <w:szCs w:val="20"/>
          <w:color w:val="auto"/>
        </w:rPr>
      </w:pPr>
    </w:p>
    <w:p>
      <w:pPr>
        <w:ind w:right="60" w:firstLine="864"/>
        <w:spacing w:after="0" w:line="294" w:lineRule="auto"/>
        <w:rPr>
          <w:sz w:val="20"/>
          <w:szCs w:val="20"/>
          <w:color w:val="auto"/>
        </w:rPr>
      </w:pPr>
      <w:r>
        <w:rPr>
          <w:rFonts w:ascii="Arial" w:cs="Arial" w:eastAsia="Arial" w:hAnsi="Arial"/>
          <w:sz w:val="17"/>
          <w:szCs w:val="17"/>
          <w:color w:val="auto"/>
        </w:rPr>
        <w:t>7.13 Borrower shall notify Agent of each Subsidiary formed subsequent to the Closing Date and, within 15 days of formation, shall cause any such Subsidiary that is a Qualified Subsidiary to execute and deliver to Agent a Joinder Agreement. With respect to any Subsidiary that is not a Qualified Subsidiary at such time, immediately upon any change in the U.S. tax laws that would result in such Subsidiary ceasing to be an Excluded Subsidiary, Borrower shall cause such Subsidiary to execute and deliver to Agent a Joinder Agreement.</w:t>
      </w:r>
    </w:p>
    <w:p>
      <w:pPr>
        <w:spacing w:after="0" w:line="146" w:lineRule="exact"/>
        <w:rPr>
          <w:sz w:val="20"/>
          <w:szCs w:val="20"/>
          <w:color w:val="auto"/>
        </w:rPr>
      </w:pPr>
    </w:p>
    <w:p>
      <w:pPr>
        <w:ind w:right="340" w:firstLine="864"/>
        <w:spacing w:after="0" w:line="275" w:lineRule="auto"/>
        <w:rPr>
          <w:sz w:val="20"/>
          <w:szCs w:val="20"/>
          <w:color w:val="auto"/>
        </w:rPr>
      </w:pPr>
      <w:r>
        <w:rPr>
          <w:rFonts w:ascii="Arial" w:cs="Arial" w:eastAsia="Arial" w:hAnsi="Arial"/>
          <w:sz w:val="19"/>
          <w:szCs w:val="19"/>
          <w:color w:val="auto"/>
        </w:rPr>
        <w:t>7.14 MSC Investment Conditions. At any time that the MSC Subsidiary has any assets or liabilities, Borrower shall satisfy the MSC Investment Conditions at all times.</w:t>
      </w:r>
    </w:p>
    <w:p>
      <w:pPr>
        <w:spacing w:after="0" w:line="156"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7.15 Notification of Event of Default. Borrower shall notify Agent promptly, and in any event within two (2) Business Days, upon becoming aware of the occurrence of any Event of Default.</w:t>
      </w:r>
    </w:p>
    <w:p>
      <w:pPr>
        <w:spacing w:after="0" w:line="156" w:lineRule="exact"/>
        <w:rPr>
          <w:sz w:val="20"/>
          <w:szCs w:val="20"/>
          <w:color w:val="auto"/>
        </w:rPr>
      </w:pPr>
    </w:p>
    <w:p>
      <w:pPr>
        <w:ind w:firstLine="864"/>
        <w:spacing w:after="0" w:line="260" w:lineRule="auto"/>
        <w:rPr>
          <w:sz w:val="20"/>
          <w:szCs w:val="20"/>
          <w:color w:val="auto"/>
        </w:rPr>
      </w:pPr>
      <w:r>
        <w:rPr>
          <w:rFonts w:ascii="Arial" w:cs="Arial" w:eastAsia="Arial" w:hAnsi="Arial"/>
          <w:sz w:val="19"/>
          <w:szCs w:val="19"/>
          <w:color w:val="auto"/>
        </w:rPr>
        <w:t>7.16 Foreign Subsidiary Voting Rights. Borrower shall not, and shall not permit any Subsidiary, to amend or modify any governing document of any Foreign Subsidiary of Borrower, the effect of which is to require a vote of greater than 50.1% of the Equity Interests or voting rights of such entity for any decision or action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9" w:name="page200"/>
    <w:bookmarkEnd w:id="199"/>
    <w:p>
      <w:pPr>
        <w:ind w:right="80" w:firstLine="864"/>
        <w:spacing w:after="0" w:line="260" w:lineRule="auto"/>
        <w:rPr>
          <w:sz w:val="20"/>
          <w:szCs w:val="20"/>
          <w:color w:val="auto"/>
        </w:rPr>
      </w:pPr>
      <w:r>
        <w:rPr>
          <w:rFonts w:ascii="Arial" w:cs="Arial" w:eastAsia="Arial" w:hAnsi="Arial"/>
          <w:sz w:val="19"/>
          <w:szCs w:val="19"/>
          <w:color w:val="auto"/>
        </w:rPr>
        <w:t>7.17 Use of Proceeds.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spacing w:after="0" w:line="171" w:lineRule="exact"/>
        <w:rPr>
          <w:sz w:val="20"/>
          <w:szCs w:val="20"/>
          <w:color w:val="auto"/>
        </w:rPr>
      </w:pPr>
    </w:p>
    <w:p>
      <w:pPr>
        <w:ind w:right="200" w:firstLine="864"/>
        <w:spacing w:after="0" w:line="260" w:lineRule="auto"/>
        <w:rPr>
          <w:sz w:val="20"/>
          <w:szCs w:val="20"/>
          <w:color w:val="auto"/>
        </w:rPr>
      </w:pPr>
      <w:r>
        <w:rPr>
          <w:rFonts w:ascii="Arial" w:cs="Arial" w:eastAsia="Arial" w:hAnsi="Arial"/>
          <w:sz w:val="19"/>
          <w:szCs w:val="19"/>
          <w:color w:val="auto"/>
        </w:rPr>
        <w:t>7.18 Incyte Minimum Cash Amount. Immediately upon the occurrence and continuation of the Incyte Termination Event and as of each subsequent Advance Date, Borrower shall maintain Qualified Cash in an amount greater than or equal to the Incyte Minimum Cash Amount at all times.</w:t>
      </w:r>
    </w:p>
    <w:p>
      <w:pPr>
        <w:spacing w:after="0" w:line="171"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9"/>
          <w:szCs w:val="19"/>
          <w:color w:val="auto"/>
        </w:rPr>
        <w:t>7.19</w:t>
      </w:r>
      <w:r>
        <w:rPr>
          <w:sz w:val="20"/>
          <w:szCs w:val="20"/>
          <w:color w:val="auto"/>
        </w:rPr>
        <w:tab/>
      </w:r>
      <w:r>
        <w:rPr>
          <w:rFonts w:ascii="Arial" w:cs="Arial" w:eastAsia="Arial" w:hAnsi="Arial"/>
          <w:sz w:val="17"/>
          <w:szCs w:val="17"/>
          <w:color w:val="auto"/>
        </w:rPr>
        <w:t>Compliance with Laws.</w:t>
      </w:r>
    </w:p>
    <w:p>
      <w:pPr>
        <w:spacing w:after="0" w:line="215"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19"/>
          <w:szCs w:val="19"/>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w:t>
      </w:r>
    </w:p>
    <w:p>
      <w:pPr>
        <w:spacing w:after="0" w:line="175" w:lineRule="exact"/>
        <w:rPr>
          <w:sz w:val="20"/>
          <w:szCs w:val="20"/>
          <w:color w:val="auto"/>
        </w:rPr>
      </w:pPr>
    </w:p>
    <w:p>
      <w:pPr>
        <w:jc w:val="both"/>
        <w:ind w:firstLine="1728"/>
        <w:spacing w:after="0" w:line="226" w:lineRule="exact"/>
        <w:rPr>
          <w:sz w:val="20"/>
          <w:szCs w:val="20"/>
          <w:color w:val="auto"/>
        </w:rPr>
      </w:pPr>
      <w:r>
        <w:rPr>
          <w:rFonts w:ascii="Arial" w:cs="Arial" w:eastAsia="Arial" w:hAnsi="Arial"/>
          <w:sz w:val="19"/>
          <w:szCs w:val="19"/>
          <w:color w:val="auto"/>
        </w:rPr>
        <w:t>Neither Borrower nor any of its Subsidiaries shall, nor shall Borrower or any of its Subsidiaries permit any Affiliate under Parent’s direct or indirect control to, directly or indirectly, knowingly enter into any documents, instruments, agreements or contracts with any Person listed on the OFAC Lists. Neither Borrower nor any of its Subsidiaries shall, nor shall Borrower or any of its Subsidiaries, permit any Affiliate under Parent’s direct or indirect control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9"/>
          <w:szCs w:val="19"/>
          <w:color w:val="auto"/>
        </w:rPr>
        <w:t>‑</w:t>
      </w:r>
      <w:r>
        <w:rPr>
          <w:rFonts w:ascii="Arial" w:cs="Arial" w:eastAsia="Arial" w:hAnsi="Arial"/>
          <w:sz w:val="19"/>
          <w:szCs w:val="19"/>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9"/>
          <w:szCs w:val="19"/>
          <w:color w:val="auto"/>
        </w:rPr>
        <w:t>‑</w:t>
      </w:r>
      <w:r>
        <w:rPr>
          <w:rFonts w:ascii="Arial" w:cs="Arial" w:eastAsia="Arial" w:hAnsi="Arial"/>
          <w:sz w:val="19"/>
          <w:szCs w:val="19"/>
          <w:color w:val="auto"/>
        </w:rPr>
        <w:t>Terrorism Law.</w:t>
      </w:r>
    </w:p>
    <w:p>
      <w:pPr>
        <w:spacing w:after="0" w:line="189"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19"/>
          <w:szCs w:val="19"/>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75"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19"/>
          <w:szCs w:val="19"/>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75"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9"/>
          <w:szCs w:val="19"/>
          <w:color w:val="auto"/>
        </w:rPr>
        <w:t>7.20</w:t>
      </w:r>
      <w:r>
        <w:rPr>
          <w:sz w:val="20"/>
          <w:szCs w:val="20"/>
          <w:color w:val="auto"/>
        </w:rPr>
        <w:tab/>
      </w:r>
      <w:r>
        <w:rPr>
          <w:rFonts w:ascii="Arial" w:cs="Arial" w:eastAsia="Arial" w:hAnsi="Arial"/>
          <w:sz w:val="17"/>
          <w:szCs w:val="17"/>
          <w:color w:val="auto"/>
        </w:rPr>
        <w:t>[Reserved].</w:t>
      </w:r>
    </w:p>
    <w:p>
      <w:pPr>
        <w:spacing w:after="0" w:line="215" w:lineRule="exact"/>
        <w:rPr>
          <w:sz w:val="20"/>
          <w:szCs w:val="20"/>
          <w:color w:val="auto"/>
        </w:rPr>
      </w:pPr>
    </w:p>
    <w:p>
      <w:pPr>
        <w:ind w:firstLine="864"/>
        <w:spacing w:after="0" w:line="255" w:lineRule="auto"/>
        <w:rPr>
          <w:sz w:val="20"/>
          <w:szCs w:val="20"/>
          <w:color w:val="auto"/>
        </w:rPr>
      </w:pPr>
      <w:r>
        <w:rPr>
          <w:rFonts w:ascii="Arial" w:cs="Arial" w:eastAsia="Arial" w:hAnsi="Arial"/>
          <w:sz w:val="19"/>
          <w:szCs w:val="19"/>
          <w:color w:val="auto"/>
        </w:rPr>
        <w:t>7.21 Transactions with Affiliates.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other than (i) Permitted Investments, (ii) reasonable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717804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0" w:name="page201"/>
    <w:bookmarkEnd w:id="200"/>
    <w:p>
      <w:pPr>
        <w:ind w:right="660"/>
        <w:spacing w:after="0" w:line="275" w:lineRule="auto"/>
        <w:rPr>
          <w:sz w:val="20"/>
          <w:szCs w:val="20"/>
          <w:color w:val="auto"/>
        </w:rPr>
      </w:pPr>
      <w:r>
        <w:rPr>
          <w:rFonts w:ascii="Arial" w:cs="Arial" w:eastAsia="Arial" w:hAnsi="Arial"/>
          <w:sz w:val="19"/>
          <w:szCs w:val="19"/>
          <w:color w:val="auto"/>
        </w:rPr>
        <w:t>customary fees paid to members of the Board, (iii) board-approved compensation arrangements for officers and other employees and (iv) transactions permitted hereunder between Borrowers.</w:t>
      </w:r>
    </w:p>
    <w:p>
      <w:pPr>
        <w:spacing w:after="0" w:line="156" w:lineRule="exact"/>
        <w:rPr>
          <w:sz w:val="20"/>
          <w:szCs w:val="20"/>
          <w:color w:val="auto"/>
        </w:rPr>
      </w:pPr>
    </w:p>
    <w:p>
      <w:pPr>
        <w:ind w:right="20" w:firstLine="864"/>
        <w:spacing w:after="0" w:line="255" w:lineRule="auto"/>
        <w:rPr>
          <w:sz w:val="20"/>
          <w:szCs w:val="20"/>
          <w:color w:val="auto"/>
        </w:rPr>
      </w:pPr>
      <w:r>
        <w:rPr>
          <w:rFonts w:ascii="Arial" w:cs="Arial" w:eastAsia="Arial" w:hAnsi="Arial"/>
          <w:sz w:val="19"/>
          <w:szCs w:val="19"/>
          <w:color w:val="auto"/>
        </w:rPr>
        <w:t>7.22 Post-Closing Obligations. Notwithstanding any provision herein or in any other Loan Document to the contrary, to the extent not actually delivered on or prior to the Closing Date, Borrower shall deliver to Agent (or its designated agent), no later than sixty (60) days after the Closing Date, an executed copy of a bailee agreement, in form and substance reasonably acceptable to Agent, by and among EPL Archives, Borrower and Agent.</w:t>
      </w:r>
    </w:p>
    <w:p>
      <w:pPr>
        <w:spacing w:after="0" w:line="169" w:lineRule="exact"/>
        <w:rPr>
          <w:sz w:val="20"/>
          <w:szCs w:val="20"/>
          <w:color w:val="auto"/>
        </w:rPr>
      </w:pPr>
    </w:p>
    <w:p>
      <w:pPr>
        <w:ind w:left="4140"/>
        <w:spacing w:after="0"/>
        <w:tabs>
          <w:tab w:leader="none" w:pos="5920" w:val="left"/>
        </w:tabs>
        <w:rPr>
          <w:sz w:val="20"/>
          <w:szCs w:val="20"/>
          <w:color w:val="auto"/>
        </w:rPr>
      </w:pPr>
      <w:r>
        <w:rPr>
          <w:rFonts w:ascii="Arial" w:cs="Arial" w:eastAsia="Arial" w:hAnsi="Arial"/>
          <w:sz w:val="19"/>
          <w:szCs w:val="19"/>
          <w:b w:val="1"/>
          <w:bCs w:val="1"/>
          <w:color w:val="auto"/>
        </w:rPr>
        <w:t>SECTION 8.</w:t>
      </w:r>
      <w:r>
        <w:rPr>
          <w:sz w:val="20"/>
          <w:szCs w:val="20"/>
          <w:color w:val="auto"/>
        </w:rPr>
        <w:tab/>
      </w:r>
      <w:r>
        <w:rPr>
          <w:rFonts w:ascii="Arial" w:cs="Arial" w:eastAsia="Arial" w:hAnsi="Arial"/>
          <w:sz w:val="18"/>
          <w:szCs w:val="18"/>
          <w:b w:val="1"/>
          <w:bCs w:val="1"/>
          <w:u w:val="single" w:color="auto"/>
          <w:color w:val="auto"/>
        </w:rPr>
        <w:t>[RESERVED]</w:t>
      </w:r>
    </w:p>
    <w:p>
      <w:pPr>
        <w:spacing w:after="0" w:line="215" w:lineRule="exact"/>
        <w:rPr>
          <w:sz w:val="20"/>
          <w:szCs w:val="20"/>
          <w:color w:val="auto"/>
        </w:rPr>
      </w:pPr>
    </w:p>
    <w:p>
      <w:pPr>
        <w:ind w:left="3720"/>
        <w:spacing w:after="0"/>
        <w:tabs>
          <w:tab w:leader="none" w:pos="5480" w:val="left"/>
        </w:tabs>
        <w:rPr>
          <w:sz w:val="20"/>
          <w:szCs w:val="20"/>
          <w:color w:val="auto"/>
        </w:rPr>
      </w:pPr>
      <w:r>
        <w:rPr>
          <w:rFonts w:ascii="Arial" w:cs="Arial" w:eastAsia="Arial" w:hAnsi="Arial"/>
          <w:sz w:val="19"/>
          <w:szCs w:val="19"/>
          <w:b w:val="1"/>
          <w:bCs w:val="1"/>
          <w:color w:val="auto"/>
        </w:rPr>
        <w:t>SECTION 9.</w:t>
      </w:r>
      <w:r>
        <w:rPr>
          <w:sz w:val="20"/>
          <w:szCs w:val="20"/>
          <w:color w:val="auto"/>
        </w:rPr>
        <w:tab/>
      </w:r>
      <w:r>
        <w:rPr>
          <w:rFonts w:ascii="Arial" w:cs="Arial" w:eastAsia="Arial" w:hAnsi="Arial"/>
          <w:sz w:val="19"/>
          <w:szCs w:val="19"/>
          <w:b w:val="1"/>
          <w:bCs w:val="1"/>
          <w:u w:val="single" w:color="auto"/>
          <w:color w:val="auto"/>
        </w:rPr>
        <w:t>EVENTS OF DEFAULT</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occurrence of any one or more of the following events shall be an Event of Default:</w:t>
      </w:r>
    </w:p>
    <w:p>
      <w:pPr>
        <w:spacing w:after="0" w:line="215" w:lineRule="exact"/>
        <w:rPr>
          <w:sz w:val="20"/>
          <w:szCs w:val="20"/>
          <w:color w:val="auto"/>
        </w:rPr>
      </w:pPr>
    </w:p>
    <w:p>
      <w:pPr>
        <w:jc w:val="both"/>
        <w:ind w:right="140" w:firstLine="864"/>
        <w:spacing w:after="0" w:line="255" w:lineRule="auto"/>
        <w:rPr>
          <w:sz w:val="20"/>
          <w:szCs w:val="20"/>
          <w:color w:val="auto"/>
        </w:rPr>
      </w:pPr>
      <w:r>
        <w:rPr>
          <w:rFonts w:ascii="Arial" w:cs="Arial" w:eastAsia="Arial" w:hAnsi="Arial"/>
          <w:sz w:val="19"/>
          <w:szCs w:val="19"/>
          <w:color w:val="auto"/>
        </w:rPr>
        <w:t>9.1 Payments. Borrower fails to pay any amount due under this Agreement or any of the other Loan Documents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75" w:lineRule="exact"/>
        <w:rPr>
          <w:sz w:val="20"/>
          <w:szCs w:val="20"/>
          <w:color w:val="auto"/>
        </w:rPr>
      </w:pPr>
    </w:p>
    <w:p>
      <w:pPr>
        <w:ind w:firstLine="864"/>
        <w:spacing w:after="0" w:line="268" w:lineRule="auto"/>
        <w:rPr>
          <w:sz w:val="20"/>
          <w:szCs w:val="20"/>
          <w:color w:val="auto"/>
        </w:rPr>
      </w:pPr>
      <w:r>
        <w:rPr>
          <w:rFonts w:ascii="Arial" w:cs="Arial" w:eastAsia="Arial" w:hAnsi="Arial"/>
          <w:sz w:val="18"/>
          <w:szCs w:val="18"/>
          <w:color w:val="auto"/>
        </w:rPr>
        <w:t>9.2 Covenants. Borrower breaches or defaults in the performance of any covenant or Secured Obligation under this Agreement, or any of the other Loan Documents and (a) with respect to a default under any covenant under this Agreement (other than under Sections 6, 7.4, 7.5, 7.6, 7.7, 7.8, 7.9, 7.13, 7.14, 7.15, 7.16 7.17, 7.18, 7.19 and 7.21), any other Loan Document, or any other agreement among Borrower, Agent and the Lenders, such default continues for more than fifteen (15) days after the earlier of the date on which (i) Agent or the Lenders has given notice of such default to Borrower and (ii) Borrower has actual knowledge of such default or (b) with respect to a default under any of Sections 6, 7.4, 7.5, 7.6, 7.7, 7.8, 7.9, 7.13, 7.14, 7.15, 7.16, 7.17, 7.18, 7.19 and 7.21, the occurrence of such default; or</w:t>
      </w:r>
    </w:p>
    <w:p>
      <w:pPr>
        <w:spacing w:after="0" w:line="164" w:lineRule="exact"/>
        <w:rPr>
          <w:sz w:val="20"/>
          <w:szCs w:val="20"/>
          <w:color w:val="auto"/>
        </w:rPr>
      </w:pPr>
    </w:p>
    <w:p>
      <w:pPr>
        <w:ind w:firstLine="864"/>
        <w:spacing w:after="0" w:line="284" w:lineRule="auto"/>
        <w:rPr>
          <w:sz w:val="20"/>
          <w:szCs w:val="20"/>
          <w:color w:val="auto"/>
        </w:rPr>
      </w:pPr>
      <w:r>
        <w:rPr>
          <w:rFonts w:ascii="Arial" w:cs="Arial" w:eastAsia="Arial" w:hAnsi="Arial"/>
          <w:sz w:val="17"/>
          <w:szCs w:val="17"/>
          <w:color w:val="auto"/>
        </w:rPr>
        <w:t>9.3 Material Adverse Effect. A circumstance has occurred that has a Material Adverse Effect; provided that the occurrence of any of the following, in and of itself, shall not constitute a Material Adverse Effect: adverse results or delays in any nonclinical or clinical trial including without limitation, the failure to demonstrate the desired safety or efficacy of any drug or companion diagnostic; provided that, in determining whether a Material Adverse Effect has occurred, Agent’s primary, though not sole, consideration will be whether Borrower has or will have sufficient cash resources to repay the Secured Obligations as and when due and the clear intention of Borrower’s investors to continue to fund Borrower in the amounts and timeframe necessary, in Agent’s good faith judgment, to enable Borrower to satisfy the Secured Obligations as they become due and payable is the most significant criterion Agent shall consider in making any such determination; or</w:t>
      </w:r>
    </w:p>
    <w:p>
      <w:pPr>
        <w:spacing w:after="0" w:line="155" w:lineRule="exact"/>
        <w:rPr>
          <w:sz w:val="20"/>
          <w:szCs w:val="20"/>
          <w:color w:val="auto"/>
        </w:rPr>
      </w:pPr>
    </w:p>
    <w:p>
      <w:pPr>
        <w:ind w:right="860" w:firstLine="864"/>
        <w:spacing w:after="0" w:line="275" w:lineRule="auto"/>
        <w:rPr>
          <w:sz w:val="20"/>
          <w:szCs w:val="20"/>
          <w:color w:val="auto"/>
        </w:rPr>
      </w:pPr>
      <w:r>
        <w:rPr>
          <w:rFonts w:ascii="Arial" w:cs="Arial" w:eastAsia="Arial" w:hAnsi="Arial"/>
          <w:sz w:val="19"/>
          <w:szCs w:val="19"/>
          <w:color w:val="auto"/>
        </w:rPr>
        <w:t>9.4 Representations. Any representation or warranty made by Borrower in any Loan Document shall have been false or misleading in any material respect when made or when deemed made; or</w:t>
      </w:r>
    </w:p>
    <w:p>
      <w:pPr>
        <w:spacing w:after="0" w:line="156" w:lineRule="exact"/>
        <w:rPr>
          <w:sz w:val="20"/>
          <w:szCs w:val="20"/>
          <w:color w:val="auto"/>
        </w:rPr>
      </w:pPr>
    </w:p>
    <w:p>
      <w:pPr>
        <w:ind w:right="80" w:firstLine="864"/>
        <w:spacing w:after="0" w:line="264" w:lineRule="auto"/>
        <w:rPr>
          <w:sz w:val="20"/>
          <w:szCs w:val="20"/>
          <w:color w:val="auto"/>
        </w:rPr>
      </w:pPr>
      <w:r>
        <w:rPr>
          <w:rFonts w:ascii="Arial" w:cs="Arial" w:eastAsia="Arial" w:hAnsi="Arial"/>
          <w:sz w:val="18"/>
          <w:szCs w:val="18"/>
          <w:color w:val="auto"/>
        </w:rPr>
        <w:t>9.5 Insolvency.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 (vii) Borrower or its directors or majority shareholders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262890</wp:posOffset>
            </wp:positionV>
            <wp:extent cx="717804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01" w:name="page202"/>
    <w:bookmarkEnd w:id="201"/>
    <w:p>
      <w:pPr>
        <w:spacing w:after="0" w:line="284" w:lineRule="auto"/>
        <w:rPr>
          <w:sz w:val="20"/>
          <w:szCs w:val="20"/>
          <w:color w:val="auto"/>
        </w:rPr>
      </w:pPr>
      <w:r>
        <w:rPr>
          <w:rFonts w:ascii="Arial" w:cs="Arial" w:eastAsia="Arial" w:hAnsi="Arial"/>
          <w:sz w:val="17"/>
          <w:szCs w:val="17"/>
          <w:color w:val="auto"/>
        </w:rPr>
        <w:t>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w:t>
      </w:r>
    </w:p>
    <w:p>
      <w:pPr>
        <w:jc w:val="both"/>
        <w:ind w:firstLine="5"/>
        <w:spacing w:after="0" w:line="288" w:lineRule="auto"/>
        <w:tabs>
          <w:tab w:leader="none" w:pos="33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50" w:lineRule="exact"/>
        <w:rPr>
          <w:sz w:val="20"/>
          <w:szCs w:val="20"/>
          <w:color w:val="auto"/>
        </w:rPr>
      </w:pPr>
    </w:p>
    <w:p>
      <w:pPr>
        <w:ind w:right="60" w:firstLine="864"/>
        <w:spacing w:after="0" w:line="252" w:lineRule="auto"/>
        <w:rPr>
          <w:sz w:val="20"/>
          <w:szCs w:val="20"/>
          <w:color w:val="auto"/>
        </w:rPr>
      </w:pPr>
      <w:r>
        <w:rPr>
          <w:rFonts w:ascii="Arial" w:cs="Arial" w:eastAsia="Arial" w:hAnsi="Arial"/>
          <w:sz w:val="19"/>
          <w:szCs w:val="19"/>
          <w:color w:val="auto"/>
        </w:rPr>
        <w:t>9.6 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$750,000 and such judgment remains unsatisfied, unvacated or unstayed for a period of forty-five (45) days after the entry thereof, or Borrower is enjoined or in any way prevented by court order from conducting any material part of its business; or</w:t>
      </w:r>
    </w:p>
    <w:p>
      <w:pPr>
        <w:spacing w:after="0" w:line="180" w:lineRule="exact"/>
        <w:rPr>
          <w:sz w:val="20"/>
          <w:szCs w:val="20"/>
          <w:color w:val="auto"/>
        </w:rPr>
      </w:pPr>
    </w:p>
    <w:p>
      <w:pPr>
        <w:ind w:right="80" w:firstLine="864"/>
        <w:spacing w:after="0" w:line="255" w:lineRule="auto"/>
        <w:rPr>
          <w:sz w:val="20"/>
          <w:szCs w:val="20"/>
          <w:color w:val="auto"/>
        </w:rPr>
      </w:pPr>
      <w:r>
        <w:rPr>
          <w:rFonts w:ascii="Arial" w:cs="Arial" w:eastAsia="Arial" w:hAnsi="Arial"/>
          <w:sz w:val="19"/>
          <w:szCs w:val="19"/>
          <w:color w:val="auto"/>
        </w:rPr>
        <w:t>9.7 Other Obligations. The occurrence of any default which has resulted in a right by the holder of such Indebtedness, whether or not exercised to accelerate the maturity of such Indebtedness under any agreement or obligation of Borrower involving any Indebtedness in excess of $500,000, or any other material agreement or obligation, if a Material Adverse Effect could reasonably be expected to result from such default; or</w:t>
      </w:r>
    </w:p>
    <w:p>
      <w:pPr>
        <w:spacing w:after="0" w:line="175" w:lineRule="exact"/>
        <w:rPr>
          <w:sz w:val="20"/>
          <w:szCs w:val="20"/>
          <w:color w:val="auto"/>
        </w:rPr>
      </w:pPr>
    </w:p>
    <w:p>
      <w:pPr>
        <w:ind w:right="60" w:firstLine="864"/>
        <w:spacing w:after="0" w:line="255" w:lineRule="auto"/>
        <w:rPr>
          <w:sz w:val="20"/>
          <w:szCs w:val="20"/>
          <w:color w:val="auto"/>
        </w:rPr>
      </w:pPr>
      <w:r>
        <w:rPr>
          <w:rFonts w:ascii="Arial" w:cs="Arial" w:eastAsia="Arial" w:hAnsi="Arial"/>
          <w:sz w:val="19"/>
          <w:szCs w:val="19"/>
          <w:color w:val="auto"/>
        </w:rPr>
        <w:t>9.8 Stop Trade. At any time, an SEC stop trade order or NASDAQ market trading suspension of the Common Stock shall be in effect for five (5) consecutive days or five (5) days during a period of ten (10) consecutive days, excluding in all cases a suspension of all trading on a public market, provided that Borrower shall not have been able to cure such trading suspension within thirty (30) days of the notice thereof or list the Common Stock on another public market within sixty (60) days of such notice.</w:t>
      </w:r>
    </w:p>
    <w:p>
      <w:pPr>
        <w:spacing w:after="0" w:line="169" w:lineRule="exact"/>
        <w:rPr>
          <w:sz w:val="20"/>
          <w:szCs w:val="20"/>
          <w:color w:val="auto"/>
        </w:rPr>
      </w:pPr>
    </w:p>
    <w:p>
      <w:pPr>
        <w:ind w:left="4160"/>
        <w:spacing w:after="0"/>
        <w:tabs>
          <w:tab w:leader="none" w:pos="6040" w:val="left"/>
        </w:tabs>
        <w:rPr>
          <w:sz w:val="20"/>
          <w:szCs w:val="20"/>
          <w:color w:val="auto"/>
        </w:rPr>
      </w:pPr>
      <w:r>
        <w:rPr>
          <w:rFonts w:ascii="Arial" w:cs="Arial" w:eastAsia="Arial" w:hAnsi="Arial"/>
          <w:sz w:val="19"/>
          <w:szCs w:val="19"/>
          <w:b w:val="1"/>
          <w:bCs w:val="1"/>
          <w:color w:val="auto"/>
        </w:rPr>
        <w:t>SECTION 10.</w:t>
      </w:r>
      <w:r>
        <w:rPr>
          <w:sz w:val="20"/>
          <w:szCs w:val="20"/>
          <w:color w:val="auto"/>
        </w:rPr>
        <w:tab/>
      </w:r>
      <w:r>
        <w:rPr>
          <w:rFonts w:ascii="Arial" w:cs="Arial" w:eastAsia="Arial" w:hAnsi="Arial"/>
          <w:sz w:val="19"/>
          <w:szCs w:val="19"/>
          <w:b w:val="1"/>
          <w:bCs w:val="1"/>
          <w:u w:val="single" w:color="auto"/>
          <w:color w:val="auto"/>
        </w:rPr>
        <w:t>REMEDIES</w:t>
      </w:r>
    </w:p>
    <w:p>
      <w:pPr>
        <w:spacing w:after="0" w:line="221" w:lineRule="exact"/>
        <w:rPr>
          <w:sz w:val="20"/>
          <w:szCs w:val="20"/>
          <w:color w:val="auto"/>
        </w:rPr>
      </w:pPr>
    </w:p>
    <w:p>
      <w:pPr>
        <w:ind w:right="20" w:firstLine="864"/>
        <w:spacing w:after="0" w:line="283" w:lineRule="auto"/>
        <w:rPr>
          <w:sz w:val="20"/>
          <w:szCs w:val="20"/>
          <w:color w:val="auto"/>
        </w:rPr>
      </w:pPr>
      <w:r>
        <w:rPr>
          <w:rFonts w:ascii="Arial" w:cs="Arial" w:eastAsia="Arial" w:hAnsi="Arial"/>
          <w:sz w:val="17"/>
          <w:szCs w:val="17"/>
          <w:color w:val="auto"/>
        </w:rPr>
        <w:t>10.1 General. Upon the occurrence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Charges) shall automatically be accelerated and made due and payable, in each case without any further notice or act). Borrower hereby irrevocably appoints Agent as its lawful attorney-in-fact to, exercisable following the occurrence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254000</wp:posOffset>
            </wp:positionV>
            <wp:extent cx="717804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2" w:name="page203"/>
    <w:bookmarkEnd w:id="202"/>
    <w:p>
      <w:pPr>
        <w:ind w:right="40"/>
        <w:spacing w:after="0" w:line="262" w:lineRule="auto"/>
        <w:rPr>
          <w:sz w:val="20"/>
          <w:szCs w:val="20"/>
          <w:color w:val="auto"/>
        </w:rPr>
      </w:pPr>
      <w:r>
        <w:rPr>
          <w:rFonts w:ascii="Arial" w:cs="Arial" w:eastAsia="Arial" w:hAnsi="Arial"/>
          <w:sz w:val="18"/>
          <w:szCs w:val="18"/>
          <w:color w:val="auto"/>
        </w:rPr>
        <w:t>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(vi) receive, open and dispose of mail addressed to Borrower; (vii) endorse Borrower’s name on any checks, payment instruments, or other forms of payment or security; and (viii)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Upon the occurrence of any one or more Events of Default,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75" w:lineRule="exact"/>
        <w:rPr>
          <w:sz w:val="20"/>
          <w:szCs w:val="20"/>
          <w:color w:val="auto"/>
        </w:rPr>
      </w:pPr>
    </w:p>
    <w:p>
      <w:pPr>
        <w:ind w:right="40" w:firstLine="864"/>
        <w:spacing w:after="0" w:line="284" w:lineRule="auto"/>
        <w:rPr>
          <w:sz w:val="20"/>
          <w:szCs w:val="20"/>
          <w:color w:val="auto"/>
        </w:rPr>
      </w:pPr>
      <w:r>
        <w:rPr>
          <w:rFonts w:ascii="Arial" w:cs="Arial" w:eastAsia="Arial" w:hAnsi="Arial"/>
          <w:sz w:val="17"/>
          <w:szCs w:val="17"/>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55" w:lineRule="exact"/>
        <w:rPr>
          <w:sz w:val="20"/>
          <w:szCs w:val="20"/>
          <w:color w:val="auto"/>
        </w:rPr>
      </w:pPr>
    </w:p>
    <w:p>
      <w:pPr>
        <w:jc w:val="both"/>
        <w:ind w:left="1740"/>
        <w:spacing w:after="0" w:line="275" w:lineRule="auto"/>
        <w:rPr>
          <w:sz w:val="20"/>
          <w:szCs w:val="20"/>
          <w:color w:val="auto"/>
        </w:rPr>
      </w:pPr>
      <w:r>
        <w:rPr>
          <w:rFonts w:ascii="Arial" w:cs="Arial" w:eastAsia="Arial" w:hAnsi="Arial"/>
          <w:sz w:val="19"/>
          <w:szCs w:val="19"/>
          <w:color w:val="auto"/>
        </w:rPr>
        <w:t>First, to Agent and the Lenders in an amount sufficient to pay in full Agent’s and the Lenders’ reasonable costs and professionals’ and advisors’ fees and expenses as described in Section 11.12;</w:t>
      </w:r>
    </w:p>
    <w:p>
      <w:pPr>
        <w:spacing w:after="0" w:line="156" w:lineRule="exact"/>
        <w:rPr>
          <w:sz w:val="20"/>
          <w:szCs w:val="20"/>
          <w:color w:val="auto"/>
        </w:rPr>
      </w:pPr>
    </w:p>
    <w:p>
      <w:pPr>
        <w:jc w:val="both"/>
        <w:ind w:left="1740"/>
        <w:spacing w:after="0" w:line="303" w:lineRule="auto"/>
        <w:rPr>
          <w:sz w:val="20"/>
          <w:szCs w:val="20"/>
          <w:color w:val="auto"/>
        </w:rPr>
      </w:pPr>
      <w:r>
        <w:rPr>
          <w:rFonts w:ascii="Arial" w:cs="Arial" w:eastAsia="Arial" w:hAnsi="Arial"/>
          <w:sz w:val="18"/>
          <w:szCs w:val="18"/>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135" w:lineRule="exact"/>
        <w:rPr>
          <w:sz w:val="20"/>
          <w:szCs w:val="20"/>
          <w:color w:val="auto"/>
        </w:rPr>
      </w:pPr>
    </w:p>
    <w:p>
      <w:pPr>
        <w:jc w:val="both"/>
        <w:ind w:left="1740"/>
        <w:spacing w:after="0" w:line="260" w:lineRule="auto"/>
        <w:rPr>
          <w:sz w:val="20"/>
          <w:szCs w:val="20"/>
          <w:color w:val="auto"/>
        </w:rPr>
      </w:pPr>
      <w:r>
        <w:rPr>
          <w:rFonts w:ascii="Arial" w:cs="Arial" w:eastAsia="Arial" w:hAnsi="Arial"/>
          <w:sz w:val="19"/>
          <w:szCs w:val="19"/>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71" w:lineRule="exact"/>
        <w:rPr>
          <w:sz w:val="20"/>
          <w:szCs w:val="20"/>
          <w:color w:val="auto"/>
        </w:rPr>
      </w:pPr>
    </w:p>
    <w:p>
      <w:pPr>
        <w:ind w:right="560"/>
        <w:spacing w:after="0" w:line="254" w:lineRule="auto"/>
        <w:rPr>
          <w:sz w:val="20"/>
          <w:szCs w:val="20"/>
          <w:color w:val="auto"/>
        </w:rPr>
      </w:pPr>
      <w:r>
        <w:rPr>
          <w:rFonts w:ascii="Arial" w:cs="Arial" w:eastAsia="Arial" w:hAnsi="Arial"/>
          <w:sz w:val="19"/>
          <w:szCs w:val="19"/>
          <w:color w:val="auto"/>
        </w:rPr>
        <w:t>Agent shall be deemed to have acted reasonably in the custody, preservation and disposition of any of the Collateral if it complies with the obligations of a secured party under the UCC.</w:t>
      </w:r>
    </w:p>
    <w:p>
      <w:pPr>
        <w:ind w:right="500" w:firstLine="864"/>
        <w:spacing w:after="0" w:line="257" w:lineRule="auto"/>
        <w:rPr>
          <w:sz w:val="20"/>
          <w:szCs w:val="20"/>
          <w:color w:val="auto"/>
        </w:rPr>
      </w:pPr>
      <w:r>
        <w:rPr>
          <w:rFonts w:ascii="Arial" w:cs="Arial" w:eastAsia="Arial" w:hAnsi="Arial"/>
          <w:sz w:val="19"/>
          <w:szCs w:val="19"/>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73" w:lineRule="exact"/>
        <w:rPr>
          <w:sz w:val="20"/>
          <w:szCs w:val="20"/>
          <w:color w:val="auto"/>
        </w:rPr>
      </w:pPr>
    </w:p>
    <w:p>
      <w:pPr>
        <w:ind w:right="400" w:firstLine="864"/>
        <w:spacing w:after="0" w:line="275" w:lineRule="auto"/>
        <w:rPr>
          <w:sz w:val="20"/>
          <w:szCs w:val="20"/>
          <w:color w:val="auto"/>
        </w:rPr>
      </w:pPr>
      <w:r>
        <w:rPr>
          <w:rFonts w:ascii="Arial" w:cs="Arial" w:eastAsia="Arial" w:hAnsi="Arial"/>
          <w:sz w:val="19"/>
          <w:szCs w:val="19"/>
          <w:color w:val="auto"/>
        </w:rPr>
        <w:t>10.4 Cumulative Remedies. The rights, powers and remedies of Agent hereunder shall be in addition to all rights, powers and remedies given by statute or rule of law and are cumulative.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255905</wp:posOffset>
            </wp:positionV>
            <wp:extent cx="717804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3" w:name="page204"/>
    <w:bookmarkEnd w:id="203"/>
    <w:p>
      <w:pPr>
        <w:ind w:right="20"/>
        <w:spacing w:after="0" w:line="275" w:lineRule="auto"/>
        <w:rPr>
          <w:sz w:val="20"/>
          <w:szCs w:val="20"/>
          <w:color w:val="auto"/>
        </w:rPr>
      </w:pPr>
      <w:r>
        <w:rPr>
          <w:rFonts w:ascii="Arial" w:cs="Arial" w:eastAsia="Arial" w:hAnsi="Arial"/>
          <w:sz w:val="19"/>
          <w:szCs w:val="19"/>
          <w:color w:val="auto"/>
        </w:rPr>
        <w:t>exercise of any one or more of the rights, powers and remedies provided herein shall not be construed as a waiver of or election of remedies with respect to any other rights, powers and remedies of Agent.</w:t>
      </w:r>
    </w:p>
    <w:p>
      <w:pPr>
        <w:spacing w:after="0" w:line="150" w:lineRule="exact"/>
        <w:rPr>
          <w:sz w:val="20"/>
          <w:szCs w:val="20"/>
          <w:color w:val="auto"/>
        </w:rPr>
      </w:pPr>
    </w:p>
    <w:p>
      <w:pPr>
        <w:ind w:left="3840"/>
        <w:spacing w:after="0"/>
        <w:tabs>
          <w:tab w:leader="none" w:pos="5700" w:val="left"/>
        </w:tabs>
        <w:rPr>
          <w:sz w:val="20"/>
          <w:szCs w:val="20"/>
          <w:color w:val="auto"/>
        </w:rPr>
      </w:pPr>
      <w:r>
        <w:rPr>
          <w:rFonts w:ascii="Arial" w:cs="Arial" w:eastAsia="Arial" w:hAnsi="Arial"/>
          <w:sz w:val="19"/>
          <w:szCs w:val="19"/>
          <w:b w:val="1"/>
          <w:bCs w:val="1"/>
          <w:color w:val="auto"/>
        </w:rPr>
        <w:t>SECTION 11.</w:t>
      </w:r>
      <w:r>
        <w:rPr>
          <w:sz w:val="20"/>
          <w:szCs w:val="20"/>
          <w:color w:val="auto"/>
        </w:rPr>
        <w:tab/>
      </w:r>
      <w:r>
        <w:rPr>
          <w:rFonts w:ascii="Arial" w:cs="Arial" w:eastAsia="Arial" w:hAnsi="Arial"/>
          <w:sz w:val="19"/>
          <w:szCs w:val="19"/>
          <w:b w:val="1"/>
          <w:bCs w:val="1"/>
          <w:u w:val="single" w:color="auto"/>
          <w:color w:val="auto"/>
        </w:rPr>
        <w:t>MISCELLANEOUS</w:t>
      </w:r>
    </w:p>
    <w:p>
      <w:pPr>
        <w:spacing w:after="0" w:line="221" w:lineRule="exact"/>
        <w:rPr>
          <w:sz w:val="20"/>
          <w:szCs w:val="20"/>
          <w:color w:val="auto"/>
        </w:rPr>
      </w:pPr>
    </w:p>
    <w:p>
      <w:pPr>
        <w:ind w:firstLine="864"/>
        <w:spacing w:after="0" w:line="255" w:lineRule="auto"/>
        <w:rPr>
          <w:sz w:val="20"/>
          <w:szCs w:val="20"/>
          <w:color w:val="auto"/>
        </w:rPr>
      </w:pPr>
      <w:r>
        <w:rPr>
          <w:rFonts w:ascii="Arial" w:cs="Arial" w:eastAsia="Arial" w:hAnsi="Arial"/>
          <w:sz w:val="19"/>
          <w:szCs w:val="19"/>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75" w:lineRule="exact"/>
        <w:rPr>
          <w:sz w:val="20"/>
          <w:szCs w:val="20"/>
          <w:color w:val="auto"/>
        </w:rPr>
      </w:pPr>
    </w:p>
    <w:p>
      <w:pPr>
        <w:ind w:right="60" w:firstLine="864"/>
        <w:spacing w:after="0" w:line="251" w:lineRule="auto"/>
        <w:rPr>
          <w:sz w:val="20"/>
          <w:szCs w:val="20"/>
          <w:color w:val="auto"/>
        </w:rPr>
      </w:pPr>
      <w:r>
        <w:rPr>
          <w:rFonts w:ascii="Arial" w:cs="Arial" w:eastAsia="Arial" w:hAnsi="Arial"/>
          <w:sz w:val="19"/>
          <w:szCs w:val="19"/>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80" w:lineRule="exact"/>
        <w:rPr>
          <w:sz w:val="20"/>
          <w:szCs w:val="20"/>
          <w:color w:val="auto"/>
        </w:rPr>
      </w:pPr>
    </w:p>
    <w:p>
      <w:pPr>
        <w:ind w:left="2260" w:hanging="527"/>
        <w:spacing w:after="0"/>
        <w:tabs>
          <w:tab w:leader="none" w:pos="22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to Agent:</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HERCULES CAPITAL, INC.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Legal Department</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Attention: Chief Legal Officer and Janice Bourque</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400 Hamilton Avenue, Suite 310</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Palo Alto, CA 94301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XXXXX</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Telephone: XXXXX</w:t>
      </w:r>
    </w:p>
    <w:p>
      <w:pPr>
        <w:spacing w:after="0" w:line="199" w:lineRule="exact"/>
        <w:rPr>
          <w:sz w:val="20"/>
          <w:szCs w:val="20"/>
          <w:color w:val="auto"/>
        </w:rPr>
      </w:pPr>
    </w:p>
    <w:p>
      <w:pPr>
        <w:ind w:left="2280" w:hanging="547"/>
        <w:spacing w:after="0"/>
        <w:tabs>
          <w:tab w:leader="none" w:pos="22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to the Lenders:</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HERCULES CAPITAL, INC.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Legal Department</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Attention: Chief Legal Officer and Janice Bourque</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400 Hamilton Avenue, Suite 310</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Palo Alto, CA 94301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XXXXX</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Telephone: XXXXX</w:t>
      </w:r>
    </w:p>
    <w:p>
      <w:pPr>
        <w:spacing w:after="0" w:line="199" w:lineRule="exact"/>
        <w:rPr>
          <w:sz w:val="20"/>
          <w:szCs w:val="20"/>
          <w:color w:val="auto"/>
        </w:rPr>
      </w:pPr>
    </w:p>
    <w:p>
      <w:pPr>
        <w:ind w:left="2260" w:hanging="527"/>
        <w:spacing w:after="0"/>
        <w:tabs>
          <w:tab w:leader="none" w:pos="22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to Borrower:</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SYNDAX PHARMACEUTICALS, INC.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Attention: General Counsel</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35 Gatehouse Drive</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Building D, Floor 3</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Waltham, MA 02451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email: XXXXX</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Telephone: XXXXX</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or to such other address as each party may designate for itself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293370</wp:posOffset>
            </wp:positionV>
            <wp:extent cx="717804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04" w:name="page205"/>
    <w:bookmarkEnd w:id="204"/>
    <w:p>
      <w:pPr>
        <w:ind w:left="860"/>
        <w:spacing w:after="0"/>
        <w:tabs>
          <w:tab w:leader="none" w:pos="150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7"/>
          <w:szCs w:val="17"/>
          <w:color w:val="auto"/>
        </w:rPr>
        <w:t>Entire Agreement; Amendments.</w:t>
      </w:r>
    </w:p>
    <w:p>
      <w:pPr>
        <w:spacing w:after="0" w:line="215" w:lineRule="exact"/>
        <w:rPr>
          <w:sz w:val="20"/>
          <w:szCs w:val="20"/>
          <w:color w:val="auto"/>
        </w:rPr>
      </w:pPr>
    </w:p>
    <w:p>
      <w:pPr>
        <w:ind w:right="380" w:firstLine="1733"/>
        <w:spacing w:after="0" w:line="294" w:lineRule="auto"/>
        <w:tabs>
          <w:tab w:leader="none" w:pos="225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December 6, 2019 and the Non-Disclosure Agreement).</w:t>
      </w:r>
    </w:p>
    <w:p>
      <w:pPr>
        <w:spacing w:after="0" w:line="146" w:lineRule="exact"/>
        <w:rPr>
          <w:rFonts w:ascii="Arial" w:cs="Arial" w:eastAsia="Arial" w:hAnsi="Arial"/>
          <w:sz w:val="17"/>
          <w:szCs w:val="17"/>
          <w:color w:val="auto"/>
        </w:rPr>
      </w:pPr>
    </w:p>
    <w:p>
      <w:pPr>
        <w:ind w:firstLine="1733"/>
        <w:spacing w:after="0" w:line="261" w:lineRule="auto"/>
        <w:tabs>
          <w:tab w:leader="none" w:pos="22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w:t>
      </w:r>
    </w:p>
    <w:p>
      <w:pPr>
        <w:spacing w:after="0" w:line="182" w:lineRule="exact"/>
        <w:rPr>
          <w:sz w:val="20"/>
          <w:szCs w:val="20"/>
          <w:color w:val="auto"/>
        </w:rPr>
      </w:pPr>
    </w:p>
    <w:p>
      <w:pPr>
        <w:jc w:val="both"/>
        <w:ind w:right="120" w:firstLine="864"/>
        <w:spacing w:after="0" w:line="305" w:lineRule="auto"/>
        <w:rPr>
          <w:sz w:val="20"/>
          <w:szCs w:val="20"/>
          <w:color w:val="auto"/>
        </w:rPr>
      </w:pPr>
      <w:r>
        <w:rPr>
          <w:rFonts w:ascii="Arial" w:cs="Arial" w:eastAsia="Arial" w:hAnsi="Arial"/>
          <w:sz w:val="17"/>
          <w:szCs w:val="17"/>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35" w:lineRule="exact"/>
        <w:rPr>
          <w:sz w:val="20"/>
          <w:szCs w:val="20"/>
          <w:color w:val="auto"/>
        </w:rPr>
      </w:pPr>
    </w:p>
    <w:p>
      <w:pPr>
        <w:ind w:right="140" w:firstLine="864"/>
        <w:spacing w:after="0" w:line="289" w:lineRule="auto"/>
        <w:rPr>
          <w:sz w:val="20"/>
          <w:szCs w:val="20"/>
          <w:color w:val="auto"/>
        </w:rPr>
      </w:pPr>
      <w:r>
        <w:rPr>
          <w:rFonts w:ascii="Arial" w:cs="Arial" w:eastAsia="Arial" w:hAnsi="Arial"/>
          <w:sz w:val="17"/>
          <w:szCs w:val="17"/>
          <w:color w:val="auto"/>
        </w:rPr>
        <w:t>11.5 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51" w:lineRule="exact"/>
        <w:rPr>
          <w:sz w:val="20"/>
          <w:szCs w:val="20"/>
          <w:color w:val="auto"/>
        </w:rPr>
      </w:pPr>
    </w:p>
    <w:p>
      <w:pPr>
        <w:ind w:right="120" w:firstLine="864"/>
        <w:spacing w:after="0" w:line="260" w:lineRule="auto"/>
        <w:rPr>
          <w:sz w:val="20"/>
          <w:szCs w:val="20"/>
          <w:color w:val="auto"/>
        </w:rPr>
      </w:pPr>
      <w:r>
        <w:rPr>
          <w:rFonts w:ascii="Arial" w:cs="Arial" w:eastAsia="Arial" w:hAnsi="Arial"/>
          <w:sz w:val="19"/>
          <w:szCs w:val="19"/>
          <w:color w:val="auto"/>
        </w:rPr>
        <w:t>11.6 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11.14, 11.15 and 11.17 shall survive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5" w:name="page206"/>
    <w:bookmarkEnd w:id="205"/>
    <w:p>
      <w:pPr>
        <w:ind w:right="60" w:firstLine="864"/>
        <w:spacing w:after="0" w:line="277" w:lineRule="auto"/>
        <w:rPr>
          <w:sz w:val="20"/>
          <w:szCs w:val="20"/>
          <w:color w:val="auto"/>
        </w:rPr>
      </w:pPr>
      <w:r>
        <w:rPr>
          <w:rFonts w:ascii="Arial" w:cs="Arial" w:eastAsia="Arial" w:hAnsi="Arial"/>
          <w:sz w:val="17"/>
          <w:szCs w:val="17"/>
          <w:color w:val="auto"/>
        </w:rPr>
        <w:t>11.7 Successors and Assigns.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assign, transfer, or endorse its rights hereunder and under the other Loan Documents without prior notice to Borrower,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(as reasonably determined by Agent),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0" w:lineRule="exact"/>
        <w:rPr>
          <w:sz w:val="20"/>
          <w:szCs w:val="20"/>
          <w:color w:val="auto"/>
        </w:rPr>
      </w:pPr>
    </w:p>
    <w:p>
      <w:pPr>
        <w:ind w:firstLine="864"/>
        <w:spacing w:after="0" w:line="262" w:lineRule="auto"/>
        <w:rPr>
          <w:sz w:val="20"/>
          <w:szCs w:val="20"/>
          <w:color w:val="auto"/>
        </w:rPr>
      </w:pPr>
      <w:r>
        <w:rPr>
          <w:rFonts w:ascii="Arial" w:cs="Arial" w:eastAsia="Arial" w:hAnsi="Arial"/>
          <w:sz w:val="18"/>
          <w:szCs w:val="18"/>
          <w:color w:val="auto"/>
        </w:rPr>
        <w:t>11.8 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717804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6" w:name="page207"/>
    <w:bookmarkEnd w:id="206"/>
    <w:p>
      <w:pPr>
        <w:jc w:val="both"/>
        <w:ind w:right="80"/>
        <w:spacing w:after="0" w:line="260" w:lineRule="auto"/>
        <w:rPr>
          <w:sz w:val="20"/>
          <w:szCs w:val="20"/>
          <w:color w:val="auto"/>
        </w:rPr>
      </w:pPr>
      <w:r>
        <w:rPr>
          <w:rFonts w:ascii="Arial" w:cs="Arial" w:eastAsia="Arial" w:hAnsi="Arial"/>
          <w:sz w:val="19"/>
          <w:szCs w:val="19"/>
          <w:color w:val="auto"/>
        </w:rPr>
        <w:t>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71" w:lineRule="exact"/>
        <w:rPr>
          <w:sz w:val="20"/>
          <w:szCs w:val="20"/>
          <w:color w:val="auto"/>
        </w:rPr>
      </w:pPr>
    </w:p>
    <w:p>
      <w:pPr>
        <w:ind w:right="100" w:firstLine="864"/>
        <w:spacing w:after="0" w:line="252" w:lineRule="auto"/>
        <w:rPr>
          <w:sz w:val="20"/>
          <w:szCs w:val="20"/>
          <w:color w:val="auto"/>
        </w:rPr>
      </w:pPr>
      <w:r>
        <w:rPr>
          <w:rFonts w:ascii="Arial" w:cs="Arial" w:eastAsia="Arial" w:hAnsi="Arial"/>
          <w:sz w:val="19"/>
          <w:szCs w:val="19"/>
          <w:color w:val="auto"/>
        </w:rPr>
        <w:t>11.9 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80" w:lineRule="exact"/>
        <w:rPr>
          <w:sz w:val="20"/>
          <w:szCs w:val="20"/>
          <w:color w:val="auto"/>
        </w:rPr>
      </w:pPr>
    </w:p>
    <w:p>
      <w:pPr>
        <w:ind w:right="80" w:firstLine="864"/>
        <w:spacing w:after="0" w:line="248" w:lineRule="auto"/>
        <w:rPr>
          <w:sz w:val="20"/>
          <w:szCs w:val="20"/>
          <w:color w:val="auto"/>
        </w:rPr>
      </w:pPr>
      <w:r>
        <w:rPr>
          <w:rFonts w:ascii="Arial" w:cs="Arial" w:eastAsia="Arial" w:hAnsi="Arial"/>
          <w:sz w:val="19"/>
          <w:szCs w:val="19"/>
          <w:color w:val="auto"/>
        </w:rPr>
        <w:t>11.10 Consent to Jurisdiction and Venue. All judicial proceedings (to the extent that the reference requirement of Section 11.10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87"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7"/>
          <w:szCs w:val="17"/>
          <w:color w:val="auto"/>
        </w:rPr>
        <w:t>Mutual Waiver of Jury Trial / Judicial Reference.</w:t>
      </w:r>
    </w:p>
    <w:p>
      <w:pPr>
        <w:spacing w:after="0" w:line="215" w:lineRule="exact"/>
        <w:rPr>
          <w:sz w:val="20"/>
          <w:szCs w:val="20"/>
          <w:color w:val="auto"/>
        </w:rPr>
      </w:pPr>
    </w:p>
    <w:p>
      <w:pPr>
        <w:ind w:right="100" w:firstLine="1733"/>
        <w:spacing w:after="0" w:line="248" w:lineRule="auto"/>
        <w:tabs>
          <w:tab w:leader="none" w:pos="225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86" w:lineRule="exact"/>
        <w:rPr>
          <w:rFonts w:ascii="Arial" w:cs="Arial" w:eastAsia="Arial" w:hAnsi="Arial"/>
          <w:sz w:val="19"/>
          <w:szCs w:val="19"/>
          <w:color w:val="auto"/>
        </w:rPr>
      </w:pPr>
    </w:p>
    <w:p>
      <w:pPr>
        <w:ind w:firstLine="1733"/>
        <w:spacing w:after="0" w:line="294" w:lineRule="auto"/>
        <w:tabs>
          <w:tab w:leader="none" w:pos="226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the waiver of jury trial set forth in Section 11.10(a)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46" w:lineRule="exact"/>
        <w:rPr>
          <w:rFonts w:ascii="Arial" w:cs="Arial" w:eastAsia="Arial" w:hAnsi="Arial"/>
          <w:sz w:val="17"/>
          <w:szCs w:val="17"/>
          <w:color w:val="auto"/>
        </w:rPr>
      </w:pPr>
    </w:p>
    <w:p>
      <w:pPr>
        <w:ind w:right="80" w:firstLine="1733"/>
        <w:spacing w:after="0" w:line="275" w:lineRule="auto"/>
        <w:tabs>
          <w:tab w:leader="none" w:pos="225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the event Claims are to be resolved by judicial reference, either party may seek from a court identified in Section 11.11, any prejudgment order, writ or other relief and have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255905</wp:posOffset>
            </wp:positionV>
            <wp:extent cx="717804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7" w:name="page208"/>
    <w:bookmarkEnd w:id="207"/>
    <w:p>
      <w:pPr>
        <w:ind w:right="360"/>
        <w:spacing w:after="0" w:line="275" w:lineRule="auto"/>
        <w:rPr>
          <w:sz w:val="20"/>
          <w:szCs w:val="20"/>
          <w:color w:val="auto"/>
        </w:rPr>
      </w:pPr>
      <w:r>
        <w:rPr>
          <w:rFonts w:ascii="Arial" w:cs="Arial" w:eastAsia="Arial" w:hAnsi="Arial"/>
          <w:sz w:val="19"/>
          <w:szCs w:val="19"/>
          <w:color w:val="auto"/>
        </w:rPr>
        <w:t>prejudgment order, writ or other relief enforced to the fullest extent permitted by law notwithstanding that all Claims are otherwise subject to resolution by judicial reference.</w:t>
      </w:r>
    </w:p>
    <w:p>
      <w:pPr>
        <w:spacing w:after="0" w:line="156" w:lineRule="exact"/>
        <w:rPr>
          <w:sz w:val="20"/>
          <w:szCs w:val="20"/>
          <w:color w:val="auto"/>
        </w:rPr>
      </w:pPr>
    </w:p>
    <w:p>
      <w:pPr>
        <w:ind w:right="160" w:firstLine="864"/>
        <w:spacing w:after="0" w:line="278" w:lineRule="auto"/>
        <w:rPr>
          <w:sz w:val="20"/>
          <w:szCs w:val="20"/>
          <w:color w:val="auto"/>
        </w:rPr>
      </w:pPr>
      <w:r>
        <w:rPr>
          <w:rFonts w:ascii="Arial" w:cs="Arial" w:eastAsia="Arial" w:hAnsi="Arial"/>
          <w:sz w:val="17"/>
          <w:szCs w:val="17"/>
          <w:color w:val="auto"/>
        </w:rPr>
        <w:t>11.12 Professional Fees. Borrower promises to pay Agent’s and the Lenders’ reasonable and documented out-of-pocket fees and expenses necessary to finalize the loan documentation, including but not limited to reasonable and documented attorneys’ fees, UCC searches, filing costs, and other miscellaneous expenses. In addition, Borrower promises to pay any and all reasonable and documented out-of-pocket attorneys’ and other professionals’ fees and expenses incurred by Agent and the Lenders after the Closing Date in connection with or related to: (a) the Loan; (b) the administration, collection, or enforcement of the Loan; (c) the amendment or modification of the Loan Documents;</w:t>
      </w:r>
    </w:p>
    <w:p>
      <w:pPr>
        <w:spacing w:after="0" w:line="1" w:lineRule="exact"/>
        <w:rPr>
          <w:sz w:val="20"/>
          <w:szCs w:val="20"/>
          <w:color w:val="auto"/>
        </w:rPr>
      </w:pPr>
    </w:p>
    <w:p>
      <w:pPr>
        <w:ind w:right="180" w:firstLine="5"/>
        <w:spacing w:after="0" w:line="264" w:lineRule="auto"/>
        <w:tabs>
          <w:tab w:leader="none" w:pos="2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69" w:lineRule="exact"/>
        <w:rPr>
          <w:sz w:val="20"/>
          <w:szCs w:val="20"/>
          <w:color w:val="auto"/>
        </w:rPr>
      </w:pPr>
    </w:p>
    <w:p>
      <w:pPr>
        <w:ind w:firstLine="864"/>
        <w:spacing w:after="0" w:line="261" w:lineRule="auto"/>
        <w:rPr>
          <w:sz w:val="20"/>
          <w:szCs w:val="20"/>
          <w:color w:val="auto"/>
        </w:rPr>
      </w:pPr>
      <w:r>
        <w:rPr>
          <w:rFonts w:ascii="Arial" w:cs="Arial" w:eastAsia="Arial" w:hAnsi="Arial"/>
          <w:sz w:val="18"/>
          <w:szCs w:val="18"/>
          <w:color w:val="auto"/>
        </w:rPr>
        <w:t>11.13 Confidentiality. Agent and the Lenders acknowledge that certain items of Collateral and information provided to Agent and the Lenders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and, at a minimum, are at least as protective as those set forth in this Agreement; (b) if such information is generally available to the public at the time it was disclosed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that reasonably protect against the disclosure of Confidential Information; (h) otherwise to the extent consisting of general portfolio information that does not identify Borrower; (i) to any investor or potential investor (and each of their respective Affiliates or clients) in the Agent or Lender (or each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7804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8" w:name="page209"/>
    <w:bookmarkEnd w:id="208"/>
    <w:p>
      <w:pPr>
        <w:spacing w:after="0" w:line="251" w:lineRule="auto"/>
        <w:rPr>
          <w:sz w:val="20"/>
          <w:szCs w:val="20"/>
          <w:color w:val="auto"/>
        </w:rPr>
      </w:pPr>
      <w:r>
        <w:rPr>
          <w:rFonts w:ascii="Arial" w:cs="Arial" w:eastAsia="Arial" w:hAnsi="Arial"/>
          <w:sz w:val="19"/>
          <w:szCs w:val="19"/>
          <w:color w:val="auto"/>
        </w:rPr>
        <w:t>respective Affiliates); provided that such investor, potential investor, Affiliate or client either (i) agrees to be bound by the confidentiality provisions of this paragraph or (ii) is otherwise subject to confidentiality restrictions that reasonably protect against the disclosure of Confidential Information and, at a minimum, are at least as protective as those set forth in this Agreements; or (j)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80" w:lineRule="exact"/>
        <w:rPr>
          <w:sz w:val="20"/>
          <w:szCs w:val="20"/>
          <w:color w:val="auto"/>
        </w:rPr>
      </w:pPr>
    </w:p>
    <w:p>
      <w:pPr>
        <w:ind w:right="40" w:firstLine="864"/>
        <w:spacing w:after="0" w:line="265" w:lineRule="auto"/>
        <w:rPr>
          <w:sz w:val="20"/>
          <w:szCs w:val="20"/>
          <w:color w:val="auto"/>
        </w:rPr>
      </w:pPr>
      <w:r>
        <w:rPr>
          <w:rFonts w:ascii="Arial" w:cs="Arial" w:eastAsia="Arial" w:hAnsi="Arial"/>
          <w:sz w:val="18"/>
          <w:szCs w:val="18"/>
          <w:color w:val="auto"/>
        </w:rPr>
        <w:t>11.14 Assignment of Rights. Borrower acknowledges and understands that Agent or the Lenders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the Lenders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69"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11.15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73" w:lineRule="exact"/>
        <w:rPr>
          <w:sz w:val="20"/>
          <w:szCs w:val="20"/>
          <w:color w:val="auto"/>
        </w:rPr>
      </w:pPr>
    </w:p>
    <w:p>
      <w:pPr>
        <w:ind w:right="20" w:firstLine="864"/>
        <w:spacing w:after="0" w:line="260" w:lineRule="auto"/>
        <w:rPr>
          <w:sz w:val="20"/>
          <w:szCs w:val="20"/>
          <w:color w:val="auto"/>
        </w:rPr>
      </w:pPr>
      <w:r>
        <w:rPr>
          <w:rFonts w:ascii="Arial" w:cs="Arial" w:eastAsia="Arial" w:hAnsi="Arial"/>
          <w:sz w:val="19"/>
          <w:szCs w:val="19"/>
          <w:color w:val="auto"/>
        </w:rPr>
        <w:t>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71" w:lineRule="exact"/>
        <w:rPr>
          <w:sz w:val="20"/>
          <w:szCs w:val="20"/>
          <w:color w:val="auto"/>
        </w:rPr>
      </w:pPr>
    </w:p>
    <w:p>
      <w:pPr>
        <w:ind w:right="240" w:firstLine="864"/>
        <w:spacing w:after="0" w:line="255" w:lineRule="auto"/>
        <w:rPr>
          <w:sz w:val="20"/>
          <w:szCs w:val="20"/>
          <w:color w:val="auto"/>
        </w:rPr>
      </w:pPr>
      <w:r>
        <w:rPr>
          <w:rFonts w:ascii="Arial" w:cs="Arial" w:eastAsia="Arial" w:hAnsi="Arial"/>
          <w:sz w:val="19"/>
          <w:szCs w:val="19"/>
          <w:color w:val="auto"/>
        </w:rPr>
        <w:t>11.17 No Third 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75" w:lineRule="exact"/>
        <w:rPr>
          <w:sz w:val="20"/>
          <w:szCs w:val="20"/>
          <w:color w:val="auto"/>
        </w:rPr>
      </w:pPr>
    </w:p>
    <w:p>
      <w:pPr>
        <w:ind w:right="1280" w:firstLine="864"/>
        <w:spacing w:after="0" w:line="303" w:lineRule="auto"/>
        <w:rPr>
          <w:sz w:val="20"/>
          <w:szCs w:val="20"/>
          <w:color w:val="auto"/>
        </w:rPr>
      </w:pPr>
      <w:r>
        <w:rPr>
          <w:rFonts w:ascii="Arial" w:cs="Arial" w:eastAsia="Arial" w:hAnsi="Arial"/>
          <w:sz w:val="18"/>
          <w:szCs w:val="18"/>
          <w:color w:val="auto"/>
        </w:rPr>
        <w:t>11.18 Agency. Agent and each Lender hereby agree to the terms and conditions set forth on Addendum 3 attached hereto. Borrower acknowledges and agrees to the terms and conditions set forth on Addendum 3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241935</wp:posOffset>
            </wp:positionV>
            <wp:extent cx="717804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9" w:name="page210"/>
    <w:bookmarkEnd w:id="209"/>
    <w:p>
      <w:pPr>
        <w:ind w:right="20" w:firstLine="864"/>
        <w:spacing w:after="0" w:line="264" w:lineRule="auto"/>
        <w:rPr>
          <w:sz w:val="20"/>
          <w:szCs w:val="20"/>
          <w:color w:val="auto"/>
        </w:rPr>
      </w:pPr>
      <w:r>
        <w:rPr>
          <w:rFonts w:ascii="Arial" w:cs="Arial" w:eastAsia="Arial" w:hAnsi="Arial"/>
          <w:sz w:val="18"/>
          <w:szCs w:val="18"/>
          <w:color w:val="auto"/>
        </w:rPr>
        <w:t>11.19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website, separately or together, in written and oral presentations, advertising, promotional and marketing materials, client lists, public relations materials or on its website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72"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9"/>
          <w:szCs w:val="19"/>
          <w:color w:val="auto"/>
        </w:rPr>
        <w:t>11.20</w:t>
      </w:r>
      <w:r>
        <w:rPr>
          <w:sz w:val="20"/>
          <w:szCs w:val="20"/>
          <w:color w:val="auto"/>
        </w:rPr>
        <w:tab/>
      </w:r>
      <w:r>
        <w:rPr>
          <w:rFonts w:ascii="Arial" w:cs="Arial" w:eastAsia="Arial" w:hAnsi="Arial"/>
          <w:sz w:val="17"/>
          <w:szCs w:val="17"/>
          <w:color w:val="auto"/>
        </w:rPr>
        <w:t>Multiple Borrowers. Each Borrower hereby agrees to the terms and conditions set forth on Addendum 4 attached hereto.</w:t>
      </w:r>
    </w:p>
    <w:p>
      <w:pPr>
        <w:spacing w:after="0" w:line="215" w:lineRule="exact"/>
        <w:rPr>
          <w:sz w:val="20"/>
          <w:szCs w:val="20"/>
          <w:color w:val="auto"/>
        </w:rPr>
      </w:pPr>
    </w:p>
    <w:p>
      <w:pPr>
        <w:ind w:firstLine="864"/>
        <w:spacing w:after="0" w:line="249" w:lineRule="auto"/>
        <w:rPr>
          <w:sz w:val="20"/>
          <w:szCs w:val="20"/>
          <w:color w:val="auto"/>
        </w:rPr>
      </w:pPr>
      <w:r>
        <w:rPr>
          <w:rFonts w:ascii="Arial" w:cs="Arial" w:eastAsia="Arial" w:hAnsi="Arial"/>
          <w:sz w:val="19"/>
          <w:szCs w:val="19"/>
          <w:color w:val="auto"/>
        </w:rPr>
        <w:t>11.21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(SIGNATURES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501650</wp:posOffset>
            </wp:positionV>
            <wp:extent cx="717804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10" w:name="page211"/>
    <w:bookmarkEnd w:id="210"/>
    <w:p>
      <w:pPr>
        <w:spacing w:after="0" w:line="275" w:lineRule="auto"/>
        <w:rPr>
          <w:sz w:val="20"/>
          <w:szCs w:val="20"/>
          <w:color w:val="auto"/>
        </w:rPr>
      </w:pPr>
      <w:r>
        <w:rPr>
          <w:rFonts w:ascii="Arial" w:cs="Arial" w:eastAsia="Arial" w:hAnsi="Arial"/>
          <w:sz w:val="19"/>
          <w:szCs w:val="19"/>
          <w:color w:val="auto"/>
        </w:rPr>
        <w:t>IN WITNESS WHEREOF, Borrower, Agent and the Lenders have duly executed and delivered this Loan and Security Agreement as of the day and year first above written.</w:t>
      </w:r>
    </w:p>
    <w:p>
      <w:pPr>
        <w:spacing w:after="0" w:line="150"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BORROWER:</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SYNDAX PHARMACEUTICALS, INC.</w:t>
      </w:r>
    </w:p>
    <w:p>
      <w:pPr>
        <w:spacing w:after="0" w:line="5" w:lineRule="exact"/>
        <w:rPr>
          <w:sz w:val="20"/>
          <w:szCs w:val="20"/>
          <w:color w:val="auto"/>
        </w:rPr>
      </w:pPr>
    </w:p>
    <w:p>
      <w:pPr>
        <w:ind w:left="5200"/>
        <w:spacing w:after="0"/>
        <w:tabs>
          <w:tab w:leader="none" w:pos="660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_______________________</w:t>
      </w:r>
    </w:p>
    <w:p>
      <w:pPr>
        <w:spacing w:after="0" w:line="5" w:lineRule="exact"/>
        <w:rPr>
          <w:sz w:val="20"/>
          <w:szCs w:val="20"/>
          <w:color w:val="auto"/>
        </w:rPr>
      </w:pPr>
    </w:p>
    <w:p>
      <w:pPr>
        <w:ind w:left="5200"/>
        <w:spacing w:after="0"/>
        <w:tabs>
          <w:tab w:leader="none" w:pos="6740" w:val="left"/>
        </w:tabs>
        <w:rPr>
          <w:sz w:val="20"/>
          <w:szCs w:val="20"/>
          <w:color w:val="auto"/>
        </w:rPr>
      </w:pPr>
      <w:r>
        <w:rPr>
          <w:rFonts w:ascii="Arial" w:cs="Arial" w:eastAsia="Arial" w:hAnsi="Arial"/>
          <w:sz w:val="19"/>
          <w:szCs w:val="19"/>
          <w:color w:val="auto"/>
        </w:rPr>
        <w:t>Print Name:</w:t>
      </w:r>
      <w:r>
        <w:rPr>
          <w:sz w:val="20"/>
          <w:szCs w:val="20"/>
          <w:color w:val="auto"/>
        </w:rPr>
        <w:tab/>
      </w:r>
      <w:r>
        <w:rPr>
          <w:rFonts w:ascii="Arial" w:cs="Arial" w:eastAsia="Arial" w:hAnsi="Arial"/>
          <w:sz w:val="17"/>
          <w:szCs w:val="17"/>
          <w:color w:val="auto"/>
        </w:rPr>
        <w:t>_______________________</w:t>
      </w:r>
    </w:p>
    <w:p>
      <w:pPr>
        <w:spacing w:after="0" w:line="5" w:lineRule="exact"/>
        <w:rPr>
          <w:sz w:val="20"/>
          <w:szCs w:val="20"/>
          <w:color w:val="auto"/>
        </w:rPr>
      </w:pPr>
    </w:p>
    <w:p>
      <w:pPr>
        <w:ind w:left="5200"/>
        <w:spacing w:after="0"/>
        <w:tabs>
          <w:tab w:leader="none" w:pos="62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(SIGNATURES CONTINUE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434975</wp:posOffset>
            </wp:positionV>
            <wp:extent cx="717804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color w:val="auto"/>
        </w:rPr>
        <w:t>Accepted in Palo Alto, California:</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AGENT:</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HERCULES CAPITAL, INC.</w:t>
      </w:r>
    </w:p>
    <w:tbl>
      <w:tblPr>
        <w:tblLayout w:type="fixed"/>
        <w:tblInd w:w="0" w:type="dxa"/>
        <w:tblCellMar>
          <w:top w:w="0" w:type="dxa"/>
          <w:left w:w="0" w:type="dxa"/>
          <w:bottom w:w="0" w:type="dxa"/>
          <w:right w:w="0" w:type="dxa"/>
        </w:tblCellMar>
      </w:tblPr>
      <w:tr>
        <w:trPr>
          <w:trHeight w:val="212"/>
        </w:trPr>
        <w:tc>
          <w:tcPr>
            <w:tcW w:w="6180" w:type="dxa"/>
            <w:vAlign w:val="bottom"/>
          </w:tcPr>
          <w:p>
            <w:pPr>
              <w:ind w:left="5200"/>
              <w:spacing w:after="0" w:line="213" w:lineRule="exact"/>
              <w:rPr>
                <w:sz w:val="20"/>
                <w:szCs w:val="20"/>
                <w:color w:val="auto"/>
              </w:rPr>
            </w:pPr>
            <w:r>
              <w:rPr>
                <w:rFonts w:ascii="Arial" w:cs="Arial" w:eastAsia="Arial" w:hAnsi="Arial"/>
                <w:sz w:val="19"/>
                <w:szCs w:val="19"/>
                <w:color w:val="auto"/>
              </w:rPr>
              <w:t>Signature:</w:t>
            </w:r>
          </w:p>
        </w:tc>
        <w:tc>
          <w:tcPr>
            <w:tcW w:w="5080" w:type="dxa"/>
            <w:vAlign w:val="bottom"/>
          </w:tcPr>
          <w:p>
            <w:pPr>
              <w:jc w:val="right"/>
              <w:ind w:right="2344"/>
              <w:spacing w:after="0" w:line="213" w:lineRule="exact"/>
              <w:rPr>
                <w:sz w:val="20"/>
                <w:szCs w:val="20"/>
                <w:color w:val="auto"/>
              </w:rPr>
            </w:pPr>
            <w:r>
              <w:rPr>
                <w:rFonts w:ascii="Arial" w:cs="Arial" w:eastAsia="Arial" w:hAnsi="Arial"/>
                <w:sz w:val="19"/>
                <w:szCs w:val="19"/>
                <w:color w:val="auto"/>
              </w:rPr>
              <w:t>_______________________</w:t>
            </w:r>
          </w:p>
        </w:tc>
      </w:tr>
      <w:tr>
        <w:trPr>
          <w:trHeight w:val="223"/>
        </w:trPr>
        <w:tc>
          <w:tcPr>
            <w:tcW w:w="6180" w:type="dxa"/>
            <w:vAlign w:val="bottom"/>
          </w:tcPr>
          <w:p>
            <w:pPr>
              <w:ind w:left="5200"/>
              <w:spacing w:after="0"/>
              <w:rPr>
                <w:sz w:val="20"/>
                <w:szCs w:val="20"/>
                <w:color w:val="auto"/>
              </w:rPr>
            </w:pPr>
            <w:r>
              <w:rPr>
                <w:rFonts w:ascii="Arial" w:cs="Arial" w:eastAsia="Arial" w:hAnsi="Arial"/>
                <w:sz w:val="19"/>
                <w:szCs w:val="19"/>
                <w:color w:val="auto"/>
                <w:w w:val="95"/>
              </w:rPr>
              <w:t>Print Name:</w:t>
            </w:r>
          </w:p>
        </w:tc>
        <w:tc>
          <w:tcPr>
            <w:tcW w:w="5080" w:type="dxa"/>
            <w:vAlign w:val="bottom"/>
          </w:tcPr>
          <w:p>
            <w:pPr>
              <w:jc w:val="right"/>
              <w:ind w:right="2184"/>
              <w:spacing w:after="0"/>
              <w:rPr>
                <w:sz w:val="20"/>
                <w:szCs w:val="20"/>
                <w:color w:val="auto"/>
              </w:rPr>
            </w:pPr>
            <w:r>
              <w:rPr>
                <w:rFonts w:ascii="Arial" w:cs="Arial" w:eastAsia="Arial" w:hAnsi="Arial"/>
                <w:sz w:val="19"/>
                <w:szCs w:val="19"/>
                <w:color w:val="auto"/>
              </w:rPr>
              <w:t>_______________________</w:t>
            </w:r>
          </w:p>
        </w:tc>
      </w:tr>
      <w:tr>
        <w:trPr>
          <w:trHeight w:val="217"/>
        </w:trPr>
        <w:tc>
          <w:tcPr>
            <w:tcW w:w="6180" w:type="dxa"/>
            <w:vAlign w:val="bottom"/>
          </w:tcPr>
          <w:p>
            <w:pPr>
              <w:ind w:left="5200"/>
              <w:spacing w:after="0" w:line="217" w:lineRule="exact"/>
              <w:rPr>
                <w:sz w:val="20"/>
                <w:szCs w:val="20"/>
                <w:color w:val="auto"/>
              </w:rPr>
            </w:pPr>
            <w:r>
              <w:rPr>
                <w:rFonts w:ascii="Arial" w:cs="Arial" w:eastAsia="Arial" w:hAnsi="Arial"/>
                <w:sz w:val="19"/>
                <w:szCs w:val="19"/>
                <w:color w:val="auto"/>
              </w:rPr>
              <w:t>Title:</w:t>
            </w:r>
          </w:p>
        </w:tc>
        <w:tc>
          <w:tcPr>
            <w:tcW w:w="5080" w:type="dxa"/>
            <w:vAlign w:val="bottom"/>
          </w:tcPr>
          <w:p>
            <w:pPr>
              <w:jc w:val="right"/>
              <w:ind w:right="2724"/>
              <w:spacing w:after="0" w:line="217" w:lineRule="exact"/>
              <w:rPr>
                <w:sz w:val="20"/>
                <w:szCs w:val="20"/>
                <w:color w:val="auto"/>
              </w:rPr>
            </w:pPr>
            <w:r>
              <w:rPr>
                <w:rFonts w:ascii="Arial" w:cs="Arial" w:eastAsia="Arial" w:hAnsi="Arial"/>
                <w:sz w:val="19"/>
                <w:szCs w:val="19"/>
                <w:color w:val="auto"/>
                <w:w w:val="92"/>
              </w:rPr>
              <w:t>_______________________</w:t>
            </w:r>
          </w:p>
        </w:tc>
      </w:tr>
      <w:tr>
        <w:trPr>
          <w:trHeight w:val="229"/>
        </w:trPr>
        <w:tc>
          <w:tcPr>
            <w:tcW w:w="6180" w:type="dxa"/>
            <w:vAlign w:val="bottom"/>
          </w:tcPr>
          <w:p>
            <w:pPr>
              <w:ind w:left="5200"/>
              <w:spacing w:after="0"/>
              <w:rPr>
                <w:sz w:val="20"/>
                <w:szCs w:val="20"/>
                <w:color w:val="auto"/>
              </w:rPr>
            </w:pPr>
            <w:r>
              <w:rPr>
                <w:rFonts w:ascii="Arial" w:cs="Arial" w:eastAsia="Arial" w:hAnsi="Arial"/>
                <w:sz w:val="19"/>
                <w:szCs w:val="19"/>
                <w:b w:val="1"/>
                <w:bCs w:val="1"/>
                <w:color w:val="auto"/>
              </w:rPr>
              <w:t>LENDER:</w:t>
            </w:r>
          </w:p>
        </w:tc>
        <w:tc>
          <w:tcPr>
            <w:tcW w:w="5080" w:type="dxa"/>
            <w:vAlign w:val="bottom"/>
          </w:tcPr>
          <w:p>
            <w:pPr>
              <w:spacing w:after="0"/>
              <w:rPr>
                <w:sz w:val="19"/>
                <w:szCs w:val="19"/>
                <w:color w:val="auto"/>
              </w:rPr>
            </w:pPr>
          </w:p>
        </w:tc>
      </w:tr>
      <w:tr>
        <w:trPr>
          <w:trHeight w:val="223"/>
        </w:trPr>
        <w:tc>
          <w:tcPr>
            <w:tcW w:w="11260" w:type="dxa"/>
            <w:vAlign w:val="bottom"/>
            <w:gridSpan w:val="2"/>
          </w:tcPr>
          <w:p>
            <w:pPr>
              <w:ind w:left="5200"/>
              <w:spacing w:after="0"/>
              <w:rPr>
                <w:sz w:val="20"/>
                <w:szCs w:val="20"/>
                <w:color w:val="auto"/>
              </w:rPr>
            </w:pPr>
            <w:r>
              <w:rPr>
                <w:rFonts w:ascii="Arial" w:cs="Arial" w:eastAsia="Arial" w:hAnsi="Arial"/>
                <w:sz w:val="19"/>
                <w:szCs w:val="19"/>
                <w:color w:val="auto"/>
              </w:rPr>
              <w:t>HERCULES CAPITAL, INC.</w:t>
            </w:r>
          </w:p>
        </w:tc>
      </w:tr>
      <w:tr>
        <w:trPr>
          <w:trHeight w:val="223"/>
        </w:trPr>
        <w:tc>
          <w:tcPr>
            <w:tcW w:w="6180" w:type="dxa"/>
            <w:vAlign w:val="bottom"/>
          </w:tcPr>
          <w:p>
            <w:pPr>
              <w:ind w:left="5200"/>
              <w:spacing w:after="0"/>
              <w:rPr>
                <w:sz w:val="20"/>
                <w:szCs w:val="20"/>
                <w:color w:val="auto"/>
              </w:rPr>
            </w:pPr>
            <w:r>
              <w:rPr>
                <w:rFonts w:ascii="Arial" w:cs="Arial" w:eastAsia="Arial" w:hAnsi="Arial"/>
                <w:sz w:val="19"/>
                <w:szCs w:val="19"/>
                <w:color w:val="auto"/>
              </w:rPr>
              <w:t>Signature:</w:t>
            </w:r>
          </w:p>
        </w:tc>
        <w:tc>
          <w:tcPr>
            <w:tcW w:w="5080" w:type="dxa"/>
            <w:vAlign w:val="bottom"/>
          </w:tcPr>
          <w:p>
            <w:pPr>
              <w:jc w:val="right"/>
              <w:ind w:right="2344"/>
              <w:spacing w:after="0"/>
              <w:rPr>
                <w:sz w:val="20"/>
                <w:szCs w:val="20"/>
                <w:color w:val="auto"/>
              </w:rPr>
            </w:pPr>
            <w:r>
              <w:rPr>
                <w:rFonts w:ascii="Arial" w:cs="Arial" w:eastAsia="Arial" w:hAnsi="Arial"/>
                <w:sz w:val="19"/>
                <w:szCs w:val="19"/>
                <w:color w:val="auto"/>
              </w:rPr>
              <w:t>_______________________</w:t>
            </w:r>
          </w:p>
        </w:tc>
      </w:tr>
      <w:tr>
        <w:trPr>
          <w:trHeight w:val="223"/>
        </w:trPr>
        <w:tc>
          <w:tcPr>
            <w:tcW w:w="6180" w:type="dxa"/>
            <w:vAlign w:val="bottom"/>
          </w:tcPr>
          <w:p>
            <w:pPr>
              <w:ind w:left="5200"/>
              <w:spacing w:after="0"/>
              <w:rPr>
                <w:sz w:val="20"/>
                <w:szCs w:val="20"/>
                <w:color w:val="auto"/>
              </w:rPr>
            </w:pPr>
            <w:r>
              <w:rPr>
                <w:rFonts w:ascii="Arial" w:cs="Arial" w:eastAsia="Arial" w:hAnsi="Arial"/>
                <w:sz w:val="19"/>
                <w:szCs w:val="19"/>
                <w:color w:val="auto"/>
                <w:w w:val="95"/>
              </w:rPr>
              <w:t>Print Name:</w:t>
            </w:r>
          </w:p>
        </w:tc>
        <w:tc>
          <w:tcPr>
            <w:tcW w:w="5080" w:type="dxa"/>
            <w:vAlign w:val="bottom"/>
          </w:tcPr>
          <w:p>
            <w:pPr>
              <w:jc w:val="right"/>
              <w:ind w:right="2184"/>
              <w:spacing w:after="0"/>
              <w:rPr>
                <w:sz w:val="20"/>
                <w:szCs w:val="20"/>
                <w:color w:val="auto"/>
              </w:rPr>
            </w:pPr>
            <w:r>
              <w:rPr>
                <w:rFonts w:ascii="Arial" w:cs="Arial" w:eastAsia="Arial" w:hAnsi="Arial"/>
                <w:sz w:val="19"/>
                <w:szCs w:val="19"/>
                <w:color w:val="auto"/>
              </w:rPr>
              <w:t>_______________________</w:t>
            </w:r>
          </w:p>
        </w:tc>
      </w:tr>
      <w:tr>
        <w:trPr>
          <w:trHeight w:val="246"/>
        </w:trPr>
        <w:tc>
          <w:tcPr>
            <w:tcW w:w="6180" w:type="dxa"/>
            <w:vAlign w:val="bottom"/>
          </w:tcPr>
          <w:p>
            <w:pPr>
              <w:ind w:left="5200"/>
              <w:spacing w:after="0"/>
              <w:rPr>
                <w:sz w:val="20"/>
                <w:szCs w:val="20"/>
                <w:color w:val="auto"/>
              </w:rPr>
            </w:pPr>
            <w:r>
              <w:rPr>
                <w:rFonts w:ascii="Arial" w:cs="Arial" w:eastAsia="Arial" w:hAnsi="Arial"/>
                <w:sz w:val="19"/>
                <w:szCs w:val="19"/>
                <w:color w:val="auto"/>
              </w:rPr>
              <w:t>Title:</w:t>
            </w:r>
          </w:p>
        </w:tc>
        <w:tc>
          <w:tcPr>
            <w:tcW w:w="5080" w:type="dxa"/>
            <w:vAlign w:val="bottom"/>
          </w:tcPr>
          <w:p>
            <w:pPr>
              <w:jc w:val="right"/>
              <w:ind w:right="2724"/>
              <w:spacing w:after="0"/>
              <w:rPr>
                <w:sz w:val="20"/>
                <w:szCs w:val="20"/>
                <w:color w:val="auto"/>
              </w:rPr>
            </w:pPr>
            <w:r>
              <w:rPr>
                <w:rFonts w:ascii="Arial" w:cs="Arial" w:eastAsia="Arial" w:hAnsi="Arial"/>
                <w:sz w:val="19"/>
                <w:szCs w:val="19"/>
                <w:color w:val="auto"/>
                <w:w w:val="92"/>
              </w:rPr>
              <w:t>_______________________</w:t>
            </w:r>
          </w:p>
        </w:tc>
      </w:tr>
      <w:tr>
        <w:trPr>
          <w:trHeight w:val="684"/>
        </w:trPr>
        <w:tc>
          <w:tcPr>
            <w:tcW w:w="61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12" w:name="page213"/>
    <w:bookmarkEnd w:id="212"/>
    <w:p>
      <w:pPr>
        <w:spacing w:after="0"/>
        <w:rPr>
          <w:sz w:val="20"/>
          <w:szCs w:val="20"/>
          <w:color w:val="auto"/>
        </w:rPr>
      </w:pPr>
      <w:r>
        <w:rPr>
          <w:rFonts w:ascii="Arial" w:cs="Arial" w:eastAsia="Arial" w:hAnsi="Arial"/>
          <w:sz w:val="19"/>
          <w:szCs w:val="19"/>
          <w:color w:val="auto"/>
        </w:rPr>
        <w:t>Table of Addenda, Exhibits and Schedules</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Addendum 1: Taxes; Increased Costs</w:t>
      </w:r>
    </w:p>
    <w:p>
      <w:pPr>
        <w:spacing w:after="0" w:line="21" w:lineRule="exact"/>
        <w:rPr>
          <w:sz w:val="20"/>
          <w:szCs w:val="20"/>
          <w:color w:val="auto"/>
        </w:rPr>
      </w:pPr>
    </w:p>
    <w:p>
      <w:pPr>
        <w:spacing w:after="0"/>
        <w:tabs>
          <w:tab w:leader="none" w:pos="1660" w:val="left"/>
        </w:tabs>
        <w:rPr>
          <w:sz w:val="20"/>
          <w:szCs w:val="20"/>
          <w:color w:val="auto"/>
        </w:rPr>
      </w:pPr>
      <w:r>
        <w:rPr>
          <w:rFonts w:ascii="Arial" w:cs="Arial" w:eastAsia="Arial" w:hAnsi="Arial"/>
          <w:sz w:val="19"/>
          <w:szCs w:val="19"/>
          <w:color w:val="auto"/>
        </w:rPr>
        <w:t>Addendum 2:</w:t>
      </w:r>
      <w:r>
        <w:rPr>
          <w:sz w:val="20"/>
          <w:szCs w:val="20"/>
          <w:color w:val="auto"/>
        </w:rPr>
        <w:tab/>
      </w:r>
      <w:r>
        <w:rPr>
          <w:rFonts w:ascii="Arial" w:cs="Arial" w:eastAsia="Arial" w:hAnsi="Arial"/>
          <w:sz w:val="17"/>
          <w:szCs w:val="17"/>
          <w:color w:val="auto"/>
        </w:rPr>
        <w:t>[Reserved]</w:t>
      </w:r>
    </w:p>
    <w:p>
      <w:pPr>
        <w:spacing w:after="0" w:line="5" w:lineRule="exact"/>
        <w:rPr>
          <w:sz w:val="20"/>
          <w:szCs w:val="20"/>
          <w:color w:val="auto"/>
        </w:rPr>
      </w:pPr>
    </w:p>
    <w:p>
      <w:pPr>
        <w:spacing w:after="0"/>
        <w:tabs>
          <w:tab w:leader="none" w:pos="1660" w:val="left"/>
        </w:tabs>
        <w:rPr>
          <w:sz w:val="20"/>
          <w:szCs w:val="20"/>
          <w:color w:val="auto"/>
        </w:rPr>
      </w:pPr>
      <w:r>
        <w:rPr>
          <w:rFonts w:ascii="Arial" w:cs="Arial" w:eastAsia="Arial" w:hAnsi="Arial"/>
          <w:sz w:val="19"/>
          <w:szCs w:val="19"/>
          <w:color w:val="auto"/>
        </w:rPr>
        <w:t>Addendum 3:</w:t>
      </w:r>
      <w:r>
        <w:rPr>
          <w:sz w:val="20"/>
          <w:szCs w:val="20"/>
          <w:color w:val="auto"/>
        </w:rPr>
        <w:tab/>
      </w:r>
      <w:r>
        <w:rPr>
          <w:rFonts w:ascii="Arial" w:cs="Arial" w:eastAsia="Arial" w:hAnsi="Arial"/>
          <w:sz w:val="17"/>
          <w:szCs w:val="17"/>
          <w:color w:val="auto"/>
        </w:rPr>
        <w:t>Agent and Lender Terms</w:t>
      </w:r>
    </w:p>
    <w:p>
      <w:pPr>
        <w:spacing w:after="0" w:line="5" w:lineRule="exact"/>
        <w:rPr>
          <w:sz w:val="20"/>
          <w:szCs w:val="20"/>
          <w:color w:val="auto"/>
        </w:rPr>
      </w:pPr>
    </w:p>
    <w:p>
      <w:pPr>
        <w:spacing w:after="0"/>
        <w:tabs>
          <w:tab w:leader="none" w:pos="1660" w:val="left"/>
        </w:tabs>
        <w:rPr>
          <w:sz w:val="20"/>
          <w:szCs w:val="20"/>
          <w:color w:val="auto"/>
        </w:rPr>
      </w:pPr>
      <w:r>
        <w:rPr>
          <w:rFonts w:ascii="Arial" w:cs="Arial" w:eastAsia="Arial" w:hAnsi="Arial"/>
          <w:sz w:val="19"/>
          <w:szCs w:val="19"/>
          <w:color w:val="auto"/>
        </w:rPr>
        <w:t>Addendum 4:</w:t>
      </w:r>
      <w:r>
        <w:rPr>
          <w:sz w:val="20"/>
          <w:szCs w:val="20"/>
          <w:color w:val="auto"/>
        </w:rPr>
        <w:tab/>
      </w:r>
      <w:r>
        <w:rPr>
          <w:rFonts w:ascii="Arial" w:cs="Arial" w:eastAsia="Arial" w:hAnsi="Arial"/>
          <w:sz w:val="17"/>
          <w:szCs w:val="17"/>
          <w:color w:val="auto"/>
        </w:rPr>
        <w:t>Multiple Borrower Terms</w:t>
      </w:r>
    </w:p>
    <w:p>
      <w:pPr>
        <w:spacing w:after="0" w:line="212"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color w:val="auto"/>
        </w:rPr>
        <w:t>Exhibit A:</w:t>
      </w:r>
      <w:r>
        <w:rPr>
          <w:sz w:val="20"/>
          <w:szCs w:val="20"/>
          <w:color w:val="auto"/>
        </w:rPr>
        <w:tab/>
      </w:r>
      <w:r>
        <w:rPr>
          <w:rFonts w:ascii="Arial" w:cs="Arial" w:eastAsia="Arial" w:hAnsi="Arial"/>
          <w:sz w:val="16"/>
          <w:szCs w:val="16"/>
          <w:color w:val="auto"/>
        </w:rPr>
        <w:t>Advance Request</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Attachment to Advance Request</w:t>
      </w:r>
    </w:p>
    <w:p>
      <w:pPr>
        <w:spacing w:after="0" w:line="5"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Exhibit B:</w:t>
      </w:r>
      <w:r>
        <w:rPr>
          <w:sz w:val="20"/>
          <w:szCs w:val="20"/>
          <w:color w:val="auto"/>
        </w:rPr>
        <w:tab/>
      </w:r>
      <w:r>
        <w:rPr>
          <w:rFonts w:ascii="Arial" w:cs="Arial" w:eastAsia="Arial" w:hAnsi="Arial"/>
          <w:sz w:val="17"/>
          <w:szCs w:val="17"/>
          <w:color w:val="auto"/>
        </w:rPr>
        <w:t>Name, Locations, and Other Information for Borrower</w:t>
      </w:r>
    </w:p>
    <w:p>
      <w:pPr>
        <w:spacing w:after="0" w:line="5"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Exhibit C:</w:t>
      </w:r>
      <w:r>
        <w:rPr>
          <w:sz w:val="20"/>
          <w:szCs w:val="20"/>
          <w:color w:val="auto"/>
        </w:rPr>
        <w:tab/>
      </w:r>
      <w:r>
        <w:rPr>
          <w:rFonts w:ascii="Arial" w:cs="Arial" w:eastAsia="Arial" w:hAnsi="Arial"/>
          <w:sz w:val="17"/>
          <w:szCs w:val="17"/>
          <w:color w:val="auto"/>
        </w:rPr>
        <w:t>Borrower’s Patents, Trademarks, Copyrights and Licenses</w:t>
      </w:r>
    </w:p>
    <w:p>
      <w:pPr>
        <w:spacing w:after="0" w:line="5"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color w:val="auto"/>
        </w:rPr>
        <w:t>Exhibit D:</w:t>
      </w:r>
      <w:r>
        <w:rPr>
          <w:sz w:val="20"/>
          <w:szCs w:val="20"/>
          <w:color w:val="auto"/>
        </w:rPr>
        <w:tab/>
      </w:r>
      <w:r>
        <w:rPr>
          <w:rFonts w:ascii="Arial" w:cs="Arial" w:eastAsia="Arial" w:hAnsi="Arial"/>
          <w:sz w:val="17"/>
          <w:szCs w:val="17"/>
          <w:color w:val="auto"/>
        </w:rPr>
        <w:t>Borrower’s Deposit Accounts and Investment Accounts</w:t>
      </w:r>
    </w:p>
    <w:p>
      <w:pPr>
        <w:spacing w:after="0" w:line="5"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Exhibit E:</w:t>
      </w:r>
      <w:r>
        <w:rPr>
          <w:sz w:val="20"/>
          <w:szCs w:val="20"/>
          <w:color w:val="auto"/>
        </w:rPr>
        <w:tab/>
      </w:r>
      <w:r>
        <w:rPr>
          <w:rFonts w:ascii="Arial" w:cs="Arial" w:eastAsia="Arial" w:hAnsi="Arial"/>
          <w:sz w:val="17"/>
          <w:szCs w:val="17"/>
          <w:color w:val="auto"/>
        </w:rPr>
        <w:t>Compliance Certificate</w:t>
      </w:r>
    </w:p>
    <w:p>
      <w:pPr>
        <w:spacing w:after="0" w:line="5"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color w:val="auto"/>
        </w:rPr>
        <w:t>Exhibit F:</w:t>
      </w:r>
      <w:r>
        <w:rPr>
          <w:sz w:val="20"/>
          <w:szCs w:val="20"/>
          <w:color w:val="auto"/>
        </w:rPr>
        <w:tab/>
      </w:r>
      <w:r>
        <w:rPr>
          <w:rFonts w:ascii="Arial" w:cs="Arial" w:eastAsia="Arial" w:hAnsi="Arial"/>
          <w:sz w:val="17"/>
          <w:szCs w:val="17"/>
          <w:color w:val="auto"/>
        </w:rPr>
        <w:t>Joinder Agreement</w:t>
      </w:r>
    </w:p>
    <w:p>
      <w:pPr>
        <w:spacing w:after="0" w:line="5"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color w:val="auto"/>
        </w:rPr>
        <w:t>Exhibit G:</w:t>
      </w:r>
      <w:r>
        <w:rPr>
          <w:sz w:val="20"/>
          <w:szCs w:val="20"/>
          <w:color w:val="auto"/>
        </w:rPr>
        <w:tab/>
      </w:r>
      <w:r>
        <w:rPr>
          <w:rFonts w:ascii="Arial" w:cs="Arial" w:eastAsia="Arial" w:hAnsi="Arial"/>
          <w:sz w:val="17"/>
          <w:szCs w:val="17"/>
          <w:color w:val="auto"/>
        </w:rPr>
        <w:t>ACH Debit Authorization Agreement</w:t>
      </w:r>
    </w:p>
    <w:p>
      <w:pPr>
        <w:spacing w:after="0" w:line="5" w:lineRule="exact"/>
        <w:rPr>
          <w:sz w:val="20"/>
          <w:szCs w:val="20"/>
          <w:color w:val="auto"/>
        </w:rPr>
      </w:pPr>
    </w:p>
    <w:p>
      <w:pPr>
        <w:spacing w:after="0"/>
        <w:tabs>
          <w:tab w:leader="none" w:pos="1700" w:val="left"/>
        </w:tabs>
        <w:rPr>
          <w:sz w:val="20"/>
          <w:szCs w:val="20"/>
          <w:color w:val="auto"/>
        </w:rPr>
      </w:pPr>
      <w:r>
        <w:rPr>
          <w:rFonts w:ascii="Arial" w:cs="Arial" w:eastAsia="Arial" w:hAnsi="Arial"/>
          <w:sz w:val="19"/>
          <w:szCs w:val="19"/>
          <w:color w:val="auto"/>
        </w:rPr>
        <w:t>Exhibit H-1:</w:t>
      </w:r>
      <w:r>
        <w:rPr>
          <w:sz w:val="20"/>
          <w:szCs w:val="20"/>
          <w:color w:val="auto"/>
        </w:rPr>
        <w:tab/>
      </w:r>
      <w:r>
        <w:rPr>
          <w:rFonts w:ascii="Arial" w:cs="Arial" w:eastAsia="Arial" w:hAnsi="Arial"/>
          <w:sz w:val="17"/>
          <w:szCs w:val="17"/>
          <w:color w:val="auto"/>
        </w:rPr>
        <w:t>Form of U.S. Tax Compliance Certificate (For Foreign Lenders That Are Not Partnerships For U.S. Federal Income Tax</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Purposes)</w:t>
      </w:r>
    </w:p>
    <w:p>
      <w:pPr>
        <w:spacing w:after="0" w:line="5" w:lineRule="exact"/>
        <w:rPr>
          <w:sz w:val="20"/>
          <w:szCs w:val="20"/>
          <w:color w:val="auto"/>
        </w:rPr>
      </w:pPr>
    </w:p>
    <w:p>
      <w:pPr>
        <w:spacing w:after="0"/>
        <w:tabs>
          <w:tab w:leader="none" w:pos="1700" w:val="left"/>
        </w:tabs>
        <w:rPr>
          <w:sz w:val="20"/>
          <w:szCs w:val="20"/>
          <w:color w:val="auto"/>
        </w:rPr>
      </w:pPr>
      <w:r>
        <w:rPr>
          <w:rFonts w:ascii="Arial" w:cs="Arial" w:eastAsia="Arial" w:hAnsi="Arial"/>
          <w:sz w:val="19"/>
          <w:szCs w:val="19"/>
          <w:color w:val="auto"/>
        </w:rPr>
        <w:t>Exhibit H-2:</w:t>
      </w:r>
      <w:r>
        <w:rPr>
          <w:sz w:val="20"/>
          <w:szCs w:val="20"/>
          <w:color w:val="auto"/>
        </w:rPr>
        <w:tab/>
      </w:r>
      <w:r>
        <w:rPr>
          <w:rFonts w:ascii="Arial" w:cs="Arial" w:eastAsia="Arial" w:hAnsi="Arial"/>
          <w:sz w:val="17"/>
          <w:szCs w:val="17"/>
          <w:color w:val="auto"/>
        </w:rPr>
        <w:t>Form of U.S. Tax Compliance Certificate (For Foreign Participants That Are Not Partnerships For U.S. Federal Income Tax</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Purposes)</w:t>
      </w:r>
    </w:p>
    <w:p>
      <w:pPr>
        <w:spacing w:after="0" w:line="5" w:lineRule="exact"/>
        <w:rPr>
          <w:sz w:val="20"/>
          <w:szCs w:val="20"/>
          <w:color w:val="auto"/>
        </w:rPr>
      </w:pPr>
    </w:p>
    <w:p>
      <w:pPr>
        <w:spacing w:after="0"/>
        <w:tabs>
          <w:tab w:leader="none" w:pos="1700" w:val="left"/>
        </w:tabs>
        <w:rPr>
          <w:sz w:val="20"/>
          <w:szCs w:val="20"/>
          <w:color w:val="auto"/>
        </w:rPr>
      </w:pPr>
      <w:r>
        <w:rPr>
          <w:rFonts w:ascii="Arial" w:cs="Arial" w:eastAsia="Arial" w:hAnsi="Arial"/>
          <w:sz w:val="19"/>
          <w:szCs w:val="19"/>
          <w:color w:val="auto"/>
        </w:rPr>
        <w:t>Exhibit H-3:</w:t>
      </w:r>
      <w:r>
        <w:rPr>
          <w:sz w:val="20"/>
          <w:szCs w:val="20"/>
          <w:color w:val="auto"/>
        </w:rPr>
        <w:tab/>
      </w:r>
      <w:r>
        <w:rPr>
          <w:rFonts w:ascii="Arial" w:cs="Arial" w:eastAsia="Arial" w:hAnsi="Arial"/>
          <w:sz w:val="17"/>
          <w:szCs w:val="17"/>
          <w:color w:val="auto"/>
        </w:rPr>
        <w:t>Form of U.S. Tax Compliance Certificate (For Foreign Participants That Are Partnerships For U.S. Federal Income Tax</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Purposes)</w:t>
      </w:r>
    </w:p>
    <w:p>
      <w:pPr>
        <w:spacing w:after="0" w:line="5" w:lineRule="exact"/>
        <w:rPr>
          <w:sz w:val="20"/>
          <w:szCs w:val="20"/>
          <w:color w:val="auto"/>
        </w:rPr>
      </w:pPr>
    </w:p>
    <w:p>
      <w:pPr>
        <w:spacing w:after="0"/>
        <w:tabs>
          <w:tab w:leader="none" w:pos="1700" w:val="left"/>
        </w:tabs>
        <w:rPr>
          <w:sz w:val="20"/>
          <w:szCs w:val="20"/>
          <w:color w:val="auto"/>
        </w:rPr>
      </w:pPr>
      <w:r>
        <w:rPr>
          <w:rFonts w:ascii="Arial" w:cs="Arial" w:eastAsia="Arial" w:hAnsi="Arial"/>
          <w:sz w:val="19"/>
          <w:szCs w:val="19"/>
          <w:color w:val="auto"/>
        </w:rPr>
        <w:t>Exhibit H-4:</w:t>
      </w:r>
      <w:r>
        <w:rPr>
          <w:sz w:val="20"/>
          <w:szCs w:val="20"/>
          <w:color w:val="auto"/>
        </w:rPr>
        <w:tab/>
      </w:r>
      <w:r>
        <w:rPr>
          <w:rFonts w:ascii="Arial" w:cs="Arial" w:eastAsia="Arial" w:hAnsi="Arial"/>
          <w:sz w:val="17"/>
          <w:szCs w:val="17"/>
          <w:color w:val="auto"/>
        </w:rPr>
        <w:t>Form of U.S. Tax Compliance Certificate (For Foreign Lenders That Are Partnerships For U.S. Federal Income Tax</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Purposes)</w:t>
      </w:r>
    </w:p>
    <w:p>
      <w:pPr>
        <w:sectPr>
          <w:pgSz w:w="11900" w:h="16838" w:orient="portrait"/>
          <w:cols w:equalWidth="0" w:num="1">
            <w:col w:w="11160"/>
          </w:cols>
          <w:pgMar w:left="320" w:top="333" w:right="419" w:bottom="1440" w:gutter="0" w:footer="0" w:header="0"/>
        </w:sectPr>
      </w:pPr>
    </w:p>
    <w:p>
      <w:pPr>
        <w:spacing w:after="0" w:line="21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Schedule 1.1 Schedule 1 Schedule 1A Schedule 1B Schedule 1C Schedule 5.3 Schedule 5.8 Schedule 5.9 Schedule 5.10 Schedule 5.11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Commitments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Subsidiaries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Existing Permitted Indebtedness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Existing Permitted Investments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Existing Permitted Liens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Consents, Etc.</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Tax Matters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Intellectual Property Claims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Intellectual Property</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Borrower Products</w:t>
      </w:r>
    </w:p>
    <w:p>
      <w:pPr>
        <w:sectPr>
          <w:pgSz w:w="11900" w:h="16838" w:orient="portrait"/>
          <w:cols w:equalWidth="0" w:num="2">
            <w:col w:w="1080" w:space="400"/>
            <w:col w:w="9680"/>
          </w:cols>
          <w:pgMar w:left="320" w:top="333" w:right="419"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9"/>
          <w:szCs w:val="19"/>
          <w:b w:val="1"/>
          <w:bCs w:val="1"/>
          <w:color w:val="auto"/>
        </w:rPr>
        <w:t>Exhibit 21.1</w:t>
      </w:r>
    </w:p>
    <w:p>
      <w:pPr>
        <w:spacing w:after="0" w:line="228"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SUBSIDIARIES OF SYNDAX PHARMACEUTICALS, INC.</w:t>
      </w:r>
    </w:p>
    <w:p>
      <w:pPr>
        <w:spacing w:after="0" w:line="150"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b w:val="1"/>
          <w:bCs w:val="1"/>
          <w:color w:val="auto"/>
        </w:rPr>
        <w:t>Name</w:t>
      </w:r>
      <w:r>
        <w:rPr>
          <w:sz w:val="20"/>
          <w:szCs w:val="20"/>
          <w:color w:val="auto"/>
        </w:rPr>
        <w:tab/>
      </w:r>
      <w:r>
        <w:rPr>
          <w:rFonts w:ascii="Arial" w:cs="Arial" w:eastAsia="Arial" w:hAnsi="Arial"/>
          <w:sz w:val="19"/>
          <w:szCs w:val="19"/>
          <w:b w:val="1"/>
          <w:bCs w:val="1"/>
          <w:color w:val="auto"/>
        </w:rPr>
        <w:t>Jurisdiction of Incorporation</w:t>
      </w:r>
    </w:p>
    <w:p>
      <w:pPr>
        <w:spacing w:after="0" w:line="136" w:lineRule="exact"/>
        <w:rPr>
          <w:sz w:val="20"/>
          <w:szCs w:val="20"/>
          <w:color w:val="auto"/>
        </w:rPr>
      </w:pPr>
    </w:p>
    <w:p>
      <w:pPr>
        <w:spacing w:after="0"/>
        <w:tabs>
          <w:tab w:leader="none" w:pos="3000" w:val="left"/>
        </w:tabs>
        <w:rPr>
          <w:sz w:val="20"/>
          <w:szCs w:val="20"/>
          <w:color w:val="auto"/>
        </w:rPr>
      </w:pPr>
      <w:r>
        <w:rPr>
          <w:rFonts w:ascii="Arial" w:cs="Arial" w:eastAsia="Arial" w:hAnsi="Arial"/>
          <w:sz w:val="19"/>
          <w:szCs w:val="19"/>
          <w:b w:val="1"/>
          <w:bCs w:val="1"/>
          <w:color w:val="auto"/>
        </w:rPr>
        <w:t>Syndax Pharmaceuticals, Inc</w:t>
      </w:r>
      <w:r>
        <w:rPr>
          <w:sz w:val="20"/>
          <w:szCs w:val="20"/>
          <w:color w:val="auto"/>
        </w:rPr>
        <w:tab/>
      </w:r>
      <w:r>
        <w:rPr>
          <w:rFonts w:ascii="Arial" w:cs="Arial" w:eastAsia="Arial" w:hAnsi="Arial"/>
          <w:sz w:val="17"/>
          <w:szCs w:val="17"/>
          <w:b w:val="1"/>
          <w:bCs w:val="1"/>
          <w:color w:val="auto"/>
        </w:rPr>
        <w:t>Delaware</w:t>
      </w:r>
    </w:p>
    <w:p>
      <w:pPr>
        <w:spacing w:after="0" w:line="150" w:lineRule="exact"/>
        <w:rPr>
          <w:sz w:val="20"/>
          <w:szCs w:val="20"/>
          <w:color w:val="auto"/>
        </w:rPr>
      </w:pPr>
    </w:p>
    <w:p>
      <w:pPr>
        <w:spacing w:after="0"/>
        <w:tabs>
          <w:tab w:leader="none" w:pos="2640" w:val="left"/>
        </w:tabs>
        <w:rPr>
          <w:sz w:val="20"/>
          <w:szCs w:val="20"/>
          <w:color w:val="auto"/>
        </w:rPr>
      </w:pPr>
      <w:r>
        <w:rPr>
          <w:rFonts w:ascii="Arial" w:cs="Arial" w:eastAsia="Arial" w:hAnsi="Arial"/>
          <w:sz w:val="19"/>
          <w:szCs w:val="19"/>
          <w:b w:val="1"/>
          <w:bCs w:val="1"/>
          <w:color w:val="auto"/>
        </w:rPr>
        <w:t>Syndax United Kingdom</w:t>
      </w:r>
      <w:r>
        <w:rPr>
          <w:sz w:val="20"/>
          <w:szCs w:val="20"/>
          <w:color w:val="auto"/>
        </w:rPr>
        <w:tab/>
      </w:r>
      <w:r>
        <w:rPr>
          <w:rFonts w:ascii="Arial" w:cs="Arial" w:eastAsia="Arial" w:hAnsi="Arial"/>
          <w:sz w:val="17"/>
          <w:szCs w:val="17"/>
          <w:b w:val="1"/>
          <w:bCs w:val="1"/>
          <w:color w:val="auto"/>
        </w:rPr>
        <w:t>United Kingdom</w:t>
      </w:r>
    </w:p>
    <w:p>
      <w:pPr>
        <w:spacing w:after="0" w:line="150" w:lineRule="exact"/>
        <w:rPr>
          <w:sz w:val="20"/>
          <w:szCs w:val="20"/>
          <w:color w:val="auto"/>
        </w:rPr>
      </w:pPr>
    </w:p>
    <w:p>
      <w:pPr>
        <w:spacing w:after="0"/>
        <w:tabs>
          <w:tab w:leader="none" w:pos="2260" w:val="left"/>
        </w:tabs>
        <w:rPr>
          <w:sz w:val="20"/>
          <w:szCs w:val="20"/>
          <w:color w:val="auto"/>
        </w:rPr>
      </w:pPr>
      <w:r>
        <w:rPr>
          <w:rFonts w:ascii="Arial" w:cs="Arial" w:eastAsia="Arial" w:hAnsi="Arial"/>
          <w:sz w:val="19"/>
          <w:szCs w:val="19"/>
          <w:b w:val="1"/>
          <w:bCs w:val="1"/>
          <w:color w:val="auto"/>
        </w:rPr>
        <w:t>Syndax Europe B.V.</w:t>
      </w:r>
      <w:r>
        <w:rPr>
          <w:sz w:val="20"/>
          <w:szCs w:val="20"/>
          <w:color w:val="auto"/>
        </w:rPr>
        <w:tab/>
      </w:r>
      <w:r>
        <w:rPr>
          <w:rFonts w:ascii="Arial" w:cs="Arial" w:eastAsia="Arial" w:hAnsi="Arial"/>
          <w:sz w:val="17"/>
          <w:szCs w:val="17"/>
          <w:b w:val="1"/>
          <w:bCs w:val="1"/>
          <w:color w:val="auto"/>
        </w:rPr>
        <w:t>The Netherlands</w:t>
      </w:r>
    </w:p>
    <w:p>
      <w:pPr>
        <w:sectPr>
          <w:pgSz w:w="11900" w:h="16838" w:orient="portrait"/>
          <w:cols w:equalWidth="0" w:num="1">
            <w:col w:w="11240"/>
          </w:cols>
          <w:pgMar w:left="320" w:top="118"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consent to the incorporation by reference in Registration Statement No. 333-254661 on Form S-3 and Registration Statement Nos. 333-210412, 333-220172, 333-226678, 333-233083, 333-241654, and 333-258628 on Form S-8 of our reports dated March 1, 2022, relating to the financial statements of Syndax Pharmaceuticals, Inc. and subsidiaries and the effectiveness of Syndax Pharmaceuticals, Inc. and subsidiaries’ internal control over financial reporting appearing in this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21"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Michael A. Metzger, certify that:</w:t>
      </w:r>
    </w:p>
    <w:p>
      <w:pPr>
        <w:spacing w:after="0" w:line="108" w:lineRule="exact"/>
        <w:rPr>
          <w:sz w:val="20"/>
          <w:szCs w:val="20"/>
          <w:color w:val="auto"/>
        </w:rPr>
      </w:pPr>
    </w:p>
    <w:p>
      <w:pPr>
        <w:ind w:left="760" w:hanging="166"/>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13" w:lineRule="exact"/>
        <w:rPr>
          <w:rFonts w:ascii="Arial" w:cs="Arial" w:eastAsia="Arial" w:hAnsi="Arial"/>
          <w:sz w:val="18"/>
          <w:szCs w:val="18"/>
          <w:color w:val="auto"/>
        </w:rPr>
      </w:pPr>
    </w:p>
    <w:p>
      <w:pPr>
        <w:ind w:right="280" w:firstLine="594"/>
        <w:spacing w:after="0" w:line="361" w:lineRule="auto"/>
        <w:tabs>
          <w:tab w:leader="none" w:pos="764"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240" w:firstLine="594"/>
        <w:spacing w:after="0" w:line="324" w:lineRule="auto"/>
        <w:tabs>
          <w:tab w:leader="none" w:pos="76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right="260" w:firstLine="594"/>
        <w:spacing w:after="0" w:line="252" w:lineRule="auto"/>
        <w:tabs>
          <w:tab w:leader="none" w:pos="7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Arial" w:cs="Arial" w:eastAsia="Arial" w:hAnsi="Arial"/>
          <w:sz w:val="18"/>
          <w:szCs w:val="18"/>
          <w:color w:val="auto"/>
        </w:rPr>
      </w:pPr>
    </w:p>
    <w:p>
      <w:pPr>
        <w:ind w:left="600" w:right="20" w:firstLine="550"/>
        <w:spacing w:after="0" w:line="252" w:lineRule="auto"/>
        <w:tabs>
          <w:tab w:leader="none" w:pos="139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8"/>
          <w:szCs w:val="18"/>
          <w:color w:val="auto"/>
        </w:rPr>
      </w:pPr>
    </w:p>
    <w:p>
      <w:pPr>
        <w:ind w:left="600" w:right="280" w:firstLine="550"/>
        <w:spacing w:after="0" w:line="252" w:lineRule="auto"/>
        <w:tabs>
          <w:tab w:leader="none" w:pos="140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8"/>
          <w:szCs w:val="18"/>
          <w:color w:val="auto"/>
        </w:rPr>
      </w:pPr>
    </w:p>
    <w:p>
      <w:pPr>
        <w:ind w:left="600" w:right="400" w:firstLine="550"/>
        <w:spacing w:after="0" w:line="324" w:lineRule="auto"/>
        <w:tabs>
          <w:tab w:leader="none" w:pos="139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6"/>
          <w:szCs w:val="16"/>
          <w:color w:val="auto"/>
        </w:rPr>
      </w:pPr>
    </w:p>
    <w:p>
      <w:pPr>
        <w:ind w:left="600" w:right="380" w:firstLine="550"/>
        <w:spacing w:after="0" w:line="252" w:lineRule="auto"/>
        <w:tabs>
          <w:tab w:leader="none" w:pos="140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right="240" w:firstLine="594"/>
        <w:spacing w:after="0" w:line="324" w:lineRule="auto"/>
        <w:tabs>
          <w:tab w:leader="none" w:pos="76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6"/>
          <w:szCs w:val="16"/>
          <w:color w:val="auto"/>
        </w:rPr>
      </w:pPr>
    </w:p>
    <w:p>
      <w:pPr>
        <w:ind w:left="600" w:right="620" w:firstLine="550"/>
        <w:spacing w:after="0" w:line="324" w:lineRule="auto"/>
        <w:tabs>
          <w:tab w:leader="none" w:pos="139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600" w:right="300" w:firstLine="550"/>
        <w:spacing w:after="0" w:line="261" w:lineRule="auto"/>
        <w:tabs>
          <w:tab w:leader="none" w:pos="140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10160</wp:posOffset>
            </wp:positionV>
            <wp:extent cx="25285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Michael A. Metzger</w:t>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Alexander Nolte, certify that:</w:t>
      </w:r>
    </w:p>
    <w:p>
      <w:pPr>
        <w:spacing w:after="0" w:line="108" w:lineRule="exact"/>
        <w:rPr>
          <w:sz w:val="20"/>
          <w:szCs w:val="20"/>
          <w:color w:val="auto"/>
        </w:rPr>
      </w:pPr>
    </w:p>
    <w:p>
      <w:pPr>
        <w:ind w:left="760" w:hanging="166"/>
        <w:spacing w:after="0"/>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13" w:lineRule="exact"/>
        <w:rPr>
          <w:rFonts w:ascii="Arial" w:cs="Arial" w:eastAsia="Arial" w:hAnsi="Arial"/>
          <w:sz w:val="18"/>
          <w:szCs w:val="18"/>
          <w:color w:val="auto"/>
        </w:rPr>
      </w:pPr>
    </w:p>
    <w:p>
      <w:pPr>
        <w:ind w:right="280" w:firstLine="594"/>
        <w:spacing w:after="0" w:line="361" w:lineRule="auto"/>
        <w:tabs>
          <w:tab w:leader="none" w:pos="764" w:val="left"/>
        </w:tabs>
        <w:numPr>
          <w:ilvl w:val="0"/>
          <w:numId w:val="1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40" w:firstLine="594"/>
        <w:spacing w:after="0" w:line="324" w:lineRule="auto"/>
        <w:tabs>
          <w:tab w:leader="none" w:pos="76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right="260" w:firstLine="594"/>
        <w:spacing w:after="0" w:line="252" w:lineRule="auto"/>
        <w:tabs>
          <w:tab w:leader="none" w:pos="7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Arial" w:cs="Arial" w:eastAsia="Arial" w:hAnsi="Arial"/>
          <w:sz w:val="18"/>
          <w:szCs w:val="18"/>
          <w:color w:val="auto"/>
        </w:rPr>
      </w:pPr>
    </w:p>
    <w:p>
      <w:pPr>
        <w:ind w:left="600" w:right="20" w:firstLine="550"/>
        <w:spacing w:after="0" w:line="252" w:lineRule="auto"/>
        <w:tabs>
          <w:tab w:leader="none" w:pos="139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8"/>
          <w:szCs w:val="18"/>
          <w:color w:val="auto"/>
        </w:rPr>
      </w:pPr>
    </w:p>
    <w:p>
      <w:pPr>
        <w:ind w:left="600" w:right="280" w:firstLine="550"/>
        <w:spacing w:after="0" w:line="252" w:lineRule="auto"/>
        <w:tabs>
          <w:tab w:leader="none" w:pos="140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8"/>
          <w:szCs w:val="18"/>
          <w:color w:val="auto"/>
        </w:rPr>
      </w:pPr>
    </w:p>
    <w:p>
      <w:pPr>
        <w:ind w:left="600" w:right="400" w:firstLine="550"/>
        <w:spacing w:after="0" w:line="324" w:lineRule="auto"/>
        <w:tabs>
          <w:tab w:leader="none" w:pos="139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6"/>
          <w:szCs w:val="16"/>
          <w:color w:val="auto"/>
        </w:rPr>
      </w:pPr>
    </w:p>
    <w:p>
      <w:pPr>
        <w:ind w:left="600" w:right="380" w:firstLine="550"/>
        <w:spacing w:after="0" w:line="252" w:lineRule="auto"/>
        <w:tabs>
          <w:tab w:leader="none" w:pos="140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right="240" w:firstLine="594"/>
        <w:spacing w:after="0" w:line="324" w:lineRule="auto"/>
        <w:tabs>
          <w:tab w:leader="none" w:pos="76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6"/>
          <w:szCs w:val="16"/>
          <w:color w:val="auto"/>
        </w:rPr>
      </w:pPr>
    </w:p>
    <w:p>
      <w:pPr>
        <w:ind w:left="600" w:right="620" w:firstLine="550"/>
        <w:spacing w:after="0" w:line="324" w:lineRule="auto"/>
        <w:tabs>
          <w:tab w:leader="none" w:pos="139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600" w:right="300" w:firstLine="550"/>
        <w:spacing w:after="0" w:line="261" w:lineRule="auto"/>
        <w:tabs>
          <w:tab w:leader="none" w:pos="140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Alexander Nolte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10160</wp:posOffset>
            </wp:positionV>
            <wp:extent cx="25285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Alexander Nolte</w:t>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Accounting Officer</w:t>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(Interim Principal Financial Officer and Principal</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121"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2"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Michael A. Metzger, Chief Executive Officer and Director of Syndax Pharmaceuticals, Inc. (the “Company”), and Alexander Nolte, Chief Accounting Officer and Interim Principal Financial Officer of the Company, each hereby certifies that, to the best of his knowledge:</w:t>
      </w:r>
    </w:p>
    <w:p>
      <w:pPr>
        <w:spacing w:after="0" w:line="192" w:lineRule="exact"/>
        <w:rPr>
          <w:sz w:val="20"/>
          <w:szCs w:val="20"/>
          <w:color w:val="auto"/>
        </w:rPr>
      </w:pPr>
    </w:p>
    <w:p>
      <w:pPr>
        <w:ind w:right="260" w:firstLine="594"/>
        <w:spacing w:after="0" w:line="324" w:lineRule="auto"/>
        <w:tabs>
          <w:tab w:leader="none" w:pos="83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2021, to which this Certification is attached as Exhibit 32.1 (the “Annual Report”), fully complies with the requirements of Section 13(a) or 15(d) of the Securities Exchange Act of 1934, as amended; and</w:t>
      </w:r>
    </w:p>
    <w:p>
      <w:pPr>
        <w:spacing w:after="0" w:line="134" w:lineRule="exact"/>
        <w:rPr>
          <w:rFonts w:ascii="Arial" w:cs="Arial" w:eastAsia="Arial" w:hAnsi="Arial"/>
          <w:sz w:val="16"/>
          <w:szCs w:val="16"/>
          <w:color w:val="auto"/>
        </w:rPr>
      </w:pPr>
    </w:p>
    <w:p>
      <w:pPr>
        <w:ind w:right="440" w:firstLine="594"/>
        <w:spacing w:after="0" w:line="261" w:lineRule="auto"/>
        <w:tabs>
          <w:tab w:leader="none" w:pos="8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Date: March 1, 2022</w:t>
            </w:r>
          </w:p>
        </w:tc>
        <w:tc>
          <w:tcPr>
            <w:tcW w:w="4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60"/>
        </w:trPr>
        <w:tc>
          <w:tcPr>
            <w:tcW w:w="7580" w:type="dxa"/>
            <w:vAlign w:val="bottom"/>
          </w:tcPr>
          <w:p>
            <w:pPr>
              <w:ind w:left="722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A. Metzger</w:t>
            </w:r>
          </w:p>
        </w:tc>
      </w:tr>
      <w:tr>
        <w:trPr>
          <w:trHeight w:val="216"/>
        </w:trPr>
        <w:tc>
          <w:tcPr>
            <w:tcW w:w="75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Michael A. Metzger</w:t>
            </w:r>
          </w:p>
        </w:tc>
      </w:tr>
      <w:tr>
        <w:trPr>
          <w:trHeight w:val="223"/>
        </w:trPr>
        <w:tc>
          <w:tcPr>
            <w:tcW w:w="758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21"/>
        </w:trPr>
        <w:tc>
          <w:tcPr>
            <w:tcW w:w="7580" w:type="dxa"/>
            <w:vAlign w:val="bottom"/>
          </w:tcPr>
          <w:p>
            <w:pPr>
              <w:spacing w:after="0"/>
              <w:rPr>
                <w:sz w:val="20"/>
                <w:szCs w:val="20"/>
                <w:color w:val="auto"/>
              </w:rPr>
            </w:pPr>
            <w:r>
              <w:rPr>
                <w:rFonts w:ascii="Arial" w:cs="Arial" w:eastAsia="Arial" w:hAnsi="Arial"/>
                <w:sz w:val="18"/>
                <w:szCs w:val="18"/>
                <w:color w:val="auto"/>
              </w:rPr>
              <w:t>Date: March 1, 2022</w:t>
            </w:r>
          </w:p>
        </w:tc>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47"/>
        </w:trPr>
        <w:tc>
          <w:tcPr>
            <w:tcW w:w="7580" w:type="dxa"/>
            <w:vAlign w:val="bottom"/>
          </w:tcPr>
          <w:p>
            <w:pPr>
              <w:ind w:left="72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Nolte</w:t>
            </w:r>
          </w:p>
        </w:tc>
      </w:tr>
      <w:tr>
        <w:trPr>
          <w:trHeight w:val="216"/>
        </w:trPr>
        <w:tc>
          <w:tcPr>
            <w:tcW w:w="7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Alexander Nolte</w:t>
            </w:r>
          </w:p>
        </w:tc>
      </w:tr>
      <w:tr>
        <w:trPr>
          <w:trHeight w:val="212"/>
        </w:trPr>
        <w:tc>
          <w:tcPr>
            <w:tcW w:w="7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9"/>
              </w:rPr>
              <w:t>Chief Accounting Officer and Interim Principal</w:t>
            </w:r>
          </w:p>
        </w:tc>
      </w:tr>
      <w:tr>
        <w:trPr>
          <w:trHeight w:val="222"/>
        </w:trPr>
        <w:tc>
          <w:tcPr>
            <w:tcW w:w="7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693"/>
        </w:trPr>
        <w:tc>
          <w:tcPr>
            <w:tcW w:w="7580" w:type="dxa"/>
            <w:vAlign w:val="bottom"/>
          </w:tcPr>
          <w:p>
            <w:pPr>
              <w:spacing w:after="0"/>
              <w:rPr>
                <w:sz w:val="20"/>
                <w:szCs w:val="20"/>
                <w:color w:val="auto"/>
              </w:rPr>
            </w:pPr>
            <w:r>
              <w:rPr>
                <w:rFonts w:ascii="Arial" w:cs="Arial" w:eastAsia="Arial" w:hAnsi="Arial"/>
                <w:sz w:val="21"/>
                <w:szCs w:val="21"/>
                <w:color w:val="auto"/>
              </w:rPr>
              <w:t>_______</w:t>
            </w:r>
          </w:p>
        </w:tc>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r>
    </w:tbl>
    <w:p>
      <w:pPr>
        <w:spacing w:after="0" w:line="202" w:lineRule="exact"/>
        <w:rPr>
          <w:sz w:val="20"/>
          <w:szCs w:val="20"/>
          <w:color w:val="auto"/>
        </w:rPr>
      </w:pPr>
    </w:p>
    <w:p>
      <w:pPr>
        <w:ind w:right="260" w:firstLine="5"/>
        <w:spacing w:after="0" w:line="279" w:lineRule="auto"/>
        <w:tabs>
          <w:tab w:leader="none" w:pos="13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This certification accompanies the Annual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Annual Report), irrespective of any general incorporation language contained in such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lvl w:ilvl="1">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1)"/>
      <w:numFmt w:val="decimal"/>
      <w:start w:val="78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2"/>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lvl w:ilvl="1">
      <w:lvlJc w:val="left"/>
      <w:lvlText w:val="%2"/>
      <w:numFmt w:val="decimal"/>
      <w:start w:val="104"/>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o"/>
      <w:numFmt w:val="bullet"/>
      <w:start w:val="1"/>
    </w:lvl>
  </w:abstractNum>
  <w:abstractNum w:abstractNumId="49">
    <w:nsid w:val="60B6DF70"/>
    <w:multiLevelType w:val="hybridMultilevel"/>
    <w:lvl w:ilvl="0">
      <w:lvlJc w:val="left"/>
      <w:lvlText w:val="•"/>
      <w:numFmt w:val="bullet"/>
      <w:start w:val="1"/>
    </w:lvl>
    <w:lvl w:ilvl="1">
      <w:lvlJc w:val="left"/>
      <w:lvlText w:val="o"/>
      <w:numFmt w:val="bullet"/>
      <w:start w:val="1"/>
    </w:lvl>
  </w:abstractNum>
  <w:abstractNum w:abstractNumId="50">
    <w:nsid w:val="6A5EE64"/>
    <w:multiLevelType w:val="hybridMultilevel"/>
    <w:lvl w:ilvl="0">
      <w:lvlJc w:val="left"/>
      <w:lvlText w:val="%1."/>
      <w:numFmt w:val="decimal"/>
      <w:start w:val="16"/>
    </w:lvl>
  </w:abstractNum>
  <w:abstractNum w:abstractNumId="51">
    <w:nsid w:val="14330624"/>
    <w:multiLevelType w:val="hybridMultilevel"/>
    <w:lvl w:ilvl="0">
      <w:lvlJc w:val="left"/>
      <w:lvlText w:val="%1."/>
      <w:numFmt w:val="upperLetter"/>
      <w:start w:val="1"/>
    </w:lvl>
  </w:abstractNum>
  <w:abstractNum w:abstractNumId="52">
    <w:nsid w:val="7FFFCA11"/>
    <w:multiLevelType w:val="hybridMultilevel"/>
    <w:lvl w:ilvl="0">
      <w:lvlJc w:val="left"/>
      <w:lvlText w:val="%1)"/>
      <w:numFmt w:val="lowerLetter"/>
      <w:start w:val="1"/>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lowerLetter"/>
      <w:start w:val="2"/>
    </w:lvl>
  </w:abstractNum>
  <w:abstractNum w:abstractNumId="55">
    <w:nsid w:val="100F59DC"/>
    <w:multiLevelType w:val="hybridMultilevel"/>
    <w:lvl w:ilvl="0">
      <w:lvlJc w:val="left"/>
      <w:lvlText w:val="%1)"/>
      <w:numFmt w:val="lowerLetter"/>
      <w:start w:val="1"/>
    </w:lvl>
  </w:abstractNum>
  <w:abstractNum w:abstractNumId="56">
    <w:nsid w:val="7FB7E0AA"/>
    <w:multiLevelType w:val="hybridMultilevel"/>
    <w:lvl w:ilvl="0">
      <w:lvlJc w:val="left"/>
      <w:lvlText w:val="%1)"/>
      <w:numFmt w:val="lowerLetter"/>
      <w:start w:val="2"/>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1"/>
    </w:lvl>
  </w:abstractNum>
  <w:abstractNum w:abstractNumId="59">
    <w:nsid w:val="94211F2"/>
    <w:multiLevelType w:val="hybridMultilevel"/>
    <w:lvl w:ilvl="0">
      <w:lvlJc w:val="left"/>
      <w:lvlText w:val="%1)"/>
      <w:numFmt w:val="lowerLetter"/>
      <w:start w:val="2"/>
    </w:lvl>
  </w:abstractNum>
  <w:abstractNum w:abstractNumId="60">
    <w:nsid w:val="885E1B"/>
    <w:multiLevelType w:val="hybridMultilevel"/>
    <w:lvl w:ilvl="0">
      <w:lvlJc w:val="left"/>
      <w:lvlText w:val="%1)"/>
      <w:numFmt w:val="lowerLetter"/>
      <w:start w:val="4"/>
    </w:lvl>
  </w:abstractNum>
  <w:abstractNum w:abstractNumId="61">
    <w:nsid w:val="76272110"/>
    <w:multiLevelType w:val="hybridMultilevel"/>
    <w:lvl w:ilvl="0">
      <w:lvlJc w:val="left"/>
      <w:lvlText w:val="%1)"/>
      <w:numFmt w:val="lowerLetter"/>
      <w:start w:val="1"/>
    </w:lvl>
  </w:abstractNum>
  <w:abstractNum w:abstractNumId="62">
    <w:nsid w:val="4C04A8AF"/>
    <w:multiLevelType w:val="hybridMultilevel"/>
    <w:lvl w:ilvl="0">
      <w:lvlJc w:val="left"/>
      <w:lvlText w:val="%1)"/>
      <w:numFmt w:val="lowerLetter"/>
      <w:start w:val="2"/>
    </w:lvl>
  </w:abstractNum>
  <w:abstractNum w:abstractNumId="63">
    <w:nsid w:val="1716703B"/>
    <w:multiLevelType w:val="hybridMultilevel"/>
    <w:lvl w:ilvl="0">
      <w:lvlJc w:val="left"/>
      <w:lvlText w:val="%1)"/>
      <w:numFmt w:val="lowerLetter"/>
      <w:start w:val="1"/>
    </w:lvl>
  </w:abstractNum>
  <w:abstractNum w:abstractNumId="64">
    <w:nsid w:val="14E17E33"/>
    <w:multiLevelType w:val="hybridMultilevel"/>
    <w:lvl w:ilvl="0">
      <w:lvlJc w:val="left"/>
      <w:lvlText w:val="%1)"/>
      <w:numFmt w:val="lowerLetter"/>
      <w:start w:val="2"/>
    </w:lvl>
  </w:abstractNum>
  <w:abstractNum w:abstractNumId="65">
    <w:nsid w:val="3222E7CD"/>
    <w:multiLevelType w:val="hybridMultilevel"/>
    <w:lvl w:ilvl="0">
      <w:lvlJc w:val="left"/>
      <w:lvlText w:val="(%1)"/>
      <w:numFmt w:val="lowerRoman"/>
      <w:start w:val="3"/>
    </w:lvl>
  </w:abstractNum>
  <w:abstractNum w:abstractNumId="66">
    <w:nsid w:val="74DE0EE3"/>
    <w:multiLevelType w:val="hybridMultilevel"/>
    <w:lvl w:ilvl="0">
      <w:lvlJc w:val="left"/>
      <w:lvlText w:val="%1)"/>
      <w:numFmt w:val="lowerLetter"/>
      <w:start w:val="1"/>
    </w:lvl>
  </w:abstractNum>
  <w:abstractNum w:abstractNumId="67">
    <w:nsid w:val="68EBC550"/>
    <w:multiLevelType w:val="hybridMultilevel"/>
    <w:lvl w:ilvl="0">
      <w:lvlJc w:val="left"/>
      <w:lvlText w:val="%1)"/>
      <w:numFmt w:val="lowerLetter"/>
      <w:start w:val="2"/>
    </w:lvl>
  </w:abstractNum>
  <w:abstractNum w:abstractNumId="68">
    <w:nsid w:val="2DF6D648"/>
    <w:multiLevelType w:val="hybridMultilevel"/>
    <w:lvl w:ilvl="0">
      <w:lvlJc w:val="left"/>
      <w:lvlText w:val="%1)"/>
      <w:numFmt w:val="lowerLetter"/>
      <w:start w:val="1"/>
    </w:lvl>
  </w:abstractNum>
  <w:abstractNum w:abstractNumId="69">
    <w:nsid w:val="46B7D447"/>
    <w:multiLevelType w:val="hybridMultilevel"/>
    <w:lvl w:ilvl="0">
      <w:lvlJc w:val="left"/>
      <w:lvlText w:val="%1)"/>
      <w:numFmt w:val="lowerLetter"/>
      <w:start w:val="2"/>
    </w:lvl>
  </w:abstractNum>
  <w:abstractNum w:abstractNumId="70">
    <w:nsid w:val="4A2AC315"/>
    <w:multiLevelType w:val="hybridMultilevel"/>
    <w:lvl w:ilvl="0">
      <w:lvlJc w:val="left"/>
      <w:lvlText w:val="%1"/>
      <w:numFmt w:val="upperLetter"/>
      <w:start w:val="1"/>
    </w:lvl>
    <w:lvl w:ilvl="1">
      <w:lvlJc w:val="left"/>
      <w:lvlText w:val="%2."/>
      <w:numFmt w:val="upperLetter"/>
      <w:start w:val="1"/>
    </w:lvl>
  </w:abstractNum>
  <w:abstractNum w:abstractNumId="71">
    <w:nsid w:val="39EE015C"/>
    <w:multiLevelType w:val="hybridMultilevel"/>
    <w:lvl w:ilvl="0">
      <w:lvlJc w:val="left"/>
      <w:lvlText w:val="(%1)"/>
      <w:numFmt w:val="lowerRoman"/>
      <w:start w:val="2"/>
    </w:lvl>
  </w:abstractNum>
  <w:abstractNum w:abstractNumId="72">
    <w:nsid w:val="57FC4FBB"/>
    <w:multiLevelType w:val="hybridMultilevel"/>
    <w:lvl w:ilvl="0">
      <w:lvlJc w:val="left"/>
      <w:lvlText w:val="(%1)"/>
      <w:numFmt w:val="decimal"/>
      <w:start w:val="15"/>
    </w:lvl>
  </w:abstractNum>
  <w:abstractNum w:abstractNumId="73">
    <w:nsid w:val="CC1016F"/>
    <w:multiLevelType w:val="hybridMultilevel"/>
    <w:lvl w:ilvl="0">
      <w:lvlJc w:val="left"/>
      <w:lvlText w:val="(%1)"/>
      <w:numFmt w:val="lowerRoman"/>
      <w:start w:val="1"/>
    </w:lvl>
  </w:abstractNum>
  <w:abstractNum w:abstractNumId="74">
    <w:nsid w:val="43F18422"/>
    <w:multiLevelType w:val="hybridMultilevel"/>
    <w:lvl w:ilvl="0">
      <w:lvlJc w:val="left"/>
      <w:lvlText w:val="%1)"/>
      <w:numFmt w:val="lowerLetter"/>
      <w:start w:val="3"/>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1."/>
      <w:numFmt w:val="upperLetter"/>
      <w:start w:val="1"/>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1"/>
    </w:lvl>
    <w:lvl w:ilvl="1">
      <w:lvlJc w:val="left"/>
      <w:lvlText w:val="(%2)"/>
      <w:numFmt w:val="lowerRoman"/>
      <w:start w:val="1"/>
    </w:lvl>
  </w:abstractNum>
  <w:abstractNum w:abstractNumId="80">
    <w:nsid w:val="5FB8370B"/>
    <w:multiLevelType w:val="hybridMultilevel"/>
    <w:lvl w:ilvl="0">
      <w:lvlJc w:val="left"/>
      <w:lvlText w:val="(%1)"/>
      <w:numFmt w:val="lowerLetter"/>
      <w:start w:val="2"/>
    </w:lvl>
    <w:lvl w:ilvl="1">
      <w:lvlJc w:val="left"/>
      <w:lvlText w:val="%2"/>
      <w:numFmt w:val="lowerRoman"/>
      <w:start w:val="1"/>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2"/>
    </w:lvl>
    <w:lvl w:ilvl="1">
      <w:lvlJc w:val="left"/>
      <w:lvlText w:val="(%2)"/>
      <w:numFmt w:val="lowerRoman"/>
      <w:start w:val="1"/>
    </w:lvl>
  </w:abstractNum>
  <w:abstractNum w:abstractNumId="83">
    <w:nsid w:val="5FB801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4">
    <w:nsid w:val="6AA78F7F"/>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3"/>
    </w:lvl>
  </w:abstractNum>
  <w:abstractNum w:abstractNumId="85">
    <w:nsid w:val="7672BD23"/>
    <w:multiLevelType w:val="hybridMultilevel"/>
    <w:lvl w:ilvl="0">
      <w:lvlJc w:val="left"/>
      <w:lvlText w:val="(%1)"/>
      <w:numFmt w:val="lowerLetter"/>
      <w:start w:val="4"/>
    </w:lvl>
  </w:abstractNum>
  <w:abstractNum w:abstractNumId="86">
    <w:nsid w:val="6FC75AF8"/>
    <w:multiLevelType w:val="hybridMultilevel"/>
    <w:lvl w:ilvl="0">
      <w:lvlJc w:val="left"/>
      <w:lvlText w:val="(%1)"/>
      <w:numFmt w:val="lowerLetter"/>
      <w:start w:val="10"/>
    </w:lvl>
  </w:abstractNum>
  <w:abstractNum w:abstractNumId="87">
    <w:nsid w:val="6A5F7029"/>
    <w:multiLevelType w:val="hybridMultilevel"/>
    <w:lvl w:ilvl="0">
      <w:lvlJc w:val="left"/>
      <w:lvlText w:val="(%1)"/>
      <w:numFmt w:val="lowerLetter"/>
      <w:start w:val="3"/>
    </w:lvl>
  </w:abstractNum>
  <w:abstractNum w:abstractNumId="88">
    <w:nsid w:val="7D5E18F8"/>
    <w:multiLevelType w:val="hybridMultilevel"/>
    <w:lvl w:ilvl="0">
      <w:lvlJc w:val="left"/>
      <w:lvlText w:val="(%1)"/>
      <w:numFmt w:val="lowerLetter"/>
      <w:start w:val="5"/>
    </w:lvl>
  </w:abstractNum>
  <w:abstractNum w:abstractNumId="89">
    <w:nsid w:val="5F3534A4"/>
    <w:multiLevelType w:val="hybridMultilevel"/>
    <w:lvl w:ilvl="0">
      <w:lvlJc w:val="left"/>
      <w:lvlText w:val="(%1)"/>
      <w:numFmt w:val="lowerRoman"/>
      <w:start w:val="10"/>
    </w:lvl>
  </w:abstractNum>
  <w:abstractNum w:abstractNumId="90">
    <w:nsid w:val="73A1821B"/>
    <w:multiLevelType w:val="hybridMultilevel"/>
    <w:lvl w:ilvl="0">
      <w:lvlJc w:val="left"/>
      <w:lvlText w:val="(%1)"/>
      <w:numFmt w:val="lowerRoman"/>
      <w:start w:val="11"/>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lowerLetter"/>
      <w:start w:val="1"/>
    </w:lvl>
    <w:lvl w:ilvl="1">
      <w:lvlJc w:val="left"/>
      <w:lvlText w:val="(%2)"/>
      <w:numFmt w:val="lowerRoman"/>
      <w:start w:val="1"/>
    </w:lvl>
  </w:abstractNum>
  <w:abstractNum w:abstractNumId="93">
    <w:nsid w:val="3FA62ACA"/>
    <w:multiLevelType w:val="hybridMultilevel"/>
    <w:lvl w:ilvl="0">
      <w:lvlJc w:val="left"/>
      <w:lvlText w:val="(%1)"/>
      <w:numFmt w:val="lowerLetter"/>
      <w:start w:val="3"/>
    </w:lvl>
  </w:abstractNum>
  <w:abstractNum w:abstractNumId="94">
    <w:nsid w:val="14FCE74E"/>
    <w:multiLevelType w:val="hybridMultilevel"/>
    <w:lvl w:ilvl="0">
      <w:lvlJc w:val="left"/>
      <w:lvlText w:val="(%1)"/>
      <w:numFmt w:val="lowerLetter"/>
      <w:start w:val="1"/>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Letter"/>
      <w:start w:val="5"/>
    </w:lvl>
  </w:abstractNum>
  <w:abstractNum w:abstractNumId="97">
    <w:nsid w:val="9DAF632"/>
    <w:multiLevelType w:val="hybridMultilevel"/>
    <w:lvl w:ilvl="0">
      <w:lvlJc w:val="left"/>
      <w:lvlText w:val="(%1)"/>
      <w:numFmt w:val="lowerLetter"/>
      <w:start w:val="7"/>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lowerLetter"/>
      <w:start w:val="1"/>
    </w:lvl>
  </w:abstractNum>
  <w:abstractNum w:abstractNumId="100">
    <w:nsid w:val="5092CA79"/>
    <w:multiLevelType w:val="hybridMultilevel"/>
    <w:lvl w:ilvl="0">
      <w:lvlJc w:val="left"/>
      <w:lvlText w:val="(%1)"/>
      <w:numFmt w:val="lowerLetter"/>
      <w:start w:val="3"/>
    </w:lvl>
  </w:abstractNum>
  <w:abstractNum w:abstractNumId="101">
    <w:nsid w:val="1D545C4D"/>
    <w:multiLevelType w:val="hybridMultilevel"/>
    <w:lvl w:ilvl="0">
      <w:lvlJc w:val="left"/>
      <w:lvlText w:val="(%1)"/>
      <w:numFmt w:val="lowerRoman"/>
      <w:start w:val="3"/>
    </w:lvl>
  </w:abstractNum>
  <w:abstractNum w:abstractNumId="102">
    <w:nsid w:val="59ADEA3D"/>
    <w:multiLevelType w:val="hybridMultilevel"/>
    <w:lvl w:ilvl="0">
      <w:lvlJc w:val="left"/>
      <w:lvlText w:val="(%1)"/>
      <w:numFmt w:val="lowerLetter"/>
      <w:start w:val="1"/>
    </w:lvl>
  </w:abstractNum>
  <w:abstractNum w:abstractNumId="103">
    <w:nsid w:val="288F1A34"/>
    <w:multiLevelType w:val="hybridMultilevel"/>
    <w:lvl w:ilvl="0">
      <w:lvlJc w:val="left"/>
      <w:lvlText w:val="(%1)"/>
      <w:numFmt w:val="lowerLetter"/>
      <w:start w:val="2"/>
    </w:lvl>
  </w:abstractNum>
  <w:abstractNum w:abstractNumId="104">
    <w:nsid w:val="2A155DBC"/>
    <w:multiLevelType w:val="hybridMultilevel"/>
    <w:lvl w:ilvl="0">
      <w:lvlJc w:val="left"/>
      <w:lvlText w:val="(%1)"/>
      <w:numFmt w:val="lowerLetter"/>
      <w:start w:val="3"/>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4"/>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103" Type="http://schemas.openxmlformats.org/officeDocument/2006/relationships/hyperlink" Target="http://www.sec.gov/Archives/edgar/data/1395937/000119312516496764/d119516dex31.htm" TargetMode="External"/><Relationship Id="rId104" Type="http://schemas.openxmlformats.org/officeDocument/2006/relationships/hyperlink" Target="http://www.sec.gov/Archives/edgar/data/1395937/000119312516496764/d119516dex32.htm" TargetMode="External"/><Relationship Id="rId105" Type="http://schemas.openxmlformats.org/officeDocument/2006/relationships/hyperlink" Target="http://www.sec.gov/Archives/edgar/data/1395937/000119312516457615/d117131dex41.htm" TargetMode="External"/><Relationship Id="rId106" Type="http://schemas.openxmlformats.org/officeDocument/2006/relationships/hyperlink" Target="http://www.sec.gov/Archives/edgar/data/1395937/000119312518197997/d617552dex41.htm" TargetMode="External"/><Relationship Id="rId107" Type="http://schemas.openxmlformats.org/officeDocument/2006/relationships/hyperlink" Target="http://www.sec.gov/Archives/edgar/data/1395937/000119312519092679/d730757dex42.htm" TargetMode="External"/><Relationship Id="rId108" Type="http://schemas.openxmlformats.org/officeDocument/2006/relationships/hyperlink" Target="http://www.sec.gov/Archives/edgar/data/1395937/000119312520023646/d880053dex41.htm" TargetMode="External"/><Relationship Id="rId109" Type="http://schemas.openxmlformats.org/officeDocument/2006/relationships/hyperlink" Target="http://www.sec.gov/Archives/edgar/data/1395937/000156459020009016/sndx-ex45_574.htm" TargetMode="External"/><Relationship Id="rId110" Type="http://schemas.openxmlformats.org/officeDocument/2006/relationships/hyperlink" Target="http://www.sec.gov/Archives/edgar/data/1395937/000119312516420122/d39288dex103.htm" TargetMode="External"/><Relationship Id="rId113" Type="http://schemas.openxmlformats.org/officeDocument/2006/relationships/hyperlink" Target="http://www.sec.gov/Archives/edgar/data/1395937/000119312516420122/d39288dex104.htm" TargetMode="External"/><Relationship Id="rId114" Type="http://schemas.openxmlformats.org/officeDocument/2006/relationships/hyperlink" Target="http://www.sec.gov/Archives/edgar/data/1395937/000119312516420122/d39288dex105.htm" TargetMode="External"/><Relationship Id="rId115" Type="http://schemas.openxmlformats.org/officeDocument/2006/relationships/hyperlink" Target="http://www.sec.gov/Archives/edgar/data/1395937/000119312516420122/d39288dex106.htm" TargetMode="External"/><Relationship Id="rId116" Type="http://schemas.openxmlformats.org/officeDocument/2006/relationships/hyperlink" Target="http://www.sec.gov/Archives/edgar/data/1395937/000119312516420122/d39288dex107.htm" TargetMode="External"/><Relationship Id="rId117" Type="http://schemas.openxmlformats.org/officeDocument/2006/relationships/hyperlink" Target="http://www.sec.gov/Archives/edgar/data/1395937/000119312516420122/d39288dex108.htm" TargetMode="External"/><Relationship Id="rId118" Type="http://schemas.openxmlformats.org/officeDocument/2006/relationships/hyperlink" Target="http://www.sec.gov/Archives/edgar/data/1395937/000119312516420122/d39288dex109.htm" TargetMode="External"/><Relationship Id="rId119" Type="http://schemas.openxmlformats.org/officeDocument/2006/relationships/hyperlink" Target="http://www.sec.gov/Archives/edgar/data/1395937/000119312516420122/d39288dex1010.htm" TargetMode="External"/><Relationship Id="rId120" Type="http://schemas.openxmlformats.org/officeDocument/2006/relationships/hyperlink" Target="http://www.sec.gov/Archives/edgar/data/1395937/000119312516420122/d39288dex1011.htm" TargetMode="External"/><Relationship Id="rId121" Type="http://schemas.openxmlformats.org/officeDocument/2006/relationships/hyperlink" Target="http://www.sec.gov/Archives/edgar/data/1395937/000119312516420122/d39288dex1012.htm" TargetMode="External"/><Relationship Id="rId122" Type="http://schemas.openxmlformats.org/officeDocument/2006/relationships/hyperlink" Target="http://www.sec.gov/Archives/edgar/data/1395937/000119312516420122/d39288dex1013.htm" TargetMode="External"/><Relationship Id="rId123" Type="http://schemas.openxmlformats.org/officeDocument/2006/relationships/hyperlink" Target="http://www.sec.gov/Archives/edgar/data/1395937/000119312516420122/d39288dex1014.htm" TargetMode="External"/><Relationship Id="rId124" Type="http://schemas.openxmlformats.org/officeDocument/2006/relationships/hyperlink" Target="http://www.sec.gov/Archives/edgar/data/1395937/000156459020037777/sndx-ex101_313.htm" TargetMode="External"/><Relationship Id="rId125" Type="http://schemas.openxmlformats.org/officeDocument/2006/relationships/hyperlink" Target="http://www.sec.gov/Archives/edgar/data/1395937/000156459021012607/sndx-ex1014_191.htm" TargetMode="External"/><Relationship Id="rId126" Type="http://schemas.openxmlformats.org/officeDocument/2006/relationships/hyperlink" Target="http://www.sec.gov/Archives/edgar/data/1395937/000119312516518181/d166957dex416.htm" TargetMode="External"/><Relationship Id="rId129" Type="http://schemas.openxmlformats.org/officeDocument/2006/relationships/hyperlink" Target="http://www.sec.gov/Archives/edgar/data/1395937/000156459020022971/sndx-ex106_394.htm" TargetMode="External"/><Relationship Id="rId130" Type="http://schemas.openxmlformats.org/officeDocument/2006/relationships/hyperlink" Target="http://www.sec.gov/Archives/edgar/data/1395937/000119312516420122/d39288dex1021.htm" TargetMode="External"/><Relationship Id="rId131" Type="http://schemas.openxmlformats.org/officeDocument/2006/relationships/hyperlink" Target="http://www.sec.gov/Archives/edgar/data/1395937/000119312516420122/d39288dex1022.htm" TargetMode="External"/><Relationship Id="rId132" Type="http://schemas.openxmlformats.org/officeDocument/2006/relationships/hyperlink" Target="http://www.sec.gov/Archives/edgar/data/1395937/000119312516420122/d39288dex1023.htm" TargetMode="External"/><Relationship Id="rId133" Type="http://schemas.openxmlformats.org/officeDocument/2006/relationships/hyperlink" Target="http://www.sec.gov/Archives/edgar/data/1395937/000119312516420122/d39288dex1024.htm" TargetMode="External"/><Relationship Id="rId134" Type="http://schemas.openxmlformats.org/officeDocument/2006/relationships/hyperlink" Target="http://www.sec.gov/Archives/edgar/data/1395937/000119312516420122/d39288dex1025.htm" TargetMode="External"/><Relationship Id="rId135" Type="http://schemas.openxmlformats.org/officeDocument/2006/relationships/hyperlink" Target="http://www.sec.gov/Archives/edgar/data/1395937/000119312516420122/d39288dex1026.htm" TargetMode="External"/><Relationship Id="rId136" Type="http://schemas.openxmlformats.org/officeDocument/2006/relationships/hyperlink" Target="http://www.sec.gov/Archives/edgar/data/1395937/000119312516733845/d250701dex101.htm" TargetMode="External"/><Relationship Id="rId137" Type="http://schemas.openxmlformats.org/officeDocument/2006/relationships/hyperlink" Target="http://www.sec.gov/Archives/edgar/data/0001395937/000119312517163872/d380147dex104.htm" TargetMode="External"/><Relationship Id="rId138" Type="http://schemas.openxmlformats.org/officeDocument/2006/relationships/hyperlink" Target="http://www.sec.gov/Archives/edgar/data/1395937/000156459019041719/sndx-ex102_185.htm" TargetMode="External"/><Relationship Id="rId139" Type="http://schemas.openxmlformats.org/officeDocument/2006/relationships/hyperlink" Target="http://www.sec.gov/Archives/edgar/data/1395937/000119312516420122/d39288dex101.htm" TargetMode="External"/><Relationship Id="rId140" Type="http://schemas.openxmlformats.org/officeDocument/2006/relationships/hyperlink" Target="http://www.sec.gov/Archives/edgar/data/1395937/000156459018004911/sndx-ex1047_509.htm" TargetMode="External"/><Relationship Id="rId143" Type="http://schemas.openxmlformats.org/officeDocument/2006/relationships/hyperlink" Target="http://www.sec.gov/Archives/edgar/data/1395937/000156459019017318/sndx-ex101_122.htm" TargetMode="External"/><Relationship Id="rId144" Type="http://schemas.openxmlformats.org/officeDocument/2006/relationships/hyperlink" Target="http://www.sec.gov/Archives/edgar/data/1395937/000156459021057004/sndx-ex101_182.htm" TargetMode="External"/><Relationship Id="rId145" Type="http://schemas.openxmlformats.org/officeDocument/2006/relationships/hyperlink" Target="http://www.sec.gov/Archives/edgar/data/1395937/000156459021057004/sndx-ex102_181.htm" TargetMode="External"/><Relationship Id="rId146" Type="http://schemas.openxmlformats.org/officeDocument/2006/relationships/hyperlink" Target="http://www.sec.gov/Archives/edgar/data/1395937/000156459020022971/sndx-ex102_9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2022-03-01T20:47:50Z</dcterms:created>
  <dcterms:modified xsi:type="dcterms:W3CDTF">2022-03-01T20:47:50Z</dcterms:modified>
</cp:coreProperties>
</file>