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Syndax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60" w:type="dxa"/>
        <w:tblCellMar>
          <w:top w:w="0" w:type="dxa"/>
          <w:left w:w="0" w:type="dxa"/>
          <w:bottom w:w="0" w:type="dxa"/>
          <w:right w:w="0" w:type="dxa"/>
        </w:tblCellMar>
      </w:tblPr>
      <w:tr>
        <w:trPr>
          <w:trHeight w:val="212"/>
        </w:trPr>
        <w:tc>
          <w:tcPr>
            <w:tcW w:w="6380" w:type="dxa"/>
            <w:vAlign w:val="bottom"/>
          </w:tcPr>
          <w:p>
            <w:pPr>
              <w:jc w:val="center"/>
              <w:ind w:right="3239"/>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32-0162505</w:t>
            </w:r>
          </w:p>
        </w:tc>
      </w:tr>
      <w:tr>
        <w:trPr>
          <w:trHeight w:val="149"/>
        </w:trPr>
        <w:tc>
          <w:tcPr>
            <w:tcW w:w="6380" w:type="dxa"/>
            <w:vAlign w:val="bottom"/>
          </w:tcPr>
          <w:p>
            <w:pPr>
              <w:jc w:val="center"/>
              <w:ind w:right="32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380" w:type="dxa"/>
            <w:vAlign w:val="bottom"/>
          </w:tcPr>
          <w:p>
            <w:pPr>
              <w:jc w:val="center"/>
              <w:ind w:right="3239"/>
              <w:spacing w:after="0"/>
              <w:rPr>
                <w:sz w:val="20"/>
                <w:szCs w:val="20"/>
                <w:color w:val="auto"/>
              </w:rPr>
            </w:pPr>
            <w:r>
              <w:rPr>
                <w:rFonts w:ascii="Arial" w:cs="Arial" w:eastAsia="Arial" w:hAnsi="Arial"/>
                <w:sz w:val="14"/>
                <w:szCs w:val="14"/>
                <w:b w:val="1"/>
                <w:bCs w:val="1"/>
                <w:color w:val="auto"/>
                <w:w w:val="95"/>
              </w:rPr>
              <w:t>Incorporation or Organization)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380" w:type="dxa"/>
            <w:vAlign w:val="bottom"/>
          </w:tcPr>
          <w:p>
            <w:pPr>
              <w:jc w:val="center"/>
              <w:ind w:right="3219"/>
              <w:spacing w:after="0"/>
              <w:rPr>
                <w:sz w:val="20"/>
                <w:szCs w:val="20"/>
                <w:color w:val="auto"/>
              </w:rPr>
            </w:pPr>
            <w:r>
              <w:rPr>
                <w:rFonts w:ascii="Arial" w:cs="Arial" w:eastAsia="Arial" w:hAnsi="Arial"/>
                <w:sz w:val="18"/>
                <w:szCs w:val="18"/>
                <w:b w:val="1"/>
                <w:bCs w:val="1"/>
                <w:color w:val="auto"/>
                <w:w w:val="91"/>
              </w:rPr>
              <w:t>35 Gatehouse Drive, Building D, Floor 3</w:t>
            </w:r>
          </w:p>
        </w:tc>
        <w:tc>
          <w:tcPr>
            <w:tcW w:w="1480" w:type="dxa"/>
            <w:vAlign w:val="bottom"/>
          </w:tcPr>
          <w:p>
            <w:pPr>
              <w:spacing w:after="0"/>
              <w:rPr>
                <w:sz w:val="24"/>
                <w:szCs w:val="24"/>
                <w:color w:val="auto"/>
              </w:rPr>
            </w:pPr>
          </w:p>
        </w:tc>
      </w:tr>
      <w:tr>
        <w:trPr>
          <w:trHeight w:val="225"/>
        </w:trPr>
        <w:tc>
          <w:tcPr>
            <w:tcW w:w="6380" w:type="dxa"/>
            <w:vAlign w:val="bottom"/>
          </w:tcPr>
          <w:p>
            <w:pPr>
              <w:jc w:val="center"/>
              <w:ind w:right="3239"/>
              <w:spacing w:after="0"/>
              <w:rPr>
                <w:sz w:val="20"/>
                <w:szCs w:val="20"/>
                <w:color w:val="auto"/>
              </w:rPr>
            </w:pPr>
            <w:r>
              <w:rPr>
                <w:rFonts w:ascii="Arial" w:cs="Arial" w:eastAsia="Arial" w:hAnsi="Arial"/>
                <w:sz w:val="18"/>
                <w:szCs w:val="18"/>
                <w:b w:val="1"/>
                <w:bCs w:val="1"/>
                <w:color w:val="auto"/>
                <w:w w:val="88"/>
              </w:rPr>
              <w:t>Waltham, Massachusetts</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6380" w:type="dxa"/>
            <w:vAlign w:val="bottom"/>
          </w:tcPr>
          <w:p>
            <w:pPr>
              <w:jc w:val="center"/>
              <w:ind w:right="32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380" w:type="dxa"/>
            <w:vAlign w:val="bottom"/>
          </w:tcPr>
          <w:p>
            <w:pPr>
              <w:jc w:val="right"/>
              <w:ind w:right="1379"/>
              <w:spacing w:after="0"/>
              <w:rPr>
                <w:sz w:val="20"/>
                <w:szCs w:val="20"/>
                <w:color w:val="auto"/>
              </w:rPr>
            </w:pPr>
            <w:r>
              <w:rPr>
                <w:rFonts w:ascii="Arial" w:cs="Arial" w:eastAsia="Arial" w:hAnsi="Arial"/>
                <w:sz w:val="18"/>
                <w:szCs w:val="18"/>
                <w:b w:val="1"/>
                <w:bCs w:val="1"/>
                <w:color w:val="auto"/>
              </w:rPr>
              <w:t>(781) 419-1400</w:t>
            </w:r>
          </w:p>
        </w:tc>
        <w:tc>
          <w:tcPr>
            <w:tcW w:w="1480" w:type="dxa"/>
            <w:vAlign w:val="bottom"/>
          </w:tcPr>
          <w:p>
            <w:pPr>
              <w:spacing w:after="0"/>
              <w:rPr>
                <w:sz w:val="24"/>
                <w:szCs w:val="24"/>
                <w:color w:val="auto"/>
              </w:rPr>
            </w:pPr>
          </w:p>
        </w:tc>
      </w:tr>
      <w:tr>
        <w:trPr>
          <w:trHeight w:val="186"/>
        </w:trPr>
        <w:tc>
          <w:tcPr>
            <w:tcW w:w="6380" w:type="dxa"/>
            <w:vAlign w:val="bottom"/>
          </w:tcPr>
          <w:p>
            <w:pPr>
              <w:jc w:val="center"/>
              <w:ind w:left="225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ind w:right="3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or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August 10, 2017, there were 22,219,978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48"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trials of entinostat in lung cancer, melanoma, microsatellite stable colorectal cancer, ovarian cancer, and triple negative breast cancer;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HR+, HER2- breast cancer;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SNDX-6352 and the potential use of SNDX-6352 to treat various cancer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 including head and neck, bladder and renal cells;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and UCB Biopharma Sprl;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980" w:type="dxa"/>
            <w:vAlign w:val="bottom"/>
            <w:gridSpan w:val="9"/>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7"/>
            <w:vMerge w:val="continue"/>
          </w:tcPr>
          <w:p>
            <w:pPr>
              <w:spacing w:after="0"/>
              <w:rPr>
                <w:sz w:val="13"/>
                <w:szCs w:val="13"/>
                <w:color w:val="auto"/>
              </w:rPr>
            </w:pPr>
          </w:p>
        </w:tc>
        <w:tc>
          <w:tcPr>
            <w:tcW w:w="7980" w:type="dxa"/>
            <w:vAlign w:val="bottom"/>
            <w:gridSpan w:val="9"/>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Financial Statements:</w:t>
              </w:r>
            </w:hyperlink>
          </w:p>
        </w:tc>
        <w:tc>
          <w:tcPr>
            <w:tcW w:w="7820" w:type="dxa"/>
            <w:vAlign w:val="bottom"/>
            <w:gridSpan w:val="8"/>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2017 and December 31, 2016</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 for the three and six months ended June 30, 2017 and 2016</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868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2017 and 2016</w:t>
              </w:r>
            </w:hyperlink>
          </w:p>
        </w:tc>
        <w:tc>
          <w:tcPr>
            <w:tcW w:w="1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30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72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840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8280" w:type="dxa"/>
            <w:vAlign w:val="bottom"/>
            <w:gridSpan w:val="10"/>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8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24"/>
                <w:szCs w:val="24"/>
                <w:color w:val="auto"/>
              </w:rPr>
            </w:pPr>
          </w:p>
        </w:tc>
        <w:tc>
          <w:tcPr>
            <w:tcW w:w="884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Unregistered Sales of Equity Securities and Use of Proceeds</w:t>
              </w:r>
            </w:hyperlink>
          </w:p>
        </w:tc>
        <w:tc>
          <w:tcPr>
            <w:tcW w:w="582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0180" w:type="dxa"/>
            <w:vAlign w:val="bottom"/>
            <w:gridSpan w:val="1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5"/>
          </w:tcPr>
          <w:p>
            <w:pPr>
              <w:ind w:left="400"/>
              <w:spacing w:after="0"/>
              <w:rPr>
                <w:sz w:val="20"/>
                <w:szCs w:val="20"/>
                <w:color w:val="auto"/>
              </w:rPr>
            </w:pPr>
            <w:r>
              <w:rPr>
                <w:rFonts w:ascii="Arial" w:cs="Arial" w:eastAsia="Arial" w:hAnsi="Arial"/>
                <w:sz w:val="18"/>
                <w:szCs w:val="18"/>
                <w:color w:val="auto"/>
              </w:rPr>
              <w:t>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7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20" w:type="dxa"/>
            <w:vAlign w:val="bottom"/>
          </w:tcPr>
          <w:p>
            <w:pPr>
              <w:jc w:val="center"/>
              <w:ind w:left="1310"/>
              <w:spacing w:after="0"/>
              <w:rPr>
                <w:sz w:val="20"/>
                <w:szCs w:val="20"/>
                <w:color w:val="auto"/>
              </w:rPr>
            </w:pPr>
            <w:r>
              <w:rPr>
                <w:rFonts w:ascii="Arial" w:cs="Arial" w:eastAsia="Arial" w:hAnsi="Arial"/>
                <w:sz w:val="18"/>
                <w:szCs w:val="18"/>
                <w:b w:val="1"/>
                <w:bCs w:val="1"/>
                <w:color w:val="auto"/>
              </w:rPr>
              <w:t>SYNDAX PHARMACEUTICALS, INC.</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2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320" w:type="dxa"/>
            <w:vAlign w:val="bottom"/>
          </w:tcPr>
          <w:p>
            <w:pPr>
              <w:jc w:val="center"/>
              <w:ind w:left="13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June 30, 2017</w:t>
            </w:r>
          </w:p>
        </w:tc>
        <w:tc>
          <w:tcPr>
            <w:tcW w:w="30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2016</w:t>
            </w:r>
          </w:p>
        </w:tc>
      </w:tr>
      <w:tr>
        <w:trPr>
          <w:trHeight w:val="196"/>
        </w:trPr>
        <w:tc>
          <w:tcPr>
            <w:tcW w:w="20" w:type="dxa"/>
            <w:vAlign w:val="bottom"/>
          </w:tcPr>
          <w:p>
            <w:pPr>
              <w:spacing w:after="0"/>
              <w:rPr>
                <w:sz w:val="17"/>
                <w:szCs w:val="17"/>
                <w:color w:val="auto"/>
              </w:rPr>
            </w:pPr>
          </w:p>
        </w:tc>
        <w:tc>
          <w:tcPr>
            <w:tcW w:w="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22,988</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23,844</w:t>
            </w:r>
          </w:p>
        </w:tc>
      </w:tr>
      <w:tr>
        <w:trPr>
          <w:trHeight w:val="216"/>
        </w:trPr>
        <w:tc>
          <w:tcPr>
            <w:tcW w:w="20" w:type="dxa"/>
            <w:vAlign w:val="bottom"/>
          </w:tcPr>
          <w:p>
            <w:pPr>
              <w:spacing w:after="0"/>
              <w:rPr>
                <w:sz w:val="18"/>
                <w:szCs w:val="18"/>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106,967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81,486</w:t>
            </w:r>
          </w:p>
        </w:tc>
      </w:tr>
      <w:tr>
        <w:trPr>
          <w:trHeight w:val="223"/>
        </w:trPr>
        <w:tc>
          <w:tcPr>
            <w:tcW w:w="20" w:type="dxa"/>
            <w:vAlign w:val="bottom"/>
          </w:tcPr>
          <w:p>
            <w:pPr>
              <w:spacing w:after="0"/>
              <w:rPr>
                <w:sz w:val="19"/>
                <w:szCs w:val="19"/>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3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134,167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108,510</w:t>
            </w:r>
          </w:p>
        </w:tc>
      </w:tr>
      <w:tr>
        <w:trPr>
          <w:trHeight w:val="216"/>
        </w:trPr>
        <w:tc>
          <w:tcPr>
            <w:tcW w:w="2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Other assets</w:t>
            </w:r>
          </w:p>
        </w:tc>
        <w:tc>
          <w:tcPr>
            <w:tcW w:w="4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w w:val="90"/>
              </w:rPr>
              <w:t>Total assets</w:t>
            </w:r>
          </w:p>
        </w:tc>
        <w:tc>
          <w:tcPr>
            <w:tcW w:w="46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134,666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3,362</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w:t>
            </w:r>
          </w:p>
        </w:tc>
      </w:tr>
      <w:tr>
        <w:trPr>
          <w:trHeight w:val="216"/>
        </w:trPr>
        <w:tc>
          <w:tcPr>
            <w:tcW w:w="20" w:type="dxa"/>
            <w:vAlign w:val="bottom"/>
          </w:tcPr>
          <w:p>
            <w:pPr>
              <w:spacing w:after="0"/>
              <w:rPr>
                <w:sz w:val="18"/>
                <w:szCs w:val="18"/>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6,923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6,771</w:t>
            </w: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r>
      <w:tr>
        <w:trPr>
          <w:trHeight w:val="230"/>
        </w:trPr>
        <w:tc>
          <w:tcPr>
            <w:tcW w:w="8680" w:type="dxa"/>
            <w:vAlign w:val="bottom"/>
            <w:gridSpan w:val="4"/>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Deferred revenue, less current portion</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13,610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14,220</w:t>
            </w: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r>
      <w:tr>
        <w:trPr>
          <w:trHeight w:val="230"/>
        </w:trPr>
        <w:tc>
          <w:tcPr>
            <w:tcW w:w="8680" w:type="dxa"/>
            <w:vAlign w:val="bottom"/>
            <w:gridSpan w:val="4"/>
          </w:tcPr>
          <w:p>
            <w:pPr>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24,874</w:t>
            </w: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Commitments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6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5"/>
              </w:rPr>
              <w:t>Preferred stock, $0.001 par value, 10,000,000 shares authorized; 0 shares outstanding at June 30, 2017 and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60" w:type="dxa"/>
            <w:vAlign w:val="bottom"/>
            <w:gridSpan w:val="3"/>
          </w:tcPr>
          <w:p>
            <w:pPr>
              <w:ind w:left="520"/>
              <w:spacing w:after="0"/>
              <w:rPr>
                <w:sz w:val="20"/>
                <w:szCs w:val="20"/>
                <w:color w:val="auto"/>
              </w:rPr>
            </w:pPr>
            <w:r>
              <w:rPr>
                <w:rFonts w:ascii="Arial" w:cs="Arial" w:eastAsia="Arial" w:hAnsi="Arial"/>
                <w:sz w:val="18"/>
                <w:szCs w:val="18"/>
                <w:color w:val="auto"/>
              </w:rPr>
              <w:t>December 31, 2016</w:t>
            </w:r>
          </w:p>
        </w:tc>
        <w:tc>
          <w:tcPr>
            <w:tcW w:w="140" w:type="dxa"/>
            <w:vAlign w:val="bottom"/>
          </w:tcPr>
          <w:p>
            <w:pPr>
              <w:spacing w:after="0"/>
              <w:rPr>
                <w:sz w:val="20"/>
                <w:szCs w:val="20"/>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66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$0.0001 par value, 100,000,000 shares authorized; 22,219,843 and 18,215,181 shares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outstanding at June 30, 2017 and December 31, 2016, respectively</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441,218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389,374</w:t>
            </w: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23"/>
        </w:trPr>
        <w:tc>
          <w:tcPr>
            <w:tcW w:w="20" w:type="dxa"/>
            <w:vAlign w:val="bottom"/>
          </w:tcPr>
          <w:p>
            <w:pPr>
              <w:spacing w:after="0"/>
              <w:rPr>
                <w:sz w:val="19"/>
                <w:szCs w:val="19"/>
                <w:color w:val="auto"/>
              </w:rPr>
            </w:pPr>
          </w:p>
        </w:tc>
        <w:tc>
          <w:tcPr>
            <w:tcW w:w="866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(331,919)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(305,293)</w:t>
            </w: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109,337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134,666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4"/>
                <w:szCs w:val="14"/>
                <w:color w:val="auto"/>
              </w:rPr>
            </w:pPr>
          </w:p>
        </w:tc>
        <w:tc>
          <w:tcPr>
            <w:tcW w:w="2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17,997</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(13,639</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Unrealized (losses) gains on marketable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(13,601)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(13,639</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 used to compute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attributable to common stockholders—basic and diluted</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6"/>
              </w:rPr>
              <w:t>19,497,581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17,769,514</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18,868,089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11,155,525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86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(26,610)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(18,688)</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720"/>
              <w:spacing w:after="0"/>
              <w:rPr>
                <w:sz w:val="20"/>
                <w:szCs w:val="20"/>
                <w:color w:val="auto"/>
              </w:rPr>
            </w:pPr>
            <w:r>
              <w:rPr>
                <w:rFonts w:ascii="Arial" w:cs="Arial" w:eastAsia="Arial" w:hAnsi="Arial"/>
                <w:sz w:val="18"/>
                <w:szCs w:val="18"/>
                <w:color w:val="auto"/>
              </w:rPr>
              <w:t>Depreciation, amortization and accretion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w:t>
            </w:r>
          </w:p>
        </w:tc>
      </w:tr>
      <w:tr>
        <w:trPr>
          <w:trHeight w:val="216"/>
        </w:trPr>
        <w:tc>
          <w:tcPr>
            <w:tcW w:w="8620" w:type="dxa"/>
            <w:vAlign w:val="bottom"/>
          </w:tcPr>
          <w:p>
            <w:pPr>
              <w:ind w:left="720"/>
              <w:spacing w:after="0"/>
              <w:rPr>
                <w:sz w:val="20"/>
                <w:szCs w:val="20"/>
                <w:color w:val="auto"/>
              </w:rPr>
            </w:pPr>
            <w:r>
              <w:rPr>
                <w:rFonts w:ascii="Arial" w:cs="Arial" w:eastAsia="Arial" w:hAnsi="Arial"/>
                <w:sz w:val="18"/>
                <w:szCs w:val="18"/>
                <w:color w:val="auto"/>
              </w:rPr>
              <w:t>Change in fair value of warrants and derivative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r>
      <w:tr>
        <w:trPr>
          <w:trHeight w:val="216"/>
        </w:trPr>
        <w:tc>
          <w:tcPr>
            <w:tcW w:w="862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86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r>
      <w:tr>
        <w:trPr>
          <w:trHeight w:val="216"/>
        </w:trPr>
        <w:tc>
          <w:tcPr>
            <w:tcW w:w="8620" w:type="dxa"/>
            <w:vAlign w:val="bottom"/>
          </w:tcPr>
          <w:p>
            <w:pPr>
              <w:ind w:left="1080"/>
              <w:spacing w:after="0"/>
              <w:rPr>
                <w:sz w:val="20"/>
                <w:szCs w:val="20"/>
                <w:color w:val="auto"/>
              </w:rPr>
            </w:pPr>
            <w:r>
              <w:rPr>
                <w:rFonts w:ascii="Arial" w:cs="Arial" w:eastAsia="Arial" w:hAnsi="Arial"/>
                <w:sz w:val="18"/>
                <w:szCs w:val="18"/>
                <w:color w:val="auto"/>
              </w:rPr>
              <w:t>Accrued expenses and other liabilities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1,707</w:t>
            </w:r>
          </w:p>
        </w:tc>
      </w:tr>
      <w:tr>
        <w:trPr>
          <w:trHeight w:val="27"/>
        </w:trPr>
        <w:tc>
          <w:tcPr>
            <w:tcW w:w="8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provided by operating activities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(24,468)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(13,293)</w:t>
            </w:r>
          </w:p>
        </w:tc>
      </w:tr>
      <w:tr>
        <w:trPr>
          <w:trHeight w:val="223"/>
        </w:trPr>
        <w:tc>
          <w:tcPr>
            <w:tcW w:w="8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Changes in restricted cash</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short-term investments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(87,989)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(109,932)</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Proceeds from sales and maturities of short-term investments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62,447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62,377</w:t>
            </w:r>
          </w:p>
        </w:tc>
      </w:tr>
      <w:tr>
        <w:trPr>
          <w:trHeight w:val="27"/>
        </w:trPr>
        <w:tc>
          <w:tcPr>
            <w:tcW w:w="8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(25,492)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(47,761)</w:t>
            </w:r>
          </w:p>
        </w:tc>
      </w:tr>
      <w:tr>
        <w:trPr>
          <w:trHeight w:val="223"/>
        </w:trPr>
        <w:tc>
          <w:tcPr>
            <w:tcW w:w="8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in initial public stock offering, net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52,318</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in follow on public stock offering, net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48,836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option exercises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8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52,316</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23,179</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CASH AND CASH EQUIVALENTS—end of period</w:t>
            </w: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Interest paid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dividends on convertible preferred stock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Reclassification of common stock warrant liability to additional paid-in capital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4,551</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stock to common stock upon closing of initial public offering</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328,941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Syndax Pharmaceuticals, Inc. (the Company) is a clinical stage biopharmaceutical company developing an innovative pipeline of combination therapies in multiple cancer indications. The Company’s lead product candidate, entinostat, is currently being evaluated in a Phase 3 clinical trial for advanced hormone receptor positive, human epidermal growth factor receptor 2 negative breast cancer. The U.S. Food and Drug Administration granted Breakthrough Therapy designation to entinostat when given in combination with exemestane following positive results from the Company’s ENCORE 301 Phase 2b clinical trial. Given its potential ability to block the function of immune suppressive cells in the tumor microenvironment, the Company is evaluating entinostat as a combination therapeutic in Phase 1b/2 clinical trials with Merck &amp; Co., Inc. for non-small cell lung cancer, melanoma and microsatellite stable colorectal cancer; with Genentech, Inc. for triple negative breast cancer; and with Merck KGaA, Darmstadt, Germany, and Pfizer Inc. for ovarian cancer. The Company’s second product candidate, SNDX-6352, is a monoclonal antibody that targets the colony stimulating factor-1 receptor to enhance the body’s immune response against tumors that have shown sensitivity to immunotherapy. The Company is evaluating SNDX-6352 in a Phase 1 clinical trial. The Company plans to continue to leverage the technical and business expertise of our management team and scientific collaborators to license, acquire and develop additional cancer therapies to expand our pipeline.</w:t>
      </w:r>
    </w:p>
    <w:p>
      <w:pPr>
        <w:spacing w:after="0" w:line="1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March 2016, the Company completed its initial public offering (“IPO”) whereby it sold 4,809,475 shares of common stock at the initial public offering price of $12.00 per share, which included 409,475 shares issued pursuant to the underwriters’ partial exercise of their over-allotment option to purchase additional shares of common stock. The aggregate net proceeds received by the Company from the offering were $50.5 million, net of underwriting discounts and commissions of $4.0 million and offering expenses of $3.1 million. Upon the closing of the IPO, all outstanding shares of the Company’s outstanding convertible preferred stock converted into 12,872,551 shares of common stock; and the Company’s outstanding warrant liability to purchase 357,840 shares of the Company’s common stock valued at $4.6 million was reclassified to additional paid-in capital. In connection with the closing of the Company’s IPO, the Company filed an amended and restated certificate of incorporation and adopted amended and restated bylaws, both of which were approved by the Company’s board of directors and stockholders on September 28, 2015 and February 24, 2016, respectively. Pursuant to the amended and restated certificate of incorporation, the Company is now authorized to issue 100,000,000 shares of common stock and 10,000,000 shares of preferred stock.</w:t>
      </w:r>
    </w:p>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May 2017, the Company completed a follow-on public offering whereby the Company sold 3,950,190 shares of common stock at a price of $13.25 per share, which included 200,190 shares issued pursuant to the underwriters’ partial exercise of their option to purchase additional shares of common stock. The aggregate net proceeds received by the Company from the offering were approximately $48.7 million, net of underwriting discounts and commissions and estimated offering expenses payable by the Company.</w:t>
      </w:r>
    </w:p>
    <w:p>
      <w:pPr>
        <w:spacing w:after="0" w:line="18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two or more years before either entinostat or SNDX-6352 is approved, if ever, and the Company begins to generate revenue from sales of either entinostat or SNDX-6352. Accordingly, management expects to incur substantial losses on the ongoing development of entinostat and SNDX-6352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6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Company’s management believes that the cash, cash equivalents and short-term investments balances as of June 30, 2017 should enable the Company to maintain its planned operations for at least the next 12 months.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are not available, the Company may be required to delay or reduce expenditures to conserve cash, which could involve scaling back or curtailing development and general and administrative activities.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Company has prepared the accompanying condensed consolidated financial statements in conformity with accounting principles generally accepted in the United States of America (“U.S. GAAP”). Certain information and footnote disclosures normally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2017, and the results of operations and comprehensive loss for the three and six months ended June 30, 2017 and 2016, and cash flows for the six months ended June 30, 2017 and 2016. The results for the three and six months ended June 30, 2017 are not necessarily indicative of the results to be expected for the year ending December 31, 2017, any other interim periods, or any future year or period. These interim financial statements should be read in conjunction with the audited financial statements as of and for the year ended December 31, 2016, and the notes thereto, which are included in the Company’s Annual Report on Form 10-K that was filed with the Securities and Exchange Commission (“SEC”) on March 14, 2017.</w:t>
      </w:r>
    </w:p>
    <w:p>
      <w:pPr>
        <w:spacing w:after="0" w:line="179"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2016 and the notes thereto, which are included in the Company’s Annual Report on Form 10-K that was filed with the SEC on March 14, 2017, have had no material changes during the six months ended June 30, 2017.</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Other assets consist of deferred issuance costs, long-term security deposits and noncurrent restricted cash. Deferred issuance costs consist primarily of direct incremental legal and accounting fees relating to the IPO and other public offerings, which are deferred until completion of the offering, at which time they are reclassified to additional paid-in capital as a reduction of the offering proceeds. In the event that the offering is terminated, all costs deferred will be expensed immediately. As of June 30, 2017, and 2016, the Company had no capitalized deferred issuance costs.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right="240" w:firstLine="456"/>
        <w:spacing w:after="0" w:line="279" w:lineRule="auto"/>
        <w:rPr>
          <w:sz w:val="20"/>
          <w:szCs w:val="20"/>
          <w:color w:val="auto"/>
        </w:rPr>
      </w:pPr>
      <w:r>
        <w:rPr>
          <w:rFonts w:ascii="Arial" w:cs="Arial" w:eastAsia="Arial" w:hAnsi="Arial"/>
          <w:sz w:val="17"/>
          <w:szCs w:val="17"/>
          <w:color w:val="auto"/>
        </w:rPr>
        <w:t>In instances where the Company has entered into cost-sharing arrangements, all research and development costs reimbursed by the collaborators are accounted for as reductions to research and development expense. For the six months ended June 30, 2017, the Company incurred $1.0 million in external costs related to cost-sharing collaborations, of which $0.5 million has been recorded as a reduction to research and development expense. No external costs related to cost-sharing collaborations were incurred for the six months ended June 30, 2016.</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and Adopted Accounting Pronouncements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In May 2017, the Financial Accounting Standards Board (“FASB”) issued Accounting Standards Update (“ASU”) 2017-09,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(Topic 718): Scope of Modification Accounting </w:t>
      </w:r>
      <w:r>
        <w:rPr>
          <w:rFonts w:ascii="Arial" w:cs="Arial" w:eastAsia="Arial" w:hAnsi="Arial"/>
          <w:sz w:val="17"/>
          <w:szCs w:val="17"/>
          <w:color w:val="auto"/>
        </w:rPr>
        <w:t>(“ASU 2017-09”). ASU 2017-09 provides guidance about which changes to the terms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a share-based payment award require an entity to apply modification accounting in Topic 718. An entity should account for the effects of a modification unless all of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ASU 2017-09 will be effective for the Company on January 1, 2018. The Company does not expect the adoption of this standard to have a material impact on its consolidated financial statements.</w:t>
      </w:r>
    </w:p>
    <w:p>
      <w:pPr>
        <w:spacing w:after="0" w:line="18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ASU 2016-18 requires that restricted cash and restricted cash equivalents be included with cash and cash equivalents when</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reconciling the beginning-of-period and end-of-period total amounts shown on the statement of cash flows. The statement of cash flows must also explain the change during the period in the total of cash, cash equivalents, and restricted cash or restricted cash equivalents. ASU 2016-18 will be effective for the Company on January 1, 2018. The Company does not expect the adoption of this standard to have a material impact on its consolidated financial statements.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ASU 2016-09 simplifies several aspects related to the accounting for share-based payment transactions,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forfeitures, statutory tax withholding requirements and classification on the statement of cash flows. The Company adopted ASU 2016-09 on January 1, 2017, and it did not have a material impact on its condensed consolidated balance sheet, condensed consolidated statement of comprehensive loss and condensed statement of cash flows. As part of the adoption of this guidance, the Company adopted a policy to account for forfeitures as they occur.</w:t>
      </w:r>
    </w:p>
    <w:p>
      <w:pPr>
        <w:spacing w:after="0" w:line="19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 The standard will be effective for the Company on January 1, 2019. The Company is in the process of evaluating the effect of the new guidance on the Company’s consolidated financial statements and related disclosures.</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ASU 2014-09 supersedes the revenue recognition requirements of FASB Accounting Standards Codification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most industry-specific guidance throughout the Accounting Standards Codification, resulting in the creation of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ASU 2014-09 requires entities to recognize revenue in a way that depicts the transfer of promised goods or services to customers in an amount that reflects the consideration to which the entity expects to be entitled to in exchange for those goods or services. Adoption will be permitted using either a retrospective or modified retrospective approach. In July 2015, FASB voted to delay the effective date of the standard by one year to the first quarter of 2018 to provide companies sufficient time to implement the standard. Early adoption will be permitted. The Company plans to adopt ASU 2014-09 on January 1, 2018. In preparation for adoption of ASC 606, we have formed a project team and engaged a third-party professional services firm to assist us with our evaluation. We have completed the assessment phase and are working through the next phases of the adoption project. We are continuing to evaluate which transition approach to use and assessing the effect the adoption of ASC 606 will have on our results of operations, financial position and related disclosures. Our preliminary assessment is that the impact of ASC 606 on our revenue recognition is minimal, but it is too early to make a final determination of transition method and effect of adoption given the many facets of this adoption that need to be considered.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 Attributable to Common Stockholders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4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gridSpan w:val="7"/>
          </w:tcPr>
          <w:p>
            <w:pPr>
              <w:jc w:val="right"/>
              <w:ind w:right="180"/>
              <w:spacing w:after="0" w:line="142" w:lineRule="exact"/>
              <w:rPr>
                <w:sz w:val="20"/>
                <w:szCs w:val="20"/>
                <w:color w:val="auto"/>
              </w:rPr>
            </w:pPr>
            <w:r>
              <w:rPr>
                <w:rFonts w:ascii="Arial" w:cs="Arial" w:eastAsia="Arial" w:hAnsi="Arial"/>
                <w:sz w:val="14"/>
                <w:szCs w:val="14"/>
                <w:b w:val="1"/>
                <w:bCs w:val="1"/>
                <w:color w:val="auto"/>
                <w:w w:val="95"/>
              </w:rPr>
              <w:t>(In thousands, except share and per share data)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Numerator—basic and diluted: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(13,639)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(8,358)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(26,610)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(18,688)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Net loss attributable to common stockholders—basic and</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(13,639)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(8,358)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(26,610)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(21,286)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Denominator—basic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shares used to compute net loss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share—basic and diluted</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19,497,581</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17,769,514</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18,868,089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11,155,525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940" w:type="dxa"/>
            <w:vAlign w:val="bottom"/>
            <w:gridSpan w:val="4"/>
          </w:tcPr>
          <w:p>
            <w:pPr>
              <w:ind w:left="6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7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3,281,644</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2,715,428</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Common stock warrant</w:t>
            </w:r>
          </w:p>
        </w:tc>
        <w:tc>
          <w:tcPr>
            <w:tcW w:w="780" w:type="dxa"/>
            <w:vAlign w:val="bottom"/>
          </w:tcPr>
          <w:p>
            <w:pPr>
              <w:jc w:val="right"/>
              <w:spacing w:after="0"/>
              <w:rPr>
                <w:sz w:val="20"/>
                <w:szCs w:val="20"/>
                <w:color w:val="auto"/>
              </w:rPr>
            </w:pPr>
            <w:r>
              <w:rPr>
                <w:rFonts w:ascii="Arial" w:cs="Arial" w:eastAsia="Arial" w:hAnsi="Arial"/>
                <w:sz w:val="18"/>
                <w:szCs w:val="18"/>
                <w:color w:val="auto"/>
              </w:rPr>
              <w:t>357,840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357,840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subject to future vesting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w:t>
            </w:r>
          </w:p>
        </w:tc>
        <w:tc>
          <w:tcPr>
            <w:tcW w:w="6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460" w:right="9280" w:hanging="452"/>
        <w:spacing w:after="0" w:line="425" w:lineRule="auto"/>
        <w:tabs>
          <w:tab w:leader="none" w:pos="18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Agreements UCB Biopharma Sprl</w:t>
      </w:r>
    </w:p>
    <w:p>
      <w:pPr>
        <w:spacing w:after="0" w:line="1" w:lineRule="exact"/>
        <w:rPr>
          <w:sz w:val="20"/>
          <w:szCs w:val="20"/>
          <w:color w:val="auto"/>
        </w:rPr>
      </w:pPr>
    </w:p>
    <w:p>
      <w:pPr>
        <w:ind w:right="20" w:firstLine="913"/>
        <w:spacing w:after="0" w:line="267" w:lineRule="auto"/>
        <w:rPr>
          <w:sz w:val="20"/>
          <w:szCs w:val="20"/>
          <w:color w:val="auto"/>
        </w:rPr>
      </w:pPr>
      <w:r>
        <w:rPr>
          <w:rFonts w:ascii="Arial" w:cs="Arial" w:eastAsia="Arial" w:hAnsi="Arial"/>
          <w:sz w:val="17"/>
          <w:szCs w:val="17"/>
          <w:color w:val="auto"/>
        </w:rPr>
        <w:t>In July 2016, the Company entered into a license agreement (the “UCB License Agreement”) with UCB Biopharma Sprl (“UCB”), under which UCB granted to the Company a worldwide, sublicenseable, exclusive license to UCB6352, which the Company refers to as SNDX-6352,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of these findings, the upfront payment of $5.0 million has been recorded as research and development expense in the consolidated statement of comprehensive loss.</w:t>
      </w: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Kyowa Hakko Kirin Co., Ltd.</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On December 19, 2014 (the “Effective Date”), the Company entered into a license agreement (the “KHK License Agreement”) with Kyowa Hakko Kirin Co., Ltd. (“KHK”),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of 536,049 shares of Series B-1 convertible preferred stock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9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purchase of the Series B-1 and the up-front payment of the license fee were accounted for separately. The Company allocated the amount of consideration related to Series B-1 equal to the fair value of the Series B-1 shares on the Effective Date based on a share price of $14.39 per share, which resulted in $7.7 million of proceeds allocated to the Series B-1 and the remaining consideration of $17.3 million allocated to the up-front license fee. The fair value of the Series B-1 of $14.39 per share was based on a contemporaneous valuation. The Company received $7.5 million and issued the Series B-1 in January 2015 and received the remaining $17.5 million in February 2015. On the date of issuance, the Company recorded accretion of $5.4 million to record the Series B-1 at its redemption value.</w:t>
      </w:r>
    </w:p>
    <w:p>
      <w:pPr>
        <w:spacing w:after="0" w:line="1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The Company has concluded that this agreement is within the scope of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w:t>
      </w:r>
    </w:p>
    <w:p>
      <w:pPr>
        <w:spacing w:after="0" w:line="2" w:lineRule="exact"/>
        <w:rPr>
          <w:sz w:val="20"/>
          <w:szCs w:val="20"/>
          <w:color w:val="auto"/>
        </w:rPr>
      </w:pPr>
    </w:p>
    <w:p>
      <w:pPr>
        <w:ind w:right="40" w:firstLine="8"/>
        <w:spacing w:after="0" w:line="255"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was allocated to the license unit of accounting.</w:t>
      </w:r>
    </w:p>
    <w:p>
      <w:pPr>
        <w:spacing w:after="0" w:line="19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arrangement consideration allocated to the license unit of accounting will be recognized as revenue ratably over the Company’s expected services period (currently expected to be through 2029) commencing on the date of the first delivery of the clinical trial materials. In June 2015, the Company began delivering clinical materials to KHK and commenced recognizing revenue from the upfront consideration of $17.3 million. During the six months ended June 30, 2017 and 2016, the Company recognized $0.6 million of revenue associated with the KHK License Agreement. As of June 30, 2017, there was $14.8 million of deferred revenue related to the KHK License Agreement, which is classified as current or long-term in the consolidated balance sheets.</w:t>
      </w:r>
    </w:p>
    <w:p>
      <w:pPr>
        <w:spacing w:after="0" w:line="15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October 2016, the Company entered into a clinical trial co-funding agreement with KHK under which the Company will expand its clinical trial agreement with Eastern Cooperative Oncology Group (the “ECOG Agreement”) to include enrollments from sites in Korea.</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will provide a fixed level of financial support for the clinical trial through an upfront payment of $695,000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second quarter of 2016, the ECOG Agreement was amended to provide additional study activities and the contractual obligation increased by $0.8 million. During the first quarter of 2017, the ECOG Agreement was amended to expand the study to include enrollments from sites in Korea and to provide additional study activities and the contractual obligation increased by $2.0 million. As of June 30, 2017, the Company’s aggregate payment obligations under this agreement were approximately $23.4 million; and its remaining payment obligations are approximately $13.7 million over an estimated period of approximately four years.</w:t>
      </w:r>
    </w:p>
    <w:p>
      <w:pPr>
        <w:spacing w:after="0" w:line="17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8"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IPO. The warrant contains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$1.54 per share and expires upon the earlier of the</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using current assumptions just prior to the reclassification.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205"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that are accessible at the market date for identical unrestricted assets or liabilities.</w:t>
      </w:r>
    </w:p>
    <w:p>
      <w:pPr>
        <w:spacing w:after="0" w:line="117" w:lineRule="exact"/>
        <w:rPr>
          <w:sz w:val="20"/>
          <w:szCs w:val="20"/>
          <w:color w:val="auto"/>
        </w:rPr>
      </w:pPr>
    </w:p>
    <w:p>
      <w:pPr>
        <w:ind w:left="1520" w:right="600" w:hanging="1052"/>
        <w:spacing w:after="0" w:line="264" w:lineRule="auto"/>
        <w:tabs>
          <w:tab w:leader="none" w:pos="15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ind w:left="1520" w:right="900" w:hanging="1052"/>
        <w:spacing w:after="0" w:line="277" w:lineRule="auto"/>
        <w:tabs>
          <w:tab w:leader="none" w:pos="15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2"/>
              </w:rPr>
              <w:t>Fair Value Measurements Using</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Quoted</w:t>
            </w:r>
          </w:p>
        </w:tc>
        <w:tc>
          <w:tcPr>
            <w:tcW w:w="12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Prices</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 Active</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6"/>
              </w:rPr>
              <w:t>Value</w:t>
            </w: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June 30, 2017</w:t>
            </w:r>
          </w:p>
        </w:tc>
        <w:tc>
          <w:tcPr>
            <w:tcW w:w="50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22,988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2"/>
              </w:rPr>
              <w:t>$10,738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12,250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106,967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106,967</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129,955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10,738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119,217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23,844</w:t>
            </w:r>
          </w:p>
        </w:tc>
        <w:tc>
          <w:tcPr>
            <w:tcW w:w="500" w:type="dxa"/>
            <w:vAlign w:val="bottom"/>
          </w:tcPr>
          <w:p>
            <w:pPr>
              <w:spacing w:after="0"/>
              <w:rPr>
                <w:sz w:val="18"/>
                <w:szCs w:val="18"/>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$17,089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6,755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81,486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81,486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3"/>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105,330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17,089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88,241</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Cash equivalents of $10.7 million as of June 30, 2017 and $17.1 million as of December 31, 2016 consisted of overnight investments and money market funds and are classified within Level 1 of the fair value hierarchy because they are valued using quoted market prices in active markets. Cash equivalents of $12.3 million as of June 30, 2017 and $6.8 million as of December 31, 2016 consisted of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 Short-term investments of $107.0 million as of June 30, 2017 and $81.5 million as of December 31, 2016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7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June 30, 2017,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six months ended June 30, 2017 and 2016. As a result, the Company did not reclassify any amounts out of accumulated other comprehensive income for the same periods. The Company has a limited number of available-for-sale securities in insignificant loss positions as of June 30, 2017, which the Company does not intend to sell and has concluded it will not be required to sell before recovery of the amortized cost for the investment at maturity. The following table summarizes the available-for-sale securities: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9"/>
              </w:rPr>
              <w:t>Amortized</w:t>
            </w:r>
          </w:p>
        </w:tc>
        <w:tc>
          <w:tcPr>
            <w:tcW w:w="4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June 30, 2017</w:t>
            </w:r>
          </w:p>
        </w:tc>
        <w:tc>
          <w:tcPr>
            <w:tcW w:w="510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35,219</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35,292</w:t>
            </w: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71,712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71,675</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106,931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7"/>
                <w:szCs w:val="17"/>
                <w:color w:val="auto"/>
                <w:w w:val="72"/>
              </w:rPr>
              <w:t>(38)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106,967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December 31, 2016</w:t>
            </w:r>
          </w:p>
        </w:tc>
        <w:tc>
          <w:tcPr>
            <w:tcW w:w="47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ind w:left="360"/>
              <w:spacing w:after="0"/>
              <w:rPr>
                <w:sz w:val="20"/>
                <w:szCs w:val="20"/>
                <w:color w:val="auto"/>
              </w:rPr>
            </w:pPr>
            <w:r>
              <w:rPr>
                <w:rFonts w:ascii="Arial" w:cs="Arial" w:eastAsia="Arial" w:hAnsi="Arial"/>
                <w:sz w:val="18"/>
                <w:szCs w:val="18"/>
                <w:color w:val="auto"/>
              </w:rPr>
              <w:t>Commercial paper</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30,125</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30,186</w:t>
            </w: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51,305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51,300</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81,430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67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color w:val="auto"/>
                <w:w w:val="70"/>
              </w:rPr>
              <w:t>(11)</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 roll-forward of the recurring fair value measurements of the common stock warrant liability and the derivative liability categorized with Level 3 inputs is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1"/>
              </w:rPr>
              <w:t>Common Stock</w:t>
            </w:r>
          </w:p>
        </w:tc>
        <w:tc>
          <w:tcPr>
            <w:tcW w:w="8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Warrant</w:t>
            </w: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7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1,703</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(4,551)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Balance — June 30, 2016</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40" w:top="459" w:right="2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warrants was considered a Level 3 measurement. Upon the closing of the IPO, the warrant was reclassified to additional paid-in capital. See Note 5 for further discussion of the accounting for the Bayer common stock warrant as well as for a summary of the significant inputs and assumptions used to determine the fair value of the warrant. The derivative liability related to the contingent success fee owed under the term loans. Upon the completion of an IPO or upon the occurrence of certain change of control or liquidation events, the Company was required to pay a $0.2 million success fee. The Company had recorded the success fee as a derivative financial liability. The initial fair value of the derivative of $0.1 million had been recorded as a debt discount. The term loans were paid in full in October 2015; however, the liability for the success fee survived the repayment of the term loans. Upon completion of the IPO this is no longer accounted for as a derivative, and the success fee of $0.2 million that was payable in June 2018 was included in other long-term liabilities. The success fee was paid in full in March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20" w:type="dxa"/>
            <w:vAlign w:val="bottom"/>
            <w:gridSpan w:val="3"/>
          </w:tcPr>
          <w:p>
            <w:pPr>
              <w:ind w:left="1180"/>
              <w:spacing w:after="0"/>
              <w:rPr>
                <w:sz w:val="20"/>
                <w:szCs w:val="20"/>
                <w:color w:val="auto"/>
              </w:rPr>
            </w:pPr>
            <w:r>
              <w:rPr>
                <w:rFonts w:ascii="Arial" w:cs="Arial" w:eastAsia="Arial" w:hAnsi="Arial"/>
                <w:sz w:val="14"/>
                <w:szCs w:val="14"/>
                <w:b w:val="1"/>
                <w:bCs w:val="1"/>
                <w:color w:val="auto"/>
                <w:w w:val="90"/>
              </w:rPr>
              <w:t>June 30, 2017</w:t>
            </w:r>
          </w:p>
        </w:tc>
        <w:tc>
          <w:tcPr>
            <w:tcW w:w="2080" w:type="dxa"/>
            <w:vAlign w:val="bottom"/>
            <w:gridSpan w:val="4"/>
          </w:tcPr>
          <w:p>
            <w:pPr>
              <w:ind w:left="860"/>
              <w:spacing w:after="0"/>
              <w:rPr>
                <w:sz w:val="20"/>
                <w:szCs w:val="20"/>
                <w:color w:val="auto"/>
              </w:rPr>
            </w:pPr>
            <w:r>
              <w:rPr>
                <w:rFonts w:ascii="Arial" w:cs="Arial" w:eastAsia="Arial" w:hAnsi="Arial"/>
                <w:sz w:val="14"/>
                <w:szCs w:val="14"/>
                <w:b w:val="1"/>
                <w:bCs w:val="1"/>
                <w:color w:val="auto"/>
                <w:w w:val="95"/>
              </w:rPr>
              <w:t>December 31, 2016</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14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Prepaid insurance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 on short-term investments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Reimbursable costs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Prepaid clinical supplies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4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January 2017, the number of shares of common stock available for issuance under the 2015 Omnibus Incentive Plan (“2015 Plan”), was increased by 728,948 shares due to the automatic increase provision of the 2015 Plan. As of June 30, 2017, the total number of shares of common stock available for issuance under the 2015 Plan was 1,427,340. The Company recognized stock-based compensation expense related to the issuance of stock option awards to employees and non-employees in the condensed consolidated statements of comprehensive loss as follows: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18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During the six months ended June 30, 2017, the Company granted 842,390 stock options to certain executives and employees. The grant date fair value of these options was $5.5 million, or $6.50 per share on a weighted-average basis, and will be recognized as compensation expense over the requisite service period of three to four years.</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There were 45,930 options exercised during the six months ended June 30, 2017, resulting in total proceeds of $0.3 million. The intrinsic value of the options exercised was $0.2 million. In accordance with the Company’s policy, the shares were issued from a pool of shares reserved for issuance under the 2007 and 2015 Plans.</w:t>
      </w:r>
    </w:p>
    <w:p>
      <w:pPr>
        <w:spacing w:after="0" w:line="18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As of June 30, 2017, there was $10.6 million of unrecognized compensation cost related to employee and non-employee unvested stock options and unvested restricted stock share-based compensation arrangements granted under the 2015 and 2007 Plans, which is expected to be recognized over a weighted-average remaining service period of 2.6 years. Stock compensation costs have not been capitalized by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Upon the closing of the IPO on March 8, 2016, the vesting of certain options granted to two of the Company’s executives immediately vested, in accordance with their employment agreements. The Company recorded $0.7 million of additional stock compensation expense related to this accelerated vesting in March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Stock Purchase Plan</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January 2017, the number of shares of common stock available for issuance under the 2015 Employee Stock Purchase Plan (“2015 ESPP”), was increased by 182,237 shares as a result of the automatic increase provision of the 2015 ESPP. As of June 30, 2017, the total number of shares of common stock available for issuance under the 2015 ESPP was 432,237. The first offering period has been approved and commences on August 1, 2017 to finish on January 31,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stockholders’ equity for the six months ended June 30,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w w:val="93"/>
              </w:rPr>
              <w:t>Common Stock</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2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w w:val="98"/>
              </w:rPr>
              <w:t>$0.0001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1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0"/>
              </w:rPr>
              <w:t>Par Value</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08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gridSpan w:val="11"/>
          </w:tcPr>
          <w:p>
            <w:pPr>
              <w:ind w:left="240"/>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18,215,181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$389,374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(305,293)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Proceeds from follow-on offering, net of offering costs of $3,665</w:t>
            </w:r>
          </w:p>
        </w:tc>
        <w:tc>
          <w:tcPr>
            <w:tcW w:w="880" w:type="dxa"/>
            <w:vAlign w:val="bottom"/>
          </w:tcPr>
          <w:p>
            <w:pPr>
              <w:jc w:val="right"/>
              <w:spacing w:after="0"/>
              <w:rPr>
                <w:sz w:val="20"/>
                <w:szCs w:val="20"/>
                <w:color w:val="auto"/>
              </w:rPr>
            </w:pPr>
            <w:r>
              <w:rPr>
                <w:rFonts w:ascii="Arial" w:cs="Arial" w:eastAsia="Arial" w:hAnsi="Arial"/>
                <w:sz w:val="18"/>
                <w:szCs w:val="18"/>
                <w:color w:val="auto"/>
              </w:rPr>
              <w:t>3,950,190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48,675</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stock options</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45,929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880" w:type="dxa"/>
            <w:vAlign w:val="bottom"/>
          </w:tcPr>
          <w:p>
            <w:pPr>
              <w:jc w:val="right"/>
              <w:spacing w:after="0"/>
              <w:rPr>
                <w:sz w:val="20"/>
                <w:szCs w:val="20"/>
                <w:color w:val="auto"/>
              </w:rPr>
            </w:pPr>
            <w:r>
              <w:rPr>
                <w:rFonts w:ascii="Arial" w:cs="Arial" w:eastAsia="Arial" w:hAnsi="Arial"/>
                <w:sz w:val="18"/>
                <w:szCs w:val="18"/>
                <w:color w:val="auto"/>
              </w:rPr>
              <w:t>8,543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2,825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Unrealized gain on short-term investments</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adjustment of adopting ASU 2016-09</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(26,610)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22,219,843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441,218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(331,919)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Transactions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Company’s chief executive officer and member of the board of directors is also a managing director at MPM Asset Management, LLC, which holds an investment in the Company’s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considers events and transactions that occur after the balance sheet date but prior to the issuance of the financial statements to provide additional evidence relative to certain estimates or to identify matters that require additional disclosure. Company has completed an evaluation all subsequent events through the date of this filing of this Quarterly Report on Form 10-Q.</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14,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clinical stage biopharmaceutical company developing an innovative pipeline of combination therapies in multiple cancer indications. Our lead product candidate, entinostat, is currently being evaluated in a Phase 3 clinical trial for advanced hormone receptor positive, human epidermal growth factor receptor 2 negative breast cancer. The U.S. Food and Drug Administration, or FDA, granted Breakthrough Therapy designation to entinostat when given in combination with exemestane following positive results from the Company’s ENCORE 301 Phase 2b clinical trial. Given its potential ability to block the function of immune suppressive cells in</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tumor microenvironment, we are evaluating entinostat as a combination therapeutic in Phase 1b/2 clinical trials with Merck &amp; Co., Inc., or Merck, for non-small cell lung cancer, or NSCLC, melanoma and microsatellite stable colorectal cancer, or CRC; with Genentech, Inc., or Genentech, for triple negative breast cancer, or TNBC; and with Merck KGaA, Darmstadt, Germany, or Merck KGaA, and Pfizer Inc., or Pfizer, for ovarian cancer. Our second product candidate, SNDX-6352, is a monoclonal antibody that targets the colony stimulating factor-1 receptor to enhance the body’s immune response against tumors that have shown sensitivity to immunotherapy. We are evaluating SNDX-6352 in a Phase 1 clinical trial. We plan to continue to leverage the technical and business expertise of our management team and scientific collaborators to license, acquire and develop additional cancer therapies to expand our pipeline.</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February 24, 2016, we effected a 1-for-1.25 reverse stock split of our outstanding common stock and convertible preferred stock. Stockholders entitled to fractional shares as a result of the reverse stock splits received a cash payment in lieu of receiving fractional shares. All of our historical share and per share information shown in the accompanying financial statements and related notes have been retroactively adjusted to give effect to the reverse stock splits.</w:t>
      </w:r>
    </w:p>
    <w:p>
      <w:pPr>
        <w:spacing w:after="0" w:line="187"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In March 2016, we completed our IPO, whereby we sold 4,809,475 shares of common stock at the initial public offering price of $12.00 per share, which included 409,475 shares issued pursuant to the underwriters’ partial exercise of their option to purchase additional shares of common stock. We received net proceeds of $50.5 million from the offering, after deducting underwriting discounts and commissions and other offering costs.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May 2017, we completed our follow-on public offering whereby we sold 3,950,190 shares of common stock at an offering price of $13.25 per share, which included 200,190 shares issued pursuant to the underwriters’ partial exercise of their option to purchase additional shares of common stock. The aggregate net proceeds we received from the offering were approximately $48.7 million, net of underwriting discounts and commissions and estimated offering expenses.</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six months ended June 30, 2017 and 2016, we reported a net loss of $26.6 million and $18.7 million, respectively. As of June 30, 2017, we had an accumulated deficit of $331.9 million, which included non-cash charges for stock-based compensation, preferred stock accretion and extinguishment charges. As of June 30, 2017, we had cash, cash equivalents and short-term investments of $130.0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w:t>
      </w:r>
    </w:p>
    <w:p>
      <w:pPr>
        <w:spacing w:after="0" w:line="135" w:lineRule="exact"/>
        <w:rPr>
          <w:sz w:val="20"/>
          <w:szCs w:val="20"/>
          <w:color w:val="auto"/>
        </w:rPr>
      </w:pPr>
    </w:p>
    <w:p>
      <w:pPr>
        <w:jc w:val="both"/>
        <w:ind w:left="900" w:right="8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ECOG-ACRIN Cancer Research Group, sponsor of E2112, the Phase 3 registration trial of entinostat plus exemestane in advanced HR+, HER2-breast cancer, expects the progression free survival analysis to be available in the first half of 2018 directly following completion of enrollment. As of the end of July, the trial was 78% enrolled.</w:t>
      </w:r>
    </w:p>
    <w:p>
      <w:pPr>
        <w:spacing w:after="0" w:line="86" w:lineRule="exact"/>
        <w:rPr>
          <w:rFonts w:ascii="Arial" w:cs="Arial" w:eastAsia="Arial" w:hAnsi="Arial"/>
          <w:sz w:val="18"/>
          <w:szCs w:val="18"/>
          <w:color w:val="auto"/>
        </w:rPr>
      </w:pPr>
    </w:p>
    <w:p>
      <w:pPr>
        <w:ind w:left="900" w:right="6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number of patients enrolled in the ENCORE 601 cohort of NSCLC patients naïve to PD-(L)1 therapy remain on drug, with a determination on whether the cohort has satisfied the pre-specified efficacy criteria for advancement to the second stage of the trial expected by year end. The pre-specified objective response threshold to advance this cohort into the second stage of the Phase 2 trial had been revised to ³ 4 responses out of 17 (versus the previous benchmark of ³ 3 responses out of 13) in order to incorporate Phase 1b patients dosed at the recommended, 5 mg dose of entinostat. Similarly, the cohort of PD-(L)1 refractory NSCLC patients, announced in May to have met the pre-specified objective response threshold to advance into the second stage of the Phase 2 trial, used revised criteria requiring ³3 responses out of 31 (versus the previous benchmark of &gt;2 responses out of 20) in order to incorporate Phase 1b patients dosed at entinostat 5 mg.</w:t>
      </w:r>
    </w:p>
    <w:p>
      <w:pPr>
        <w:spacing w:after="0" w:line="72" w:lineRule="exact"/>
        <w:rPr>
          <w:rFonts w:ascii="Arial" w:cs="Arial" w:eastAsia="Arial" w:hAnsi="Arial"/>
          <w:sz w:val="16"/>
          <w:szCs w:val="16"/>
          <w:color w:val="auto"/>
        </w:rPr>
      </w:pPr>
    </w:p>
    <w:p>
      <w:pPr>
        <w:ind w:left="900" w:hanging="325"/>
        <w:spacing w:after="0" w:line="30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Enrollment in the second stage of the PD-(L)1 refractory melanoma cohort of ENCORE 601 has completed, and enrollment in the second stage of the PD-(L)1 refractory NSCLC cohort of ENCORE 601 is expected to complete in the fourth quarter. We expect to present data from stage one of the NSCLC cohorts, as well as biomarker data from the melanoma cohort, at the Society of Immunotherapy of Cancer (SITC) Congress in the fall, and the full trial data from both the pretreated NSCLC and melanoma cohorts at a medical congress in the first half of 2018.</w:t>
      </w:r>
    </w:p>
    <w:p>
      <w:pPr>
        <w:spacing w:after="0" w:line="59" w:lineRule="exact"/>
        <w:rPr>
          <w:rFonts w:ascii="Arial" w:cs="Arial" w:eastAsia="Arial" w:hAnsi="Arial"/>
          <w:sz w:val="16"/>
          <w:szCs w:val="16"/>
          <w:color w:val="auto"/>
        </w:rPr>
      </w:pPr>
    </w:p>
    <w:p>
      <w:pPr>
        <w:ind w:left="900" w:right="60" w:hanging="325"/>
        <w:spacing w:after="0" w:line="31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Dosing has been initiated in the first patients in the ENCORE 601 cohort of patients with microsatellite stable CRC. This new cohort, announced in April 2017, employ a Simon two-stage design enrolling 13 patients in the first stage, and requires at least 2 confirmed objective responses to proceed to the second stage. A decision on whether to advance to the second stage of the CRC cohort is expected in the first half of 2018.</w:t>
      </w:r>
    </w:p>
    <w:p>
      <w:pPr>
        <w:spacing w:after="0" w:line="52"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Enrollment is also progressing in the two additional trials aimed at exploring the ability of entinostat to enhance the efficacy of PD-L1 inhibitor therapies, ENCORE 602 and ENCORE 603. ENCORE 602, the Phase 1b/2 clinical trial evaluating the combination of entinostat plus Genentech’s PD-L1 inhibitor, </w:t>
      </w:r>
      <w:r>
        <w:rPr>
          <w:rFonts w:ascii="Arial" w:cs="Arial" w:eastAsia="Arial" w:hAnsi="Arial"/>
          <w:sz w:val="18"/>
          <w:szCs w:val="18"/>
          <w:i w:val="1"/>
          <w:iCs w:val="1"/>
          <w:color w:val="auto"/>
        </w:rPr>
        <w:t>Tecentriq</w:t>
      </w:r>
      <w:r>
        <w:rPr>
          <w:rFonts w:ascii="Arial" w:cs="Arial" w:eastAsia="Arial" w:hAnsi="Arial"/>
          <w:sz w:val="15"/>
          <w:szCs w:val="15"/>
          <w:color w:val="auto"/>
        </w:rPr>
        <w:t>®</w:t>
      </w:r>
      <w:r>
        <w:rPr>
          <w:rFonts w:ascii="Arial" w:cs="Arial" w:eastAsia="Arial" w:hAnsi="Arial"/>
          <w:sz w:val="18"/>
          <w:szCs w:val="18"/>
          <w:color w:val="auto"/>
        </w:rPr>
        <w:t xml:space="preserve"> (atezolizumab), in patients with TNBC, is expected to complete enrollment in the Phase 2 portion by the end of the fourth quarter. The ENCORE 603 trial is our collaboration with Ares Trading, S.A., a subsidiary of Merck KGaA and Pfizer to evaluate the safety, tolerability and preliminary efficacy of entinostat in combination with the investigational monoclonal antibody targeting PD-L1, avelumab, in a Phase 1b/2 clinical trial of patients with ovarian cancer. This trial recently began enrolling patients into the Phase 2 portion and is expected to complete enrollment in the first half of 2018.</w:t>
      </w:r>
    </w:p>
    <w:p>
      <w:pPr>
        <w:spacing w:after="0" w:line="94"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Enrollment is now complete in the Phase 1 single ascending dose (SAD) clinical trial of SNDX-6352 in healthy volunteers to determine the safety, pharmacokinetics and pharmacodynamics of the anti-CSF-1R monoclonal antibody. We expect to present data from this study at a scientific congress in the fourth quarter of 2017. We also plan to initiate a multiple ascending dose (MAD) trial in cancer patients in the third quarter of 2017.</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date, we have not generated any product revenues. Our ability to generate revenue and become profitable depends upon our ability to obtain marketing approval of and successfully commercialize our product candidates. Our revenues for the three and six months ended June 30, 2017 and 2016 have been solely derived from our license agreement with Kyowa Hakko Kirin Co., Ltd., or KHK, under which we granted KHK an exclusive license to develop and commercialize 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service period (currently expected to be through 2029) commencing on the date of the first delivery of the clinical trial materials, which occurred in June 2015. The balance of the upfront payment of $7.7 million was allocated to KHK’s purchase of shares of our Series B-1 convertible preferred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76" w:lineRule="exact"/>
        <w:rPr>
          <w:sz w:val="20"/>
          <w:szCs w:val="20"/>
          <w:color w:val="auto"/>
        </w:rPr>
      </w:pPr>
    </w:p>
    <w:p>
      <w:pPr>
        <w:ind w:left="900" w:right="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June 30, 2017, we have incurred $122.9 million in research and development expenses.</w:t>
      </w:r>
    </w:p>
    <w:p>
      <w:pPr>
        <w:spacing w:after="0" w:line="1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8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capital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change in fair value of the common stock warrant liability was associated with a warrant to purchase common stock issued in connection with a license agreement and consisted of the calculated change in value based upon the fair value of the underlying security at the end of each reporting period as calculated using the Black-Scholes option pricing model. Gains and losses arising from changes in fair value were recognized in other income (expense) in the consolidated statement of operations. As of the closing of our IPO, the anti-dilution provision of the warrant expired; and the warrant liability was reclassified to additional paid-in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79"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There have been no material changes to our critical accounting policies from those described in “Management’s Discussion and Analysis of Financial Condition and Results of Operations,” included in Company’s Annual Report on Form 10-K that was filed with the SEC on March 14, 2017.</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2017 and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4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Three Months Ended June 30,</w:t>
            </w:r>
          </w:p>
        </w:tc>
        <w:tc>
          <w:tcPr>
            <w:tcW w:w="16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305</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9,862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3,731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4,285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2,808</w:t>
            </w: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1,477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14,147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(13,842)</w:t>
            </w:r>
          </w:p>
        </w:tc>
        <w:tc>
          <w:tcPr>
            <w:tcW w:w="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(8,634)</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5,208</w:t>
            </w:r>
          </w:p>
        </w:tc>
        <w:tc>
          <w:tcPr>
            <w:tcW w:w="38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276</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(8,358)</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$ 5,281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three months ended June 30, 2017 and 2016, we recognized license fees of $0.3 million derived from the KHK license agreement. In 2015, arrangement consideration of $17.3 million related to the KHK license agreement was allocated to the license unit of accounting and is being recognized as revenue ratably over our expected service period (currently expected to be through 2029), commencing on the date of the first delivery of the clinical trial materials, which occurred in June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months ended June 30, 2017, our total research and development expenses increased $3.7 million, or 61%, to $9.9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$6.1 million for the comparable quarter in the prior year due to increases in clinical trial activities of $2.3 million, employee compensation expense of</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$0.8 million, and legal and consultant expenses of $0.6 million. The increase in clinical trial activities was primarily due to increases in spending related the additional cohorts added to ENCORE 601, increased activities in ENCORE 602 and ENCORE 603, start-up costs related to SNDX-6352, our Phase 1 clinical pharmacology trials and CMC activities. The increase in employee compensation costs was primarily due to increased headcount. We expect our research and development expenses for the foreseeable future to increase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4"/>
                <w:szCs w:val="14"/>
                <w:color w:val="auto"/>
              </w:rPr>
            </w:pPr>
          </w:p>
        </w:tc>
        <w:tc>
          <w:tcPr>
            <w:tcW w:w="1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2,821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910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3,731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months ended June 30, 2017, our total general and administrative expenses increased $1.5 million, or 53%, to $4.3 million, from</w:t>
      </w:r>
    </w:p>
    <w:p>
      <w:pPr>
        <w:spacing w:after="0" w:line="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$2.8 million for the comparable period in the prior year. The increase in general and administrative expenses was primarily due to an increase in employee compensation of $1.0 million combined with increases in consulting expenses of $0.4 million. The increase in employee compensation of $1.0 million was primarily due to increases in non-cash stock-based compensation of $0.6 million, combined with an increase in salary expense of $0.4 million due to increased headcount.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For the three months ended June 30, 2017, interest income, net, increased $14,000 from the comparable period in the prior year. The increase was primarily due to interest earned on our cash, cash equivalents and short-term investments, which increased due to the $48.7 million proceeds received from our follow-on public offering in May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2017 and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1"/>
              </w:rPr>
              <w:t>Six Months Ended June 30,</w:t>
            </w:r>
          </w:p>
        </w:tc>
        <w:tc>
          <w:tcPr>
            <w:tcW w:w="16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4"/>
          </w:tcPr>
          <w:p>
            <w:pPr>
              <w:jc w:val="right"/>
              <w:ind w:right="96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610</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10,917</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8,497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8,215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7,080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1,135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17,997</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9,632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(27,019)</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(17,387)</w:t>
            </w:r>
          </w:p>
        </w:tc>
        <w:tc>
          <w:tcPr>
            <w:tcW w:w="4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9,632</w:t>
            </w:r>
          </w:p>
        </w:tc>
        <w:tc>
          <w:tcPr>
            <w:tcW w:w="38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420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129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260"/>
              <w:spacing w:after="0"/>
              <w:rPr>
                <w:sz w:val="20"/>
                <w:szCs w:val="20"/>
                <w:color w:val="auto"/>
              </w:rPr>
            </w:pPr>
            <w:r>
              <w:rPr>
                <w:rFonts w:ascii="Arial" w:cs="Arial" w:eastAsia="Arial" w:hAnsi="Arial"/>
                <w:sz w:val="16"/>
                <w:szCs w:val="16"/>
                <w:color w:val="auto"/>
                <w:w w:val="74"/>
              </w:rPr>
              <w:t>)</w:t>
            </w: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(26,610</w:t>
            </w:r>
          </w:p>
        </w:tc>
        <w:tc>
          <w:tcPr>
            <w:tcW w:w="40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(18,688</w:t>
            </w:r>
          </w:p>
        </w:tc>
        <w:tc>
          <w:tcPr>
            <w:tcW w:w="4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$ 7,922</w:t>
            </w:r>
          </w:p>
        </w:tc>
        <w:tc>
          <w:tcPr>
            <w:tcW w:w="38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six months ended June 30, 2017 and 2016, we recognized license fees of $0.6 million derived from the KHK license agreement. In 2015, arrangement consideration of $17.3 million related to the KHK license agreement was allocated to the license unit of accounting and is being recognized as revenue ratably over our expected service period (currently expected to be through 2029), commencing on the date of the first delivery of the clinical trial materials, which occurred in June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June 30, 2017, our total research and development expenses increased $8.5 million, or 78%, to $19.4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$10.9 million for the comparable period in the prior year due to increases in clinical trial activities of $5.7 million, employee compensation expense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$1.7 million, legal and consultant expenses of $1.0 million and facility costs of $0.1 million. The increase in clinical trial activities was primarily due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increases in spending related the additional cohorts added to ENCORE 601, increased activities in ENCORE 602 and ENCORE 603, start-up costs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SNDX-6352, our Phase 1 clinical pharmacology trials and CMC activities. The increase in employee compensation costs was primarily due to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headcount. We expect our research and development expenses for the foreseeable future to increase as we continue to advance the development of our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The amount of research and development expenses allocated to external spending will continue to grow, while we expect our internal spending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grow at a slower and more controlled pace.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June 30,</w:t>
            </w: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7,776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6,661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1,836</w:t>
            </w:r>
          </w:p>
        </w:tc>
        <w:tc>
          <w:tcPr>
            <w:tcW w:w="3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10,917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8,497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June 30, 2017, our total general and administrative expenses increased $1.1 million, or 16%, to $8.2 million, from</w:t>
      </w:r>
    </w:p>
    <w:p>
      <w:pPr>
        <w:spacing w:after="0" w:line="3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$7.1 million for the comparable period in the prior year. The increase in general and administrative expenses was primarily due to an increase in employee compensation of $0.4 million, increases in legal and consulting expenses of $0.4 million, increased rent and facilities expenses of $0.2 million and costs related to D&amp;O insurance and other costs related to being a public company of $0.1 million. The increase in employee compensation of $0.4 million was primarily due to an increase in salary expense of $0.8 million, offset in part by decreases in bonus expense of $0.1 million and in non-cash stock-based compensation of $0.3 million.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For the six months ended June 30, 2017, interest income, net, increased $0.1 million from the comparable period in the prior year. The increase was primarily due to interest earned on our cash, cash equivalents and short-term investments, which increased due to the $48.7 million proceeds received from our follow-on public offering in May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change in fair value of common stock warrant liability for the six months ended June 30, 2017 decreased $1.7 million compared to the comparable period in the prior year. At each period end until the closing of our IPO, the fair value of the outstanding common stock warrant liability was re-measured; and the change in the fair value was recorded in other expense in the condensed consolidated statement of comprehensive loss. Upon the closing of our IPO, the anti-dilution provision of the warrant expired; and the warrant liability was reclassified to additional paid-in capital. Just prior to the reclassification, the warrant was re-measured using current assumptions on that date, and the change in fair value was recorded in other expense.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April 2017, we entered into a sales agreement with Cowen and Company, LLC (“Cowen”) under which we may issue and sell shares of our common stock having aggregate sales proceeds of up to $50.0 million from time to time through Cowen, acting as agent, in a series of one or more at the market equity offerings. Cowen is not required to sell any specific amount, but acts as our sales agent using commercially reasonable efforts consistent with its normal trading and sales practices. Shares sold pursuant to the sales agreement will be sold pursuant to a shelf registration statement, which became effective on April 20, 2017. Our common stock will be sold at prevailing market prices at the time of the sale; and as a result, prices may vary. We will pay Cowen up to 3% of the gross proceeds from any common stock sold through the sales agreement. The proceeds from the offerings, if any, will be used for general corporate purposes, including expenditures for research and development of the Company’s drug products. There were no sales under this facility through August 10, 2017.</w:t>
      </w:r>
    </w:p>
    <w:p>
      <w:pPr>
        <w:spacing w:after="0" w:line="19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March 2016, we completed our IPO whereby we sold 4,809,475 shares of our common stock at $12.00 per share, resulting in total net proceeds of $50.5 million, after deducting underwriting discounts and commissions and offering expenses. In May 2017, we completed our follow-on offering whereby we sold 3,950,120 shares of our common stock at $13.25 per share, resulting in total net proceeds of $48.6 million, after deducting underwriting discounts and commissions and offering expenses. Since our inception and through June 30, 2017, our operations have been financed primarily by net proceeds from our IPO, our follow-on stock offering, sale of convertible preferred stock and convertible debt securities and proceeds from our license agreements. As of June 30, 2017, our cash, cash equivalents and short-term investments were $130.0 million. We believe that our existing cash, cash equivalents and short-term investments will fund our projected operating expenses and capital expenditure requirements for at least the next 12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30" w:lineRule="exact"/>
        <w:rPr>
          <w:rFonts w:ascii="Arial" w:cs="Arial" w:eastAsia="Arial" w:hAnsi="Arial"/>
          <w:sz w:val="18"/>
          <w:szCs w:val="18"/>
          <w:color w:val="auto"/>
        </w:rPr>
      </w:pPr>
    </w:p>
    <w:p>
      <w:pPr>
        <w:ind w:left="900" w:right="620" w:hanging="325"/>
        <w:spacing w:after="0" w:line="30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30"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become a public company.</w:t>
      </w:r>
    </w:p>
    <w:p>
      <w:pPr>
        <w:spacing w:after="0" w:line="2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8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June 30, 2017, we had an accumulated deficit of $331.9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flows: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5"/>
          </w:tcPr>
          <w:p>
            <w:pPr>
              <w:jc w:val="right"/>
              <w:ind w:right="43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(24,468)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(13,293)</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(25,492)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(47,761)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52,316</w:t>
            </w:r>
          </w:p>
        </w:tc>
        <w:tc>
          <w:tcPr>
            <w:tcW w:w="12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cash used in operating activities for the six months ended June 30, 2017 was $24.5 million and primarily consisted of our net loss of $26.6 million adjusted for non-cash items including stock-based compensation of $2.8 million and a net decrease 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operating assets and liabilities of $0.8 million. The increase in our net loss was primarily due to the increase in our clinical trial activities and increase in headcount. The significant items in the increase in operating assets and liabilities included an increase in prepaid expenses and other assets of $1.1 million and a decrease in deferred revenue of $0.6 million partially offset by an increase in accounts payable of $0.8 million.</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2016 was $13.3 million and primarily consisted of our net loss of $18.7 million adjusted for non-cash items including stock-based compensation of $3.0 million and the change in the fair value of the warrant of $1.7 million. Changes in operating assets and liabilities included an increase in prepaid expenses and other current assets of $0.4 million and an increase in accounts payable of $0.1 million and a decrease in deferred revenue of $0.6 million that were offset by an increase in accrued expenses and other current liabilities of $1.7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2017 was $25.5 million and was primarily due to the $62.4 million of proceeds from the maturities of available-for-sale securities partially offset by the purchase of $88.0 million of available-for-sale marketable securities.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2016 was $47.8 million and was primarily due to the purchase of $110.0 million of available-for-sale marketable securities partially offset by $62.4 million of proceeds from the maturities of available-for-sale securities and purchases of property and equipment of $0.2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2017 of $49.1 million was primarily due to proceeds from our follow-on offering, net of underwriting discounts and commissions of $48.8 million and the exercise of stock options of $0.3 million.</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2016 of $52.3 million came in full from the proceeds from our IPO, net of underwriting discounts and commissions.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that was filed with the SEC on March 14,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3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June 30, 2017, we had cash equivalents of $23.0 million, consisting of overnight investments, interest-bearing money market funds and highly rated corporate bonds, and short-term investments of $107.0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As of June 30, 2017,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2017, our disclosure controls and procedures were effective at the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materially affected, or is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2017,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June 30, 2017, we reported a net loss of $26.6 million; and as of June 30, 2017, we had an accumulated deficit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$332.0 million, which included non-cash charges for stock-based compensation, preferred stock accretion and extinguishment charges. We expect to continue to incur significant losses for the foreseeable future, and we expect these losses to increase as we continue our research and development of, and seek regulatory approvals for, our product candidates. We may also</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two product candidates, entinostat and SNDX-6352.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8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30"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 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entinostat or SNDX-6352 and any other product candidates we may develop.</w:t>
      </w:r>
    </w:p>
    <w:p>
      <w:pPr>
        <w:spacing w:after="0" w:line="19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381" w:lineRule="auto"/>
        <w:rPr>
          <w:sz w:val="20"/>
          <w:szCs w:val="20"/>
          <w:color w:val="auto"/>
        </w:rPr>
      </w:pPr>
      <w:r>
        <w:rPr>
          <w:rFonts w:ascii="Arial" w:cs="Arial" w:eastAsia="Arial" w:hAnsi="Arial"/>
          <w:sz w:val="15"/>
          <w:szCs w:val="15"/>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entinostat or SNDX-6352 or develop new product candidates.</w:t>
      </w:r>
    </w:p>
    <w:p>
      <w:pPr>
        <w:spacing w:after="0" w:line="101"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w:t>
      </w:r>
    </w:p>
    <w:p>
      <w:pPr>
        <w:spacing w:after="0" w:line="323" w:lineRule="auto"/>
        <w:rPr>
          <w:sz w:val="20"/>
          <w:szCs w:val="20"/>
          <w:color w:val="auto"/>
        </w:rPr>
      </w:pPr>
      <w:r>
        <w:rPr>
          <w:rFonts w:ascii="Arial" w:cs="Arial" w:eastAsia="Arial" w:hAnsi="Arial"/>
          <w:sz w:val="16"/>
          <w:szCs w:val="16"/>
          <w:color w:val="auto"/>
        </w:rPr>
        <w:t>Unexpected circumstances may cause us to consume capital more rapidly than we currently anticipate. For example, we may discover that we need to conduct additional activities that exceed our current budget to achieve appropriate rates of patient enrollment, which would increase our development costs.</w:t>
      </w:r>
    </w:p>
    <w:p>
      <w:pPr>
        <w:spacing w:after="0" w:line="13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entinostat and SNDX-6352 and any future product candidates. Any efforts to secure additional financing may divert our management from our day-to-day activities, which may adversely affect our ability to develop and commercialize entinostat and SNDX-6352. In addition, we cannot guarantee that future financing will be available in sufficient amounts or on terms acceptable to us, if at all. If we do not raise additional capital when required or on acceptable terms, we may need to:</w:t>
      </w:r>
    </w:p>
    <w:p>
      <w:pPr>
        <w:spacing w:after="0" w:line="9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our product candidates or cease operations altogether;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strategic alliances for entinostat or SNDX-6352 on terms less favorable than might otherwise be available; or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harm our business, operating results and prospects.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30" w:lineRule="exact"/>
        <w:rPr>
          <w:rFonts w:ascii="Arial" w:cs="Arial" w:eastAsia="Arial" w:hAnsi="Arial"/>
          <w:sz w:val="18"/>
          <w:szCs w:val="18"/>
          <w:color w:val="auto"/>
        </w:rPr>
      </w:pPr>
    </w:p>
    <w:p>
      <w:pPr>
        <w:ind w:left="900" w:right="620" w:hanging="325"/>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1" w:lineRule="exact"/>
        <w:rPr>
          <w:rFonts w:ascii="Arial" w:cs="Arial" w:eastAsia="Arial" w:hAnsi="Arial"/>
          <w:sz w:val="17"/>
          <w:szCs w:val="17"/>
          <w:color w:val="auto"/>
        </w:rPr>
      </w:pPr>
    </w:p>
    <w:p>
      <w:pPr>
        <w:jc w:val="both"/>
        <w:ind w:left="900" w:right="56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30"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April 30, 2016 and determined that on March 30, 2007 and August 21, 2015 ownership changes had occurred. We may have experienced an ownership change subsequent to April 30, 2016;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Entinostat and SNDX-6352 are currently our only product candidates. If we are unable to successfully complete clinical development of, obtain regulatory approval for and commercialize entinostat or SNDX-6352, our business prospects will be significantly harmed.</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Entinostat and SNDX-6352 are currently our only product candidates. Our financial success will depend substantially on our ability to effectively and profitably commercialize entinostat or SNDX-6352. In order to commercialize entinostat and SNDX-6352, we will be required to obtain regulatory approvals by establishing that each of them is sufficiently safe and effective. The clinical and commercial success of entinostat and SNDX-6352 will depend on a number of factors, including the following:</w:t>
      </w:r>
    </w:p>
    <w:p>
      <w:pPr>
        <w:spacing w:after="0" w:line="92" w:lineRule="exact"/>
        <w:rPr>
          <w:sz w:val="20"/>
          <w:szCs w:val="20"/>
          <w:color w:val="auto"/>
        </w:rPr>
      </w:pPr>
    </w:p>
    <w:p>
      <w:pPr>
        <w:ind w:left="900" w:right="5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timely commencement and completion of the planned Phase 1b/2 clinical trials of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Bavencio </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(avelumab) and the Phase 1 clinical trial of SNDX-6352;</w:t>
      </w:r>
    </w:p>
    <w:p>
      <w:pPr>
        <w:spacing w:after="0" w:line="75" w:lineRule="exact"/>
        <w:rPr>
          <w:rFonts w:ascii="Arial" w:cs="Arial" w:eastAsia="Arial" w:hAnsi="Arial"/>
          <w:sz w:val="18"/>
          <w:szCs w:val="18"/>
          <w:color w:val="auto"/>
        </w:rPr>
      </w:pPr>
    </w:p>
    <w:p>
      <w:pPr>
        <w:jc w:val="both"/>
        <w:ind w:left="900" w:right="2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patient enrollment and completion of the Phase 3 clinical trial in advanced HR+, HER2- breast cancer, which may be significantly slower than we currently anticipate and will depend substantially upon the satisfactory performance of ECOG-ACRIN and the NCI and other third-party contractors for entinostat;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in any of our clinical trials;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entinostat and SNDX-6352 for their proposed indications and the timely receipt of necessary marketing approvals from the FDA and foreign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7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of our third-party contract manufacturers to produce trial supplies of entinostat and SNDX-6352, and to develop, validate and maintain a commercially viable manufacturing process that is compliant with current Good Manufacturing Practice regulations, or cGMP;</w:t>
      </w:r>
    </w:p>
    <w:p>
      <w:pPr>
        <w:spacing w:after="0" w:line="51" w:lineRule="exact"/>
        <w:rPr>
          <w:rFonts w:ascii="Arial" w:cs="Arial" w:eastAsia="Arial" w:hAnsi="Arial"/>
          <w:sz w:val="17"/>
          <w:szCs w:val="17"/>
          <w:color w:val="auto"/>
        </w:rPr>
      </w:pPr>
    </w:p>
    <w:p>
      <w:pPr>
        <w:ind w:left="900" w:right="36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availability of commercial supplies of therapeutics, including </w:t>
      </w:r>
      <w:r>
        <w:rPr>
          <w:rFonts w:ascii="Arial" w:cs="Arial" w:eastAsia="Arial" w:hAnsi="Arial"/>
          <w:sz w:val="18"/>
          <w:szCs w:val="18"/>
          <w:i w:val="1"/>
          <w:iCs w:val="1"/>
          <w:color w:val="auto"/>
        </w:rPr>
        <w:t>exemestane, Keytruda, 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Bavencio</w:t>
      </w:r>
      <w:r>
        <w:rPr>
          <w:rFonts w:ascii="Arial" w:cs="Arial" w:eastAsia="Arial" w:hAnsi="Arial"/>
          <w:sz w:val="18"/>
          <w:szCs w:val="18"/>
          <w:color w:val="auto"/>
        </w:rPr>
        <w:t>, and clinical supplies of investigational drugs, to support the development and marketing of the entinostat therapy as a component of a combination drug regimen for entinostat;</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entinostat and SNDX-6352.</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including durability of response, of the combination of entinostat plus a checkpoint inhibitor. However, we have not yet demonstrated the safety or the benefit of this combination in humans and we may be unable to establish a clinically meaningful benefit for patients without added toxicity.</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protocol for the pivotal Phase 3 trial of entinostat in combination with exemestane in advanced HR+, HER2- breast cancer was reviewed and agreed upon by the FDA under an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16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exemestane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14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exemestane in advanced HR+, HER2- breast cancer patients. The trial will measure two primary endpoints of progression free survival, or PFS, and overall survival. Based on information received from ECOG-ACRIN to date, PFS data is expected in the first half of 2018 and overall survival data no sooner than the second half of 2019. If the Phase 3 clinical trial meets the PFS endpoint and the interim analysis of overall survival demonstrates a favorable trend, we expect to submit an NDA based on this data in 2018. However, if the trial does not meet the PFS endpoint, we will not be able to submit an NDA unless and until we receive data demonstrating that the primary endpoint for overall survival has been achieved. In addition, based on scientific advice from the European Medicines Agency, the current Phase 3 clinical trial is not likely to be sufficient to receive regulatory approval in Europe for entinostat to treat advanced HR+, HER2- breast cancer, and it is unclear whether we would be able to complete an alternate clinical trial that would be sufficient.</w:t>
      </w:r>
    </w:p>
    <w:p>
      <w:pPr>
        <w:spacing w:after="0" w:line="195"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exemestane, we cannot be certain that we will not observe these toxicities or unexpected side effects in the Phase 3 clinical trial.</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8"/>
          <w:szCs w:val="18"/>
          <w:i w:val="1"/>
          <w:iCs w:val="1"/>
          <w:color w:val="auto"/>
        </w:rPr>
        <w:t xml:space="preserve">Kisqali </w:t>
      </w:r>
      <w:r>
        <w:rPr>
          <w:rFonts w:ascii="Arial" w:cs="Arial" w:eastAsia="Arial" w:hAnsi="Arial"/>
          <w:sz w:val="18"/>
          <w:szCs w:val="18"/>
          <w:color w:val="auto"/>
        </w:rPr>
        <w:t>and</w:t>
      </w:r>
      <w:r>
        <w:rPr>
          <w:rFonts w:ascii="Arial" w:cs="Arial" w:eastAsia="Arial" w:hAnsi="Arial"/>
          <w:sz w:val="18"/>
          <w:szCs w:val="18"/>
          <w:i w:val="1"/>
          <w:iCs w:val="1"/>
          <w:color w:val="auto"/>
        </w:rPr>
        <w:t xml:space="preserve"> Ibrance</w:t>
      </w:r>
      <w:r>
        <w:rPr>
          <w:rFonts w:ascii="Arial" w:cs="Arial" w:eastAsia="Arial" w:hAnsi="Arial"/>
          <w:sz w:val="18"/>
          <w:szCs w:val="18"/>
          <w:color w:val="auto"/>
        </w:rPr>
        <w:t>, patients enrolled in the Phase 3 clinical trial may be different than those enrolled in our previous Phase 2b clinical trial in that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received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and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The failure of ECOG-ACRIN or the NCI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01"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color w:val="auto"/>
        </w:rPr>
        <w:t>We have entered into an arrangement with ECOG-ACRIN, pursuant to which it, with sponsorship and funding support by the NCI, is conducting the Phase 3 clinical trial of entinostat in combination with exemestane in advanced HR+, HER2- breast cancer patients. While we provide operational and logistical support for the trial, we have limited control of their activities. We cannot control whether or not ECOG-ACRIN will devote sufficient time and resources to the trial, including as a result of any reduction or delay in government funding or sponsorship of the activities of ECOG-ACRIN or the NCI. If ECOG-ACRIN or the NCI does not successfully carry out its obligations and responsibilities or meet expected deadlines or if the quality or accuracy of the clinical data that ECOG-ACRIN obtains is compromised due to the failure to adhere to cGMPs,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8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1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Phase 3 clinical trial of entinostat in combination with exemestane in advanced HR+, HER2- breast cancer commenced in the second quarter of 2014, and ECOG-ACRIN expects to have PFS data from this trial in the first half of 2018. However, to date, ECOG-ACRIN’s enrollment of patients in this trial has been slower than expected. We do not know whether this trial will need to be restructured, or will be completed on schedule or at all. Our product development costs will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which may result in a delay or unsuccessful completion of clinical development of entinostat include, among other things:</w:t>
      </w:r>
    </w:p>
    <w:p>
      <w:pPr>
        <w:spacing w:after="0" w:line="83"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ECOG-ACRIN to timely identify and enroll patients in the Phase 3 clinical trial;</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75"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deviations from the trial protocol by clinical trial sites and investigators or failure to conduct the trial in accordance with regulatory requirements;</w:t>
      </w:r>
    </w:p>
    <w:p>
      <w:pPr>
        <w:spacing w:after="0" w:line="153"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trials;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perception about the relative efficacy of our product candidates versus other compounds in clinical development or commercially available;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immuno-oncology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Merck, Genentech, Merck KGaA and Pfizer and any future collaborators to perform satisfactorily under our agreements.</w:t>
      </w:r>
    </w:p>
    <w:p>
      <w:pPr>
        <w:spacing w:after="0" w:line="24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agreements with Merck, Genentech, Merck KGaA and Pfizer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6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If we are unable to enter into additional clinical collaborations with developers of immune checkpoint inhibitors or other combination therapies to explore the same or additional indications, the commercial potential of entinostat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actions of KHK and any other current or future sublicensees could adversely affect our business.</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For example, under the UCB license agreement, UCB is transferring to us certain data and materials, providing limited technical assistance and certain transitional services, and manufacturing and suppling us with a preliminary supply of SNDX-6352, which we expect will assist us with the development, manufacture and commercialization of SNDX-6352. If UCB fails to complete such technology transfer or to supply us with sufficient quantities of SNDX-6352, our efforts to develop and commercialization SNDX-6352 may be delayed or may fail.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is terminated,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75"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45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5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entinostat and/or SNDX-6352 for a more limited patient population than we request, may grant approval contingent on the performance of costly post-marketing trials, may impose a risk evaluation and mitigation strategy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exemestane, Keytruda, Tecentriq, Bavencio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exemestane</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Keytruda</w:t>
      </w:r>
      <w:r>
        <w:rPr>
          <w:rFonts w:ascii="Arial" w:cs="Arial" w:eastAsia="Arial" w:hAnsi="Arial"/>
          <w:sz w:val="18"/>
          <w:szCs w:val="18"/>
          <w:color w:val="auto"/>
        </w:rPr>
        <w:t>,</w:t>
      </w:r>
      <w:r>
        <w:rPr>
          <w:rFonts w:ascii="Arial" w:cs="Arial" w:eastAsia="Arial" w:hAnsi="Arial"/>
          <w:sz w:val="18"/>
          <w:szCs w:val="18"/>
          <w:i w:val="1"/>
          <w:iCs w:val="1"/>
          <w:color w:val="auto"/>
        </w:rPr>
        <w:t xml:space="preserve"> Tecentriq</w:t>
      </w:r>
      <w:r>
        <w:rPr>
          <w:rFonts w:ascii="Arial" w:cs="Arial" w:eastAsia="Arial" w:hAnsi="Arial"/>
          <w:sz w:val="18"/>
          <w:szCs w:val="18"/>
          <w:color w:val="auto"/>
        </w:rPr>
        <w:t>,</w:t>
      </w:r>
      <w:r>
        <w:rPr>
          <w:rFonts w:ascii="Arial" w:cs="Arial" w:eastAsia="Arial" w:hAnsi="Arial"/>
          <w:sz w:val="18"/>
          <w:szCs w:val="18"/>
          <w:i w:val="1"/>
          <w:iCs w:val="1"/>
          <w:color w:val="auto"/>
        </w:rPr>
        <w:t xml:space="preserve"> Bavencio </w:t>
      </w:r>
      <w:r>
        <w:rPr>
          <w:rFonts w:ascii="Arial" w:cs="Arial" w:eastAsia="Arial" w:hAnsi="Arial"/>
          <w:sz w:val="18"/>
          <w:szCs w:val="18"/>
          <w:color w:val="auto"/>
        </w:rPr>
        <w:t>or other drugs that we are testing in combination with entinostat could adversely affect our ability to timely conduct the Phase</w:t>
      </w:r>
      <w:r>
        <w:rPr>
          <w:rFonts w:ascii="Arial" w:cs="Arial" w:eastAsia="Arial" w:hAnsi="Arial"/>
          <w:sz w:val="18"/>
          <w:szCs w:val="18"/>
          <w:i w:val="1"/>
          <w:iCs w:val="1"/>
          <w:color w:val="auto"/>
        </w:rPr>
        <w:t xml:space="preserve"> </w:t>
      </w:r>
      <w:r>
        <w:rPr>
          <w:rFonts w:ascii="Arial" w:cs="Arial" w:eastAsia="Arial" w:hAnsi="Arial"/>
          <w:sz w:val="18"/>
          <w:szCs w:val="18"/>
          <w:color w:val="auto"/>
        </w:rPr>
        <w:t>3 clinical trial in advanced HR+, HER2- breast cancer and the Phase 1b/2 clinical trials in NSCLC, melanoma, microsatellite stable colorectal cancer, ovarian cancer, and TNBC, and if entinostat receives regulatory approval, to commercialize entinostat for treatment of advanced HR+, HER2- breast cancer, NSCLC, melanoma, microsatellite stable colorectal cancer, ovarian cancer, or TNBC. A shortage of supply may also result in an increase, which could be significant, in our costs of procuring exemestane.</w:t>
      </w:r>
    </w:p>
    <w:p>
      <w:pPr>
        <w:spacing w:after="0" w:line="18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7"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including durability of response, and safety profile as demonstrated in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entinostat and SNDX-6352.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170"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We have received breakthrough therapy designation from the FDA for entinostat when used in combination with exemestane based on the overall survival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conventional FDA procedures and does not assure ultimate approval by the FDA. In addition, the FDA may later decide that entinostat no longer meets the conditions for qualification or decide that the time period for FDA review will not be shortened. For instance, if results from the Phase 3 clinical trial do not confirm the improvements in PFS or overall survival observed in our Phase 2b clinical trial, the FDA may rescind our breakthrough therapy designation.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6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2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from the European Medicines Agency,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The pharmacologic treatment of NSCLC, melanoma, microsatellite stable colorectal cancer, ovarian cancer, TNBC patients includes chemotherapies and therapies targeting specific gene mutations. More recently, immune checkpoint inhibitors have been approved for NSCLC, melanoma and ovarian cancer and are under investigation for TNBC and microsatellite stable colorectal cancer. Currently there are few approved combination immuno-oncology therapies although numerous drugs are undergoing active clinical investigation. We believe that if entinostat in combination with either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w:t>
      </w:r>
      <w:r>
        <w:rPr>
          <w:rFonts w:ascii="Arial" w:cs="Arial" w:eastAsia="Arial" w:hAnsi="Arial"/>
          <w:sz w:val="16"/>
          <w:szCs w:val="16"/>
          <w:i w:val="1"/>
          <w:iCs w:val="1"/>
          <w:color w:val="auto"/>
        </w:rPr>
        <w:t>Tecentriq</w:t>
      </w:r>
      <w:r>
        <w:rPr>
          <w:rFonts w:ascii="Arial" w:cs="Arial" w:eastAsia="Arial" w:hAnsi="Arial"/>
          <w:sz w:val="16"/>
          <w:szCs w:val="16"/>
          <w:color w:val="auto"/>
        </w:rPr>
        <w:t xml:space="preserve"> or </w:t>
      </w:r>
      <w:r>
        <w:rPr>
          <w:rFonts w:ascii="Arial" w:cs="Arial" w:eastAsia="Arial" w:hAnsi="Arial"/>
          <w:sz w:val="16"/>
          <w:szCs w:val="16"/>
          <w:i w:val="1"/>
          <w:iCs w:val="1"/>
          <w:color w:val="auto"/>
        </w:rPr>
        <w:t xml:space="preserve">Bavencio </w:t>
      </w:r>
      <w:r>
        <w:rPr>
          <w:rFonts w:ascii="Arial" w:cs="Arial" w:eastAsia="Arial" w:hAnsi="Arial"/>
          <w:sz w:val="16"/>
          <w:szCs w:val="16"/>
          <w:color w:val="auto"/>
        </w:rPr>
        <w:t>were approved for the treatment of NSCLC, melanoma, microsatellite stable colorectal cancer, ovarian cancer or TNBC, it would face competition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standard-of-care approaches and other investigational drugs being tested in combination with any of these approaches.</w:t>
      </w:r>
    </w:p>
    <w:p>
      <w:pPr>
        <w:spacing w:after="0" w:line="16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If entinostat in combination with exemestane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and other therapies currently in Phase 3 clinical development such as abemaciclib, being developed by Eli Lilly and Company.</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3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entinostat in combination with exemestane</w:t>
      </w:r>
      <w:r>
        <w:rPr>
          <w:rFonts w:ascii="Arial" w:cs="Arial" w:eastAsia="Arial" w:hAnsi="Arial"/>
          <w:sz w:val="18"/>
          <w:szCs w:val="18"/>
          <w:i w:val="1"/>
          <w:iCs w:val="1"/>
          <w:color w:val="auto"/>
        </w:rPr>
        <w:t>, Keytruda, Tecentriq, Bavencio</w:t>
      </w:r>
      <w:r>
        <w:rPr>
          <w:rFonts w:ascii="Arial" w:cs="Arial" w:eastAsia="Arial" w:hAnsi="Arial"/>
          <w:sz w:val="18"/>
          <w:szCs w:val="18"/>
          <w:color w:val="auto"/>
        </w:rPr>
        <w:t xml:space="preserve"> and other drugs by physicians and other healthcare providers.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24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22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jc w:val="both"/>
        <w:ind w:right="120" w:firstLine="456"/>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17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Our ability to successfully commercialize entinostat,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6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Private payors often follow the Centers for Medicare and Medicaid Services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7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our ability to market the product candidate.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26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judicial and Congressional challenges to certain aspects of the Affordable Care Act, and we expect there will be additional challenges and amendments in the future. Some of the provisions of the Affordable Care Act have yet to be implemented, and there have been judicial and Congressional challenges to certain aspects of the Affordable Care Act.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U.S. House of Representatives passed legislation known as the American Health Care Act of 2017 in May 2017. More recently, the Senate Republicans introduced and then updated a bill to replace the Affordable Care Act known as the Better Care Reconciliation Act of 2017. The Senate Republicans also introduced legislation to repeal the Affordable Care Act without companion legislation to replace it, and a “skinny” version of the Better Care Reconciliation Act of 2017. Each of these measures was rejected by the full Senate. Congress will likely consider other legislation to replace elements of the Affordable Care Act. We continue to evaluate the effect that the ACA and its possible repeal and replacement has on our business.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has extended the 2% reduction to 2025.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 Further,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9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17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78" w:lineRule="exact"/>
        <w:rPr>
          <w:sz w:val="20"/>
          <w:szCs w:val="20"/>
          <w:color w:val="auto"/>
        </w:rPr>
      </w:pPr>
    </w:p>
    <w:p>
      <w:pPr>
        <w:ind w:left="90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and their implementing regulations, or HIPAA, imposes civil and criminal liability for, among other things, knowingly and willfully executing a scheme to defraud any healthcare benefit program, knowingly and willfully embezzling or stealing any money or other assets of a health care benefit program,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64" w:lineRule="auto"/>
        <w:rPr>
          <w:sz w:val="20"/>
          <w:szCs w:val="20"/>
          <w:color w:val="auto"/>
        </w:rPr>
      </w:pPr>
      <w:r>
        <w:rPr>
          <w:rFonts w:ascii="Arial" w:cs="Arial" w:eastAsia="Arial" w:hAnsi="Arial"/>
          <w:sz w:val="18"/>
          <w:szCs w:val="18"/>
          <w:color w:val="auto"/>
        </w:rPr>
        <w:t>willfully obstructing a criminal investigation of a health care fraud offense, knowingly and willfully making false statements relating to healthcare matters, or knowingly obtaining or disclosing individually identifiable health information maintained by a HIPAA-covered entity in a manner that is not authorized or permitted by HIPAA;</w:t>
      </w:r>
    </w:p>
    <w:p>
      <w:pPr>
        <w:spacing w:after="0" w:line="87" w:lineRule="exact"/>
        <w:rPr>
          <w:sz w:val="20"/>
          <w:szCs w:val="20"/>
          <w:color w:val="auto"/>
        </w:rPr>
      </w:pPr>
    </w:p>
    <w:p>
      <w:pPr>
        <w:ind w:left="900" w:right="32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ind w:left="900" w:right="80" w:hanging="325"/>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94" w:lineRule="exact"/>
        <w:rPr>
          <w:rFonts w:ascii="Arial" w:cs="Arial" w:eastAsia="Arial" w:hAnsi="Arial"/>
          <w:sz w:val="18"/>
          <w:szCs w:val="18"/>
          <w:color w:val="auto"/>
        </w:rPr>
      </w:pPr>
    </w:p>
    <w:p>
      <w:pPr>
        <w:ind w:left="900" w:hanging="325"/>
        <w:spacing w:after="0" w:line="28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6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459" w:right="2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expires in September 2017.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authorities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in September 2017, a competitor may develop a competing polymorphic form other than based on polymorph B, which could compete with polymorph B.</w:t>
      </w:r>
    </w:p>
    <w:p>
      <w:pPr>
        <w:spacing w:after="0" w:line="18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portfolio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82"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obligated to pay Bayer up to approximately $50.0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17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7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73"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any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failure, inadequacy, interruption or security lapse of that technology, including any cyber security incidents, could harm our ability to operate our business effectively.</w:t>
      </w:r>
    </w:p>
    <w:p>
      <w:pPr>
        <w:spacing w:after="0" w:line="17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System failures, accidents or security breaches could cause interruptions in our operations, and could result in a material disruption of our clinical and commercialization activities and business operations, in addition to possibly requiring substantial expenditures of resources to remedy. The loss of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our product research, development and commercialization efforts could be delayed.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225"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5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Until we can generate a sufficient amount of revenue from our products, if ever, we expect to finance future cash needs through public or private equity or debt offerings. In April 2017, we filed a shelf registration statement on Form S-3 (Registration No. 333-217172) that allows us to sell up to an aggregate of $200 million of our common stock, which includes up to $50.0 million designated in the prospectus supplement for an at-the-market offering program.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no or few securities or industry analysts commence coverage of us, the trading price for our stock could be negatively impacted. In the event we obtain securities or industry analyst coverage, if any of the analysts who cover us issue an adverse or misleading opinion regarding us, our business model, our intellectual property or our stock performance, or if our trials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As of June 30, 2017, our executive officers, directors, holders of 5% or more of our capital stock and their respective affiliates beneficially own approximately 58% of our outstanding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78"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0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76" w:lineRule="exact"/>
        <w:rPr>
          <w:sz w:val="20"/>
          <w:szCs w:val="20"/>
          <w:color w:val="auto"/>
        </w:rPr>
      </w:pPr>
    </w:p>
    <w:p>
      <w:pPr>
        <w:ind w:left="900" w:right="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75"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29" w:lineRule="exact"/>
        <w:rPr>
          <w:rFonts w:ascii="Arial" w:cs="Arial" w:eastAsia="Arial" w:hAnsi="Arial"/>
          <w:sz w:val="16"/>
          <w:szCs w:val="16"/>
          <w:color w:val="auto"/>
        </w:rPr>
      </w:pPr>
    </w:p>
    <w:p>
      <w:pPr>
        <w:ind w:left="900" w:right="58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may take advantage of these exemptions until we are no longer an “emerging growth company.” We would cease to be an “emerging growth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upon the earliest of: (i) the first fiscal year following the fifth anniversary of our IPO; (ii) the first fiscal year after our annual gross revenues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billion or more; (iii) the date on which we have, during the previous three-year period, issued more than $1.0 billion in non-convertible debt securities; or</w:t>
      </w:r>
    </w:p>
    <w:p>
      <w:pPr>
        <w:spacing w:after="0" w:line="32" w:lineRule="exact"/>
        <w:rPr>
          <w:sz w:val="20"/>
          <w:szCs w:val="20"/>
          <w:color w:val="auto"/>
        </w:rPr>
      </w:pPr>
    </w:p>
    <w:p>
      <w:pPr>
        <w:ind w:right="180" w:firstLine="8"/>
        <w:spacing w:after="0" w:line="261" w:lineRule="auto"/>
        <w:tabs>
          <w:tab w:leader="none" w:pos="3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the end of any fiscal year in which the market value of our common stock held by non-affiliates exceeded $700 million as of the end of the second quarter of that fiscal year.</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intend to take advantage of some, but not all, of the reduced regulatory and reporting requirements that will be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17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completed our initial public offering on March 8, 2016. As a newly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will increase our legal and financial compliance costs and will make some activities more time-consuming and costly. The increased costs will increase our net loss. For example, these rules and regulations have made it more difficult and more expensive for us to obtain director and officer liability insurance and we were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Some of the holders of our securities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trading price of our common stock.</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0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8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2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87" w:lineRule="exact"/>
        <w:rPr>
          <w:sz w:val="20"/>
          <w:szCs w:val="20"/>
          <w:color w:val="auto"/>
        </w:rPr>
      </w:pPr>
    </w:p>
    <w:p>
      <w:pPr>
        <w:ind w:left="900" w:right="5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3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March 8, 2016, we completed our IPO and sold 4,400,000 shares of common stock at the initial public offering price of $12.00 per share.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11, 2016, we sold an additional 409,475 shares of our common stock at the initial public offering price of $12.00 per share as a result of the partial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 by the underwriters of their option purchase additional shares of common stock. We received net proceeds from the IPO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$50.5 million, after deducting underwriting discounts, commissions and offering expenses. None of these expenses consisted of payments made by us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officers or persons owning 10% or more of our common stock or to their associates, or to our affiliates. The offer and sale of the shares in our IPO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registered pursuant to our Registration Statement on Form S-1 (File No. 333-208861), which was declared effective by the SEC on March 2,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and Citigroup acted as joint book-running managers for the offering, and JMP Securities and Oppenheimer &amp; Co. acted as co-managers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offering. There has been no material change in the planned use of proceeds from our IPO as described in our final prospectus filed with the SEC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 2016, pursuant to Rule 424. We invested the funds received in cash equivalents and other short-term investments in accordance with our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policy. As of June 30, 2017, we have not used any of the proceeds from the IPO and as such, the entire amount of the net proceeds is included as cash,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equivalents and short-term investments.</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Briggs W. Morrison, M.D.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Richard P. Shea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(Principal Executive Officer and Principal Accounting</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40"/>
          </w:cols>
          <w:pgMar w:left="240" w:top="459" w:right="319" w:bottom="1440" w:gutter="0" w:footer="0" w:header="0"/>
        </w:sectPr>
      </w:pPr>
    </w:p>
    <w:p>
      <w:pPr>
        <w:spacing w:after="0" w:line="248" w:lineRule="exact"/>
        <w:rPr>
          <w:sz w:val="20"/>
          <w:szCs w:val="20"/>
          <w:color w:val="auto"/>
        </w:rPr>
      </w:pPr>
    </w:p>
    <w:p>
      <w:pPr>
        <w:jc w:val="center"/>
        <w:ind w:left="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5080</wp:posOffset>
            </wp:positionV>
            <wp:extent cx="2832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Amended and Restated Certificate of Incorporation of the Company (incorporated herein by reference to Exhibit 3.1 to the Company’s Current Report on Form 8-K (File No. 001-37708), as filed with the SEC on March 8, 2016).</w:t>
      </w:r>
    </w:p>
    <w:p>
      <w:pPr>
        <w:spacing w:after="0" w:line="62" w:lineRule="exact"/>
        <w:rPr>
          <w:sz w:val="20"/>
          <w:szCs w:val="20"/>
          <w:color w:val="auto"/>
        </w:rPr>
      </w:pPr>
    </w:p>
    <w:p>
      <w:pPr>
        <w:sectPr>
          <w:pgSz w:w="11900" w:h="16838" w:orient="portrait"/>
          <w:cols w:equalWidth="0" w:num="2">
            <w:col w:w="520" w:space="400"/>
            <w:col w:w="10420"/>
          </w:cols>
          <w:pgMar w:left="240" w:top="459" w:right="319" w:bottom="1440" w:gutter="0" w:footer="0" w:header="0"/>
          <w:type w:val="continuous"/>
        </w:sect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Company (incorporated herein by reference to Exhibit 3.1 to the Company’s Current Report on Form 8-K (File No. 001-37708), as filed with the SEC on March 8, 2016).</w:t>
      </w:r>
    </w:p>
    <w:p>
      <w:pPr>
        <w:spacing w:after="0" w:line="62" w:lineRule="exact"/>
        <w:rPr>
          <w:sz w:val="20"/>
          <w:szCs w:val="20"/>
          <w:color w:val="auto"/>
        </w:rPr>
      </w:pPr>
    </w:p>
    <w:p>
      <w:pPr>
        <w:ind w:left="920" w:right="40" w:hanging="737"/>
        <w:spacing w:after="0" w:line="277"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Common Stock Certificate of the Company (incorporated herein by reference to Exhibit 4.1 to the Company’s Registration Statement on Form S-1/A (File No. 333-208861), as filed with the SEC on February 10, 2016).</w:t>
      </w:r>
    </w:p>
    <w:p>
      <w:pPr>
        <w:spacing w:after="0" w:line="62" w:lineRule="exact"/>
        <w:rPr>
          <w:sz w:val="20"/>
          <w:szCs w:val="20"/>
          <w:color w:val="auto"/>
        </w:rPr>
      </w:pPr>
    </w:p>
    <w:p>
      <w:pPr>
        <w:ind w:left="920" w:right="60" w:hanging="737"/>
        <w:spacing w:after="0" w:line="264" w:lineRule="auto"/>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Warrant to purchase Common Stock issued pursuant to the Warrant Agreement by and between the Company and Bayer Schering Pharma AG, dated March 26, 2007 (incorporated herein by reference to Exhibit 4.2 to the Company’s Registration Statement on Form S-1 (File No. 333-208861), as filed with the SEC on January 4, 2016).</w:t>
      </w:r>
    </w:p>
    <w:p>
      <w:pPr>
        <w:spacing w:after="0" w:line="7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Executive Employment Agreement by and between the Company and Richard P. Shea, dated as of February 9, 2017.</w:t>
      </w:r>
    </w:p>
    <w:p>
      <w:pPr>
        <w:spacing w:after="0" w:line="117" w:lineRule="exact"/>
        <w:rPr>
          <w:sz w:val="20"/>
          <w:szCs w:val="20"/>
          <w:color w:val="auto"/>
        </w:rPr>
      </w:pPr>
    </w:p>
    <w:p>
      <w:pPr>
        <w:ind w:left="920" w:right="260" w:hanging="827"/>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#1 to Clinical Trial Collaboration and Supply Agreement by and between the Company, Merck Sharp &amp; Dohme B.V., and MSD International GmbH, dated as of April 26, 2017.</w:t>
      </w:r>
    </w:p>
    <w:p>
      <w:pPr>
        <w:spacing w:after="0" w:line="62" w:lineRule="exact"/>
        <w:rPr>
          <w:sz w:val="20"/>
          <w:szCs w:val="20"/>
          <w:color w:val="auto"/>
        </w:rPr>
      </w:pPr>
    </w:p>
    <w:p>
      <w:pPr>
        <w:ind w:left="920" w:right="40" w:hanging="827"/>
        <w:spacing w:after="0" w:line="277" w:lineRule="auto"/>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Principal Executive Officer pursuant to Rules 13a-14(a) and 15d-14(a) promulgated under the Securities Exchange Act of 1934, as amended.</w:t>
      </w:r>
    </w:p>
    <w:p>
      <w:pPr>
        <w:spacing w:after="0" w:line="62" w:lineRule="exact"/>
        <w:rPr>
          <w:sz w:val="20"/>
          <w:szCs w:val="20"/>
          <w:color w:val="auto"/>
        </w:rPr>
      </w:pPr>
    </w:p>
    <w:p>
      <w:pPr>
        <w:ind w:left="920" w:right="100" w:hanging="827"/>
        <w:spacing w:after="0" w:line="277"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Principal Financial Officer pursuant to Rules 13a-14(a) and 15d-14(a) promulgated under the Securities Exchange Act of 1934, as amended.</w:t>
      </w:r>
    </w:p>
    <w:p>
      <w:pPr>
        <w:spacing w:after="0" w:line="62" w:lineRule="exact"/>
        <w:rPr>
          <w:sz w:val="20"/>
          <w:szCs w:val="20"/>
          <w:color w:val="auto"/>
        </w:rPr>
      </w:pPr>
    </w:p>
    <w:p>
      <w:pPr>
        <w:ind w:left="920" w:right="40" w:hanging="827"/>
        <w:spacing w:after="0" w:line="277"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of Chief Executive Officer and Chief Financial Officer pursuant to 18 U.S.C. Section 1350, as adopted pursuant to Section 906 of the Sarbanes-Oxley Act of 2002.</w:t>
      </w:r>
    </w:p>
    <w:p>
      <w:pPr>
        <w:spacing w:after="0" w:line="62" w:lineRule="exact"/>
        <w:rPr>
          <w:sz w:val="20"/>
          <w:szCs w:val="20"/>
          <w:color w:val="auto"/>
        </w:rPr>
      </w:pPr>
    </w:p>
    <w:p>
      <w:pPr>
        <w:ind w:left="920" w:hanging="912"/>
        <w:spacing w:after="0" w:line="259" w:lineRule="auto"/>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June 30, 2017, formatted in XBRL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right="20" w:hanging="212"/>
        <w:spacing w:after="0" w:line="271" w:lineRule="auto"/>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rPr>
          <w:sz w:val="20"/>
          <w:szCs w:val="20"/>
          <w:color w:val="auto"/>
        </w:rPr>
      </w:pPr>
      <w:r>
        <w:rPr>
          <w:rFonts w:ascii="Arial" w:cs="Arial" w:eastAsia="Arial" w:hAnsi="Arial"/>
          <w:sz w:val="17"/>
          <w:szCs w:val="17"/>
          <w:color w:val="auto"/>
        </w:rPr>
        <w:t>†  Confidential treatment has been requested for certain portions of this exhibit. These portions have been omitted and filed separately with the SEC.</w:t>
      </w:r>
    </w:p>
    <w:p>
      <w:pPr>
        <w:sectPr>
          <w:pgSz w:w="11900" w:h="16838" w:orient="portrait"/>
          <w:cols w:equalWidth="0" w:num="1">
            <w:col w:w="11340"/>
          </w:cols>
          <w:pgMar w:left="240" w:top="459" w:right="31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EXECUTIVE EMPLOYMENT AGREEMENT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the 8th day of February, 2017 (the “</w:t>
      </w:r>
      <w:r>
        <w:rPr>
          <w:rFonts w:ascii="Arial" w:cs="Arial" w:eastAsia="Arial" w:hAnsi="Arial"/>
          <w:sz w:val="18"/>
          <w:szCs w:val="18"/>
          <w:b w:val="1"/>
          <w:bCs w:val="1"/>
          <w:i w:val="1"/>
          <w:iCs w:val="1"/>
          <w:color w:val="auto"/>
        </w:rPr>
        <w:t>Execution Date</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RICHARD P. SHEA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xml:space="preserve">”) and </w:t>
      </w:r>
      <w:r>
        <w:rPr>
          <w:rFonts w:ascii="Arial" w:cs="Arial" w:eastAsia="Arial" w:hAnsi="Arial"/>
          <w:sz w:val="18"/>
          <w:szCs w:val="18"/>
          <w:b w:val="1"/>
          <w:bCs w:val="1"/>
          <w:color w:val="auto"/>
        </w:rPr>
        <w:t>SYNDAX PHARMACEUTICALS, INC.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Certain capitalized terms used in this Agreement are defined in Article 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820" w:hanging="356"/>
        <w:spacing w:after="0"/>
        <w:tabs>
          <w:tab w:leader="none" w:pos="8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Company is a biopharmaceutical company.</w:t>
      </w:r>
    </w:p>
    <w:p>
      <w:pPr>
        <w:spacing w:after="0" w:line="225" w:lineRule="exact"/>
        <w:rPr>
          <w:rFonts w:ascii="Arial" w:cs="Arial" w:eastAsia="Arial" w:hAnsi="Arial"/>
          <w:sz w:val="18"/>
          <w:szCs w:val="18"/>
          <w:b w:val="1"/>
          <w:bCs w:val="1"/>
          <w:color w:val="auto"/>
        </w:rPr>
      </w:pPr>
    </w:p>
    <w:p>
      <w:pPr>
        <w:ind w:right="60" w:firstLine="464"/>
        <w:spacing w:after="0" w:line="277" w:lineRule="auto"/>
        <w:tabs>
          <w:tab w:leader="none" w:pos="798"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Company desires to employ Executive in the position set forth below, and Executive wishes to be employed by the Company in such position, upon the terms and conditions set forth in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the Company and Executive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MATTERS</w:t>
      </w:r>
    </w:p>
    <w:p>
      <w:pPr>
        <w:spacing w:after="0" w:line="22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Effectiveness of Agreement</w:t>
      </w:r>
      <w:r>
        <w:rPr>
          <w:rFonts w:ascii="Arial" w:cs="Arial" w:eastAsia="Arial" w:hAnsi="Arial"/>
          <w:sz w:val="16"/>
          <w:szCs w:val="16"/>
          <w:color w:val="auto"/>
        </w:rPr>
        <w:t>. This Agreement shall be effective on the Execution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EMPLOYMENT</w:t>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color w:val="auto"/>
        </w:rPr>
        <w:t>2.1 Appointment</w:t>
      </w:r>
      <w:r>
        <w:rPr>
          <w:rFonts w:ascii="Arial" w:cs="Arial" w:eastAsia="Arial" w:hAnsi="Arial"/>
          <w:sz w:val="17"/>
          <w:szCs w:val="17"/>
          <w:color w:val="auto"/>
        </w:rPr>
        <w:t>. Executive’s start date with the Company is February 13, 2017 or such other date as mutually agreed upon by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(the “</w:t>
      </w:r>
      <w:r>
        <w:rPr>
          <w:rFonts w:ascii="Arial" w:cs="Arial" w:eastAsia="Arial" w:hAnsi="Arial"/>
          <w:sz w:val="17"/>
          <w:szCs w:val="17"/>
          <w:b w:val="1"/>
          <w:bCs w:val="1"/>
          <w:i w:val="1"/>
          <w:iCs w:val="1"/>
          <w:color w:val="auto"/>
        </w:rPr>
        <w:t>Start Date</w:t>
      </w:r>
      <w:r>
        <w:rPr>
          <w:rFonts w:ascii="Arial" w:cs="Arial" w:eastAsia="Arial" w:hAnsi="Arial"/>
          <w:sz w:val="17"/>
          <w:szCs w:val="17"/>
          <w:color w:val="auto"/>
        </w:rPr>
        <w:t>”). Executive shall serve as Chief Financial Officer, reporting to the President and Chief Operating Officer. As Chief Financial Officer, Executive will have such duties and responsibilities typically associated with such officer plus other reasonable duties as may from time to time be assigned to Executive. During Executive’s employment with the Company, Executive shall (i) devote approximately eighty percent (80%) of Executive’s business efforts to the Company, provided, however, that Executive may (a) serve as a consultant to Momenta Pharmaceuticals, Inc., (b) participate in charitable, civic, educational, professional, community or industry affairs, (c) manage Executive’s passive personal investments, and (d) serve as a board member, advisor or a similar position, of up to two other companies, so long as such service does not conflict with or is not detrimental to the Company’s best interests, as determined in good faith by the Board, and (ii) faithfully and to the best of Executive’s abilities and experience, and in accordance with the standards and ethics of the business in which the Company is engaged, perform all duties that may be required of Executive by this Agreement, the Company’s policies and procedures, and such other duties and responsibilities as may be assigned to Executive from time to time, as well as the directives of the Board. During Executive’s employment with the Company, Executive shall not engage in any activity that conflicts with or is detrimental to the Company’s best interests, as determined by the Board. Executive and the Company acknowledge that Executive’s primary office will be located at the Company’s Waltham, MA headquarters, but that Executive may be required to spend a certain amount of time each month at the Company’s New York, NY office.</w:t>
      </w:r>
    </w:p>
    <w:p>
      <w:pPr>
        <w:sectPr>
          <w:pgSz w:w="11900" w:h="16838" w:orient="portrait"/>
          <w:cols w:equalWidth="0" w:num="1">
            <w:col w:w="11420"/>
          </w:cols>
          <w:pgMar w:left="240" w:top="121" w:right="239" w:bottom="1440" w:gutter="0" w:footer="0" w:header="0"/>
        </w:sectPr>
      </w:pPr>
    </w:p>
    <w:bookmarkStart w:id="53" w:name="page54"/>
    <w:bookmarkEnd w:id="53"/>
    <w:p>
      <w:pPr>
        <w:ind w:right="220" w:firstLine="456"/>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Employment Term</w:t>
      </w:r>
      <w:r>
        <w:rPr>
          <w:rFonts w:ascii="Arial" w:cs="Arial" w:eastAsia="Arial" w:hAnsi="Arial"/>
          <w:sz w:val="17"/>
          <w:szCs w:val="17"/>
          <w:color w:val="auto"/>
        </w:rPr>
        <w:t>. Executive will be employed by the Company on an “at-will” basis. This means that either the Company or Executive may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Executive’s employment at any time, for any reason, with or without Cause, and with or without advance notice (provided that Resignation for Good Reason (as defined below) requires certain advanced notice by Executive. It also means that Executive’s job title, duties, responsibilities, reporting level, compensation and benefits, as well as the Company’s personnel policies and procedures, may be changed with or without notice at any time in the Company’s sole discretion. This at-will employment relationship shall not be modified by any conflicting actions or representations of any Company employee or other party before or during the term of Executive’s employment.</w:t>
      </w:r>
    </w:p>
    <w:p>
      <w:pPr>
        <w:spacing w:after="0" w:line="28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Compensation</w:t>
      </w:r>
      <w:r>
        <w:rPr>
          <w:rFonts w:ascii="Arial" w:cs="Arial" w:eastAsia="Arial" w:hAnsi="Arial"/>
          <w:sz w:val="16"/>
          <w:szCs w:val="16"/>
          <w:color w:val="auto"/>
        </w:rPr>
        <w:t>.</w:t>
      </w:r>
    </w:p>
    <w:p>
      <w:pPr>
        <w:spacing w:after="0" w:line="117" w:lineRule="exact"/>
        <w:rPr>
          <w:sz w:val="20"/>
          <w:szCs w:val="20"/>
          <w:color w:val="auto"/>
        </w:rPr>
      </w:pPr>
    </w:p>
    <w:p>
      <w:pPr>
        <w:ind w:right="40" w:firstLine="921"/>
        <w:spacing w:after="0" w:line="281" w:lineRule="auto"/>
        <w:tabs>
          <w:tab w:leader="none" w:pos="1233"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Annual Base Salary</w:t>
      </w:r>
      <w:r>
        <w:rPr>
          <w:rFonts w:ascii="Arial" w:cs="Arial" w:eastAsia="Arial" w:hAnsi="Arial"/>
          <w:sz w:val="17"/>
          <w:szCs w:val="17"/>
          <w:color w:val="auto"/>
        </w:rPr>
        <w:t>. Executive’s annual base salary shall be $325,000 per year (“</w:t>
      </w:r>
      <w:r>
        <w:rPr>
          <w:rFonts w:ascii="Arial" w:cs="Arial" w:eastAsia="Arial" w:hAnsi="Arial"/>
          <w:sz w:val="17"/>
          <w:szCs w:val="17"/>
          <w:b w:val="1"/>
          <w:bCs w:val="1"/>
          <w:i w:val="1"/>
          <w:iCs w:val="1"/>
          <w:color w:val="auto"/>
        </w:rPr>
        <w:t>Annual Base Salary</w:t>
      </w:r>
      <w:r>
        <w:rPr>
          <w:rFonts w:ascii="Arial" w:cs="Arial" w:eastAsia="Arial" w:hAnsi="Arial"/>
          <w:sz w:val="17"/>
          <w:szCs w:val="17"/>
          <w:color w:val="auto"/>
        </w:rPr>
        <w:t>”), payable in equal installments, less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deductions and withholdings, in accordance with the Company’s standard payroll practices. Executive’s Annual Base Salary shall be subject to review by the Company’s compensation committee and may be increased or decreased from time to time, but shall not be reduced unless, and only to the extent that, the base salaries of all other similarly situated executives of the Company are proportionately reduced.</w:t>
      </w:r>
    </w:p>
    <w:p>
      <w:pPr>
        <w:spacing w:after="0" w:line="164" w:lineRule="exact"/>
        <w:rPr>
          <w:rFonts w:ascii="Arial" w:cs="Arial" w:eastAsia="Arial" w:hAnsi="Arial"/>
          <w:sz w:val="17"/>
          <w:szCs w:val="17"/>
          <w:color w:val="auto"/>
        </w:rPr>
      </w:pPr>
    </w:p>
    <w:p>
      <w:pPr>
        <w:ind w:right="260" w:firstLine="921"/>
        <w:spacing w:after="0" w:line="289" w:lineRule="auto"/>
        <w:tabs>
          <w:tab w:leader="none" w:pos="1243"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Benefits</w:t>
      </w:r>
      <w:r>
        <w:rPr>
          <w:rFonts w:ascii="Arial" w:cs="Arial" w:eastAsia="Arial" w:hAnsi="Arial"/>
          <w:sz w:val="17"/>
          <w:szCs w:val="17"/>
          <w:color w:val="auto"/>
        </w:rPr>
        <w:t>. Executive will be entitled to participate in all of the employee benefits and benefit plans that the Company generally makes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its full-time employees and executives and for which Executive is eligible in accordance with the Company’s policies as in effect from time to time. These benefits are subject to the terms, conditions, and eligibility requirements that govern or apply to them.</w:t>
      </w:r>
    </w:p>
    <w:p>
      <w:pPr>
        <w:spacing w:after="0" w:line="158" w:lineRule="exact"/>
        <w:rPr>
          <w:rFonts w:ascii="Arial" w:cs="Arial" w:eastAsia="Arial" w:hAnsi="Arial"/>
          <w:sz w:val="17"/>
          <w:szCs w:val="17"/>
          <w:color w:val="auto"/>
        </w:rPr>
      </w:pPr>
    </w:p>
    <w:p>
      <w:pPr>
        <w:ind w:firstLine="921"/>
        <w:spacing w:after="0" w:line="290" w:lineRule="auto"/>
        <w:tabs>
          <w:tab w:leader="none" w:pos="1233"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Bonus</w:t>
      </w:r>
      <w:r>
        <w:rPr>
          <w:rFonts w:ascii="Arial" w:cs="Arial" w:eastAsia="Arial" w:hAnsi="Arial"/>
          <w:sz w:val="16"/>
          <w:szCs w:val="16"/>
          <w:color w:val="auto"/>
        </w:rPr>
        <w:t>. In addition to Annual Base Salary, Executive shall be eligible to earn an annual performance bonus of up to thirty-five percent (35%)</w:t>
      </w:r>
      <w:r>
        <w:rPr>
          <w:rFonts w:ascii="Arial" w:cs="Arial" w:eastAsia="Arial" w:hAnsi="Arial"/>
          <w:sz w:val="16"/>
          <w:szCs w:val="16"/>
          <w:b w:val="1"/>
          <w:bCs w:val="1"/>
          <w:color w:val="auto"/>
        </w:rPr>
        <w:t xml:space="preserve"> </w:t>
      </w:r>
      <w:r>
        <w:rPr>
          <w:rFonts w:ascii="Arial" w:cs="Arial" w:eastAsia="Arial" w:hAnsi="Arial"/>
          <w:sz w:val="16"/>
          <w:szCs w:val="16"/>
          <w:color w:val="auto"/>
        </w:rPr>
        <w:t>of Executive’s Annual Base Salary, which bonus shall be earned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Arial" w:cs="Arial" w:eastAsia="Arial" w:hAnsi="Arial"/>
          <w:sz w:val="16"/>
          <w:szCs w:val="16"/>
          <w:b w:val="1"/>
          <w:bCs w:val="1"/>
          <w:i w:val="1"/>
          <w:iCs w:val="1"/>
          <w:color w:val="auto"/>
        </w:rPr>
        <w:t>Target Performance Bonus</w:t>
      </w:r>
      <w:r>
        <w:rPr>
          <w:rFonts w:ascii="Arial" w:cs="Arial" w:eastAsia="Arial" w:hAnsi="Arial"/>
          <w:sz w:val="16"/>
          <w:szCs w:val="16"/>
          <w:color w:val="auto"/>
        </w:rPr>
        <w:t>”). The amount of and Executive’s eligibility for the Target Performance Bonus shall be determined in the sole discretion of the Board (or the compensation committee thereof, as such determination may be delegated by the Board to the compensation committee). If earned, any Target Performance Bonus shall be paid to Executive, less authorized deductions and applicable withholdings, on or before the February 15th following the applicable bonus year. For the 2017 calendar year, if earned, the Target Performance Bonus will be pro-rated from the Start Date. Except as provided in Sections 3.2 and 4.2, Executive shall be eligible to earn the Target Performance Bonus only if Executive is actively employed and in good standing with the Company on both the determination and payment dates for the Target Performance Bonus.</w:t>
      </w:r>
    </w:p>
    <w:p>
      <w:pPr>
        <w:spacing w:after="0" w:line="160"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b w:val="1"/>
          <w:bCs w:val="1"/>
          <w:color w:val="auto"/>
        </w:rPr>
        <w:t>2.4 Reimbursement of Expenses</w:t>
      </w:r>
      <w:r>
        <w:rPr>
          <w:rFonts w:ascii="Arial" w:cs="Arial" w:eastAsia="Arial" w:hAnsi="Arial"/>
          <w:sz w:val="17"/>
          <w:szCs w:val="17"/>
          <w:color w:val="auto"/>
        </w:rPr>
        <w:t>. Subject to Section 5.10(c), the Company shall reimburse Executive for Executive’s necessary and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expenses incurred in connection with Executive’s duties in accordance with the Company’s generally applicable policies.</w:t>
      </w:r>
    </w:p>
    <w:p>
      <w:pPr>
        <w:spacing w:after="0" w:line="138"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2.5 Grant of Stock Option</w:t>
      </w:r>
      <w:r>
        <w:rPr>
          <w:rFonts w:ascii="Arial" w:cs="Arial" w:eastAsia="Arial" w:hAnsi="Arial"/>
          <w:sz w:val="18"/>
          <w:szCs w:val="18"/>
          <w:color w:val="auto"/>
        </w:rPr>
        <w:t>. Subject to the approval of the Board or the compensation committee of the Board, approximately upon the Start Date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be issued an option to purchase 125,000 shares of the Company’s common stock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The Option will be evidenced by a stock option agreement and be subject to the terms and conditions of the Company’s 2015 Equity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54" w:name="page55"/>
    <w:bookmarkEnd w:id="5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Plan, as amended (the “</w:t>
      </w:r>
      <w:r>
        <w:rPr>
          <w:rFonts w:ascii="Arial" w:cs="Arial" w:eastAsia="Arial" w:hAnsi="Arial"/>
          <w:sz w:val="16"/>
          <w:szCs w:val="16"/>
          <w:b w:val="1"/>
          <w:bCs w:val="1"/>
          <w:i w:val="1"/>
          <w:iCs w:val="1"/>
          <w:color w:val="auto"/>
        </w:rPr>
        <w:t>Equity Plan</w:t>
      </w:r>
      <w:r>
        <w:rPr>
          <w:rFonts w:ascii="Arial" w:cs="Arial" w:eastAsia="Arial" w:hAnsi="Arial"/>
          <w:sz w:val="16"/>
          <w:szCs w:val="16"/>
          <w:color w:val="auto"/>
        </w:rPr>
        <w:t>”). Subject to the terms and conditions of the Equity Plan, the Option will have a term of ten (10) years from the Option’s grant date. The exercise price per share of the Option will be equal to the per share fair market value of the Company’s common stock on the date the Option is granted, as determined by the Board. The vesting schedule of the Option will be as follows: twenty-five percent (25%) of the shares of the Company’s common stock subject to the Option will vest upon the one year anniversary of the Start Date, and one thirty-sixth (1/36th) of the remaining shares of the Company’s common stock subject to the Option will vest each month thereafter on the last day of each month, so long as Executive remains an employee, consultant, director or officer of the Company, and subject to the terms and conditions of the stock option agreement and the Equity Plan.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IN CONTROL SEVERANCE BENEFITS</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b w:val="1"/>
          <w:bCs w:val="1"/>
          <w:color w:val="auto"/>
        </w:rPr>
        <w:t>3.1 Severance Benefits</w:t>
      </w:r>
      <w:r>
        <w:rPr>
          <w:rFonts w:ascii="Arial" w:cs="Arial" w:eastAsia="Arial" w:hAnsi="Arial"/>
          <w:sz w:val="17"/>
          <w:szCs w:val="17"/>
          <w:color w:val="auto"/>
        </w:rPr>
        <w:t>. Upon a Change in Control Termination, and subject to the limitations and conditions set forth in this Agreement,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eligible to receive the benefits set forth in this Article 3. The receipt of any severance payments or benefits pursuant to this Agreement is subject to Executive signing and not revoking a separation agreement and general release of claims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xml:space="preserve">”), in substantially the form attached hereto and incorporated herein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or </w:t>
      </w:r>
      <w:r>
        <w:rPr>
          <w:rFonts w:ascii="Arial" w:cs="Arial" w:eastAsia="Arial" w:hAnsi="Arial"/>
          <w:sz w:val="17"/>
          <w:szCs w:val="17"/>
          <w:b w:val="1"/>
          <w:bCs w:val="1"/>
          <w:color w:val="auto"/>
        </w:rPr>
        <w:t>Exhibit C</w:t>
      </w:r>
      <w:r>
        <w:rPr>
          <w:rFonts w:ascii="Arial" w:cs="Arial" w:eastAsia="Arial" w:hAnsi="Arial"/>
          <w:sz w:val="17"/>
          <w:szCs w:val="17"/>
          <w:color w:val="auto"/>
        </w:rPr>
        <w:t>, as appropriate, which Release must become effective and irrevocable no later than the sixtieth (60</w:t>
      </w:r>
      <w:r>
        <w:rPr>
          <w:rFonts w:ascii="Arial" w:cs="Arial" w:eastAsia="Arial" w:hAnsi="Arial"/>
          <w:sz w:val="14"/>
          <w:szCs w:val="14"/>
          <w:color w:val="auto"/>
        </w:rPr>
        <w:t>th</w:t>
      </w:r>
      <w:r>
        <w:rPr>
          <w:rFonts w:ascii="Arial" w:cs="Arial" w:eastAsia="Arial" w:hAnsi="Arial"/>
          <w:sz w:val="17"/>
          <w:szCs w:val="17"/>
          <w:color w:val="auto"/>
        </w:rPr>
        <w:t>) day following Executive’s termination of employment (the “</w:t>
      </w:r>
      <w:r>
        <w:rPr>
          <w:rFonts w:ascii="Arial" w:cs="Arial" w:eastAsia="Arial" w:hAnsi="Arial"/>
          <w:sz w:val="17"/>
          <w:szCs w:val="17"/>
          <w:b w:val="1"/>
          <w:bCs w:val="1"/>
          <w:i w:val="1"/>
          <w:iCs w:val="1"/>
          <w:color w:val="auto"/>
        </w:rPr>
        <w:t>Release Deadline Date</w:t>
      </w:r>
      <w:r>
        <w:rPr>
          <w:rFonts w:ascii="Arial" w:cs="Arial" w:eastAsia="Arial" w:hAnsi="Arial"/>
          <w:sz w:val="17"/>
          <w:szCs w:val="17"/>
          <w:color w:val="auto"/>
        </w:rPr>
        <w:t>”).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72"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3.2 Salary and Pro-Rata Bonus Payment</w:t>
      </w:r>
      <w:r>
        <w:rPr>
          <w:rFonts w:ascii="Arial" w:cs="Arial" w:eastAsia="Arial" w:hAnsi="Arial"/>
          <w:sz w:val="18"/>
          <w:szCs w:val="18"/>
          <w:color w:val="auto"/>
        </w:rPr>
        <w:t>. In consideration of Executive’s execution and non-revocation of the Release by the Release Deadline</w:t>
      </w:r>
      <w:r>
        <w:rPr>
          <w:rFonts w:ascii="Arial" w:cs="Arial" w:eastAsia="Arial" w:hAnsi="Arial"/>
          <w:sz w:val="18"/>
          <w:szCs w:val="18"/>
          <w:b w:val="1"/>
          <w:bCs w:val="1"/>
          <w:color w:val="auto"/>
        </w:rPr>
        <w:t xml:space="preserve"> </w:t>
      </w:r>
      <w:r>
        <w:rPr>
          <w:rFonts w:ascii="Arial" w:cs="Arial" w:eastAsia="Arial" w:hAnsi="Arial"/>
          <w:sz w:val="18"/>
          <w:szCs w:val="18"/>
          <w:color w:val="auto"/>
        </w:rPr>
        <w:t>Date in a form provided by the Company and in accordance with Article 4, the Company shall pay Executive a severance payment equal to (a) the sum of Executive’s Monthly Base Salary and Pro-Rata Bonus multiplied by (b) the number of months in the Change in Control Severance Period, less applicable withholdings. The severance payment shall be payable (except as set forth in Article 5) in a lump sum on the first regularly-scheduled payroll date occurring on or after the Release Deadline Date.</w:t>
      </w:r>
    </w:p>
    <w:p>
      <w:pPr>
        <w:spacing w:after="0" w:line="29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Health Continuation Coverage.</w:t>
      </w:r>
    </w:p>
    <w:p>
      <w:pPr>
        <w:spacing w:after="0" w:line="121" w:lineRule="exact"/>
        <w:rPr>
          <w:sz w:val="20"/>
          <w:szCs w:val="20"/>
          <w:color w:val="auto"/>
        </w:rPr>
      </w:pPr>
    </w:p>
    <w:p>
      <w:pPr>
        <w:ind w:firstLine="464"/>
        <w:spacing w:after="0" w:line="269" w:lineRule="auto"/>
        <w:tabs>
          <w:tab w:leader="none" w:pos="7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Provided that Executive is eligible and has made the necessary elections for continuation coverage pursuant 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 the number of months equal to the Change in Control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5" w:name="page56"/>
    <w:bookmarkEnd w:id="55"/>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 COBRA period.</w:t>
      </w:r>
    </w:p>
    <w:p>
      <w:pPr>
        <w:spacing w:after="0" w:line="173" w:lineRule="exact"/>
        <w:rPr>
          <w:sz w:val="20"/>
          <w:szCs w:val="20"/>
          <w:color w:val="auto"/>
        </w:rPr>
      </w:pPr>
    </w:p>
    <w:p>
      <w:pPr>
        <w:ind w:right="340" w:firstLine="921"/>
        <w:spacing w:after="0" w:line="264" w:lineRule="auto"/>
        <w:tabs>
          <w:tab w:leader="none" w:pos="12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purposes of this Section 3.3,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7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3.4 Stock Awards</w:t>
      </w:r>
      <w:r>
        <w:rPr>
          <w:rFonts w:ascii="Arial" w:cs="Arial" w:eastAsia="Arial" w:hAnsi="Arial"/>
          <w:sz w:val="17"/>
          <w:szCs w:val="17"/>
          <w:color w:val="auto"/>
        </w:rPr>
        <w:t>. Upon a Change in Control Termination, (a) the vesting and exercisability of all outstanding options to purchase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(or stock appreciation rights or other rights with respect to the stock of the Company issued pursuant to any equity incentive plan of the Company) that are held by Executive on the Termination Date shall be accelerated in full, (b) any reacquisition or repurchase rights held by the Company with respect to common stock issued or issuable (or with respect to other rights with respect to the stock of the Company issued or issuable) pursuant to any other stock award granted to Executive pursuant to any equity incentive plan of the Company shall lapse and (c) the time period that Executive has to exercise any outstanding options to purchase the Company’s common stock that are held by Executive on the Termination Date shall be extended for a period equal to the shorter of (i) twelve (12) months or (ii) the remaining term of the outstanding option.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COVERED TERMINATION SEVERANCE BENEFITS</w:t>
      </w:r>
    </w:p>
    <w:p>
      <w:pPr>
        <w:spacing w:after="0" w:line="22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color w:val="auto"/>
        </w:rPr>
        <w:t>4.1 Severance Benefits</w:t>
      </w:r>
      <w:r>
        <w:rPr>
          <w:rFonts w:ascii="Arial" w:cs="Arial" w:eastAsia="Arial" w:hAnsi="Arial"/>
          <w:sz w:val="16"/>
          <w:szCs w:val="16"/>
          <w:color w:val="auto"/>
        </w:rPr>
        <w:t>. Upon a Covered Termination, and subject to the limitations and conditions set forth in this Agreement, Executive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to receive the benefits set forth in this Article 4. The receipt of any severance payments or benefits pursuant to this Agreement is subject to Executive signing and not revoking the appropriate Release, which Release must become effective and irrevocable no later than the Release Deadline Date.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5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4.2 Salary Payment</w:t>
      </w:r>
      <w:r>
        <w:rPr>
          <w:rFonts w:ascii="Arial" w:cs="Arial" w:eastAsia="Arial" w:hAnsi="Arial"/>
          <w:sz w:val="18"/>
          <w:szCs w:val="18"/>
          <w:color w:val="auto"/>
        </w:rPr>
        <w:t>. In consideration of Executive’s timely execution and non-revocation of the Release by the Release Deadline Date,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pay Executive a severance payment equal to Executive’s Monthly Base Salary multiplied by the number of months in the Covered Termination Severance Period, less applicable withholdings. The severance payment shall be payable (except as set forth in Article 5) in a lump sum on the first regularly-scheduled payroll date occurring on or after the Release Deadline Date.</w:t>
      </w:r>
    </w:p>
    <w:p>
      <w:pPr>
        <w:spacing w:after="0" w:line="28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Health Continuation Coverage</w:t>
      </w:r>
      <w:r>
        <w:rPr>
          <w:rFonts w:ascii="Arial" w:cs="Arial" w:eastAsia="Arial" w:hAnsi="Arial"/>
          <w:sz w:val="16"/>
          <w:szCs w:val="16"/>
          <w:color w:val="auto"/>
        </w:rPr>
        <w:t>.</w:t>
      </w:r>
    </w:p>
    <w:p>
      <w:pPr>
        <w:spacing w:after="0" w:line="121" w:lineRule="exact"/>
        <w:rPr>
          <w:sz w:val="20"/>
          <w:szCs w:val="20"/>
          <w:color w:val="auto"/>
        </w:rPr>
      </w:pPr>
    </w:p>
    <w:p>
      <w:pPr>
        <w:ind w:right="480" w:firstLine="921"/>
        <w:spacing w:after="0" w:line="342" w:lineRule="auto"/>
        <w:tabs>
          <w:tab w:leader="none" w:pos="1233"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Provided that Executive is eligible and has made the necessary elections for continuation coverage pursuant to COBRA under a health, dental or vision plan sponsored by the Company, the Company shall pay for the applicable premiums (inclusive of premiums for Executive’s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6" w:name="page57"/>
    <w:bookmarkEnd w:id="56"/>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Covered Termination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Covered Termination Benefits Period, Executive will be responsible for the entire payment of such premiums required under COBRA for the duration of the COBRA period.</w:t>
      </w:r>
    </w:p>
    <w:p>
      <w:pPr>
        <w:spacing w:after="0" w:line="185" w:lineRule="exact"/>
        <w:rPr>
          <w:sz w:val="20"/>
          <w:szCs w:val="20"/>
          <w:color w:val="auto"/>
        </w:rPr>
      </w:pPr>
    </w:p>
    <w:p>
      <w:pPr>
        <w:ind w:right="280" w:firstLine="921"/>
        <w:spacing w:after="0" w:line="264" w:lineRule="auto"/>
        <w:tabs>
          <w:tab w:leader="none" w:pos="12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purposes of this Section 4.3,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7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Stock Awards</w:t>
      </w:r>
      <w:r>
        <w:rPr>
          <w:rFonts w:ascii="Arial" w:cs="Arial" w:eastAsia="Arial" w:hAnsi="Arial"/>
          <w:sz w:val="16"/>
          <w:szCs w:val="16"/>
          <w:color w:val="auto"/>
        </w:rPr>
        <w:t>. Upon a Covered Termination:</w:t>
      </w:r>
    </w:p>
    <w:p>
      <w:pPr>
        <w:spacing w:after="0" w:line="229" w:lineRule="exact"/>
        <w:rPr>
          <w:sz w:val="20"/>
          <w:szCs w:val="20"/>
          <w:color w:val="auto"/>
        </w:rPr>
      </w:pPr>
    </w:p>
    <w:p>
      <w:pPr>
        <w:ind w:right="140" w:firstLine="921"/>
        <w:spacing w:after="0" w:line="273" w:lineRule="auto"/>
        <w:tabs>
          <w:tab w:leader="none" w:pos="123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vesting and exercisability of all outstanding options to purchase the Company’s common stock (or stock appreciation rights or other rights with respect to the stock of the Company issued pursuant to any equity incentive plan of the Company) that are held by Executive on the Termination Date shall be accelerated as to the number of shares of common stock issuable upon exercise of such option (“</w:t>
      </w:r>
      <w:r>
        <w:rPr>
          <w:rFonts w:ascii="Arial" w:cs="Arial" w:eastAsia="Arial" w:hAnsi="Arial"/>
          <w:sz w:val="17"/>
          <w:szCs w:val="17"/>
          <w:b w:val="1"/>
          <w:bCs w:val="1"/>
          <w:i w:val="1"/>
          <w:iCs w:val="1"/>
          <w:color w:val="auto"/>
        </w:rPr>
        <w:t>Option Shares</w:t>
      </w:r>
      <w:r>
        <w:rPr>
          <w:rFonts w:ascii="Arial" w:cs="Arial" w:eastAsia="Arial" w:hAnsi="Arial"/>
          <w:sz w:val="17"/>
          <w:szCs w:val="17"/>
          <w:color w:val="auto"/>
        </w:rPr>
        <w:t>”) as equals the number of Option Shares as would otherwise vest during the twelve (12) month period following the Termination Date in accordance with the applicable options’ vesting schedule were the Executive to remain an employee of the Company during such twelve (12) month period (disregarding any other basis for acceleration of vesting of Option Shares during such twelve (12) month period);</w:t>
      </w:r>
    </w:p>
    <w:p>
      <w:pPr>
        <w:spacing w:after="0" w:line="178" w:lineRule="exact"/>
        <w:rPr>
          <w:rFonts w:ascii="Arial" w:cs="Arial" w:eastAsia="Arial" w:hAnsi="Arial"/>
          <w:sz w:val="17"/>
          <w:szCs w:val="17"/>
          <w:color w:val="auto"/>
        </w:rPr>
      </w:pPr>
    </w:p>
    <w:p>
      <w:pPr>
        <w:ind w:firstLine="921"/>
        <w:spacing w:after="0" w:line="272" w:lineRule="auto"/>
        <w:tabs>
          <w:tab w:leader="none" w:pos="12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reacquisition or repurchase rights held by the Company with respect to common stock issued or issuable (or with respect to other rights with respect to the stock of the Company issued or issuable) pursuant to any option to purchase the Company’s common stock (or stock appreciation rights or other rights with respect to the stock of the Company) (“</w:t>
      </w:r>
      <w:r>
        <w:rPr>
          <w:rFonts w:ascii="Arial" w:cs="Arial" w:eastAsia="Arial" w:hAnsi="Arial"/>
          <w:sz w:val="17"/>
          <w:szCs w:val="17"/>
          <w:b w:val="1"/>
          <w:bCs w:val="1"/>
          <w:i w:val="1"/>
          <w:iCs w:val="1"/>
          <w:color w:val="auto"/>
        </w:rPr>
        <w:t>Restricted Shares</w:t>
      </w:r>
      <w:r>
        <w:rPr>
          <w:rFonts w:ascii="Arial" w:cs="Arial" w:eastAsia="Arial" w:hAnsi="Arial"/>
          <w:sz w:val="17"/>
          <w:szCs w:val="17"/>
          <w:color w:val="auto"/>
        </w:rPr>
        <w:t>”) held by the Executive as of the Termination Date shall lapse as to the number of Restricted Shares as equals the number of Restricted Shares as to which such reacquisition or repurchase rights would otherwise lapse during the twelve (12) month period following the Termination Date in accordance with the option’s vesting schedule were the Executive to remain an employee of the Company during such twelve (12) month period (disregarding any other basis for acceleration of the lapsing of such reacquisition or repurchase rights on Restricted Shares during such twelve (12) month period); and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57" w:name="page58"/>
    <w:bookmarkEnd w:id="57"/>
    <w:p>
      <w:pPr>
        <w:ind w:right="120" w:firstLine="921"/>
        <w:spacing w:after="0" w:line="342" w:lineRule="auto"/>
        <w:tabs>
          <w:tab w:leader="none" w:pos="1233"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time period that Executive has to exercise any outstanding options to purchase the Company’s common stock that are held by Executive on the Termination Date shall be extended for a period equal to the shorter of (i) twelve (12) months or (ii) the remaining term of the outstanding option.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AND CONDITIONS ON BENEFITS</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5.1 Rights Conditioned on Compliance</w:t>
      </w:r>
      <w:r>
        <w:rPr>
          <w:rFonts w:ascii="Arial" w:cs="Arial" w:eastAsia="Arial" w:hAnsi="Arial"/>
          <w:sz w:val="18"/>
          <w:szCs w:val="18"/>
          <w:color w:val="auto"/>
        </w:rPr>
        <w:t>. Executive’s rights to receive all severance benefits described in Article 3 and Article 4 shall be 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upon and subject to Executive’s compliance with the limitations and conditions on benefits as described in this Article 5.</w:t>
      </w:r>
    </w:p>
    <w:p>
      <w:pPr>
        <w:spacing w:after="0" w:line="162"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b w:val="1"/>
          <w:bCs w:val="1"/>
          <w:color w:val="auto"/>
        </w:rPr>
        <w:t>5.2 Continuation of Service Until Date of Termination</w:t>
      </w:r>
      <w:r>
        <w:rPr>
          <w:rFonts w:ascii="Arial" w:cs="Arial" w:eastAsia="Arial" w:hAnsi="Arial"/>
          <w:sz w:val="18"/>
          <w:szCs w:val="18"/>
          <w:color w:val="auto"/>
        </w:rPr>
        <w:t>. Executive shall continue to provide service to the Company in good faith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unless such performance is otherwise excused in writing by the Company.</w:t>
      </w:r>
    </w:p>
    <w:p>
      <w:pPr>
        <w:spacing w:after="0" w:line="1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5.3 Release Prior to Payment of Benefits</w:t>
      </w:r>
      <w:r>
        <w:rPr>
          <w:rFonts w:ascii="Arial" w:cs="Arial" w:eastAsia="Arial" w:hAnsi="Arial"/>
          <w:sz w:val="16"/>
          <w:szCs w:val="16"/>
          <w:color w:val="auto"/>
        </w:rPr>
        <w:t>. Upon the occurrence of a Change in Control Termination or a Covered Termination, as applicable,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Executive earning any entitlement to any severance or separation benefits under this Agreement on account of such Change in Control Termination or Covered Termination, as applicable, Executive must execute the appropriate Release, and such Release must become effective in accordance with its terms, but in no event later than the Release Deadline Date. No amount shall be paid prior to such date. Instead, on the first regularly-scheduled payroll date occurring on or after the Release Deadline Date, the Company will pay Executive the severance amount that Executive would otherwise have received on or prior to such date but for the delay in payment related to the effectiveness of the Release, with the balance of the severance amount being paid as originally scheduled. The Company may modify the Release in its discretion to comply with changes in applicable law at any time prior to Executive’s execution of such Release. Such Release shall specifically relate to all of Executive’s rights and claims in existence at the time of such execution and shall confirm Executive’s obligations under the Confidentiality Agreement and any similar obligations under applicable law. It is understood that, as specified in the applicable Release, Executive has a certain number of calendar days to consider whether to execute such Release. If Executive does not execute and deliver such Release within the applicable period, no benefits shall be provided or payable under this Agreement, and Executive shall have no further rights, title or interests in or to any severance benefits or payments pursuant to this Agreement. It is further understood that if Executive is age 40 or older at the time of a Change in Control Termination or a Covered Termination, as applicable, Executive may revoke the applicable Release within seven (7) calendar days after its execution by Executive. If Executive revokes such Release within such subsequent seven (7) day period, no benefits shall be provided or payable under this Agreement pursuant to such Change in Control Termination or Covered Termination, as applicable.</w:t>
      </w:r>
    </w:p>
    <w:p>
      <w:pPr>
        <w:spacing w:after="0" w:line="16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5.4 Return of Company Property</w:t>
      </w:r>
      <w:r>
        <w:rPr>
          <w:rFonts w:ascii="Arial" w:cs="Arial" w:eastAsia="Arial" w:hAnsi="Arial"/>
          <w:sz w:val="17"/>
          <w:szCs w:val="17"/>
          <w:color w:val="auto"/>
        </w:rPr>
        <w:t>. Not later than the Termination Date, Executive shall return to the Company all documents (and all copies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property belonging to the Company that Executive has in his or her possession or control. The documents and property to be returned include, but are not limited to, all files, correspondence, email, memoranda, notes, notebooks, records, plans, forecasts, reports, studies, analyses, compilations of data, proposals, agreements, financial information, research and development information, marketing information, operational and personnel information, databases, computer-recorded information, tangible property and equipment (including, but not limited to, computers, facsimile machines, mobile telephones and servers), credit cards, entry cards, identification badges and keys, and any materials of any kind which contain or embody any proprietary or confidential information of the Company (and all reproductions thereof in whole or in part). Executive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8" w:name="page59"/>
    <w:bookmarkEnd w:id="58"/>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computer-useable copy of all such information and then permanently delete and expunge such confidential or proprietary information from those systems. Executive agrees to provide the Company access to Executive’s system as requested to verify that the necessary copying and/or deletion is done.</w:t>
      </w:r>
    </w:p>
    <w:p>
      <w:pPr>
        <w:spacing w:after="0" w:line="277"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Cooperation and Continued Compliance with Restrictive Covenants</w:t>
      </w:r>
      <w:r>
        <w:rPr>
          <w:rFonts w:ascii="Arial" w:cs="Arial" w:eastAsia="Arial" w:hAnsi="Arial"/>
          <w:sz w:val="16"/>
          <w:szCs w:val="16"/>
          <w:color w:val="auto"/>
        </w:rPr>
        <w:t>.</w:t>
      </w:r>
    </w:p>
    <w:p>
      <w:pPr>
        <w:spacing w:after="0" w:line="121" w:lineRule="exact"/>
        <w:rPr>
          <w:sz w:val="20"/>
          <w:szCs w:val="20"/>
          <w:color w:val="auto"/>
        </w:rPr>
      </w:pPr>
    </w:p>
    <w:p>
      <w:pPr>
        <w:ind w:firstLine="921"/>
        <w:spacing w:after="0" w:line="269" w:lineRule="auto"/>
        <w:tabs>
          <w:tab w:leader="none" w:pos="1233" w:val="left"/>
        </w:tabs>
        <w:numPr>
          <w:ilvl w:val="0"/>
          <w:numId w:val="43"/>
        </w:numPr>
        <w:rPr>
          <w:rFonts w:ascii="Arial" w:cs="Arial" w:eastAsia="Arial" w:hAnsi="Arial"/>
          <w:sz w:val="17"/>
          <w:szCs w:val="17"/>
          <w:color w:val="auto"/>
        </w:rPr>
      </w:pPr>
      <w:r>
        <w:rPr>
          <w:rFonts w:ascii="Arial" w:cs="Arial" w:eastAsia="Arial" w:hAnsi="Arial"/>
          <w:sz w:val="17"/>
          <w:szCs w:val="17"/>
          <w:color w:val="auto"/>
        </w:rPr>
        <w:t>From and after the Termination Date, Executive shall cooperate fully with the Company in 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 in which Executive was employed by the Company (including any period of employment with an entity acquired by the Company). Such cooperation includes, without limitation, being available upon 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 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spacing w:after="0" w:line="182" w:lineRule="exact"/>
        <w:rPr>
          <w:rFonts w:ascii="Arial" w:cs="Arial" w:eastAsia="Arial" w:hAnsi="Arial"/>
          <w:sz w:val="17"/>
          <w:szCs w:val="17"/>
          <w:color w:val="auto"/>
        </w:rPr>
      </w:pPr>
    </w:p>
    <w:p>
      <w:pPr>
        <w:ind w:right="120" w:firstLine="921"/>
        <w:spacing w:after="0" w:line="277" w:lineRule="auto"/>
        <w:tabs>
          <w:tab w:leader="none" w:pos="12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From and after the Termination Date, Executive shall continue to abide by all of the terms and provisions of the Confidentiality Agreement (and any other comparable agreement signed by Executive), in accordance with its terms.</w:t>
      </w:r>
    </w:p>
    <w:p>
      <w:pPr>
        <w:spacing w:after="0" w:line="170" w:lineRule="exact"/>
        <w:rPr>
          <w:rFonts w:ascii="Arial" w:cs="Arial" w:eastAsia="Arial" w:hAnsi="Arial"/>
          <w:sz w:val="18"/>
          <w:szCs w:val="18"/>
          <w:color w:val="auto"/>
        </w:rPr>
      </w:pPr>
    </w:p>
    <w:p>
      <w:pPr>
        <w:ind w:right="20" w:firstLine="921"/>
        <w:spacing w:after="0" w:line="271" w:lineRule="auto"/>
        <w:tabs>
          <w:tab w:leader="none" w:pos="1233"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Executive acknowledges and agrees that Executive’s obligations under this Section 5.5 are an 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5.5 inevitably would involve use or disclosure of the Company’s proprietary and confidential information. Accordingly, Executive agrees that Executive will forfeit, effective as of the date of any breach, any right, entitlement, claim or interest in or to any unpaid portion of the severance payments or benefits provided in Article 3 or Article 4. If it is determined by a court of competent jurisdiction in any state that any restriction in this Section 5.5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28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Parachute Payments</w:t>
      </w:r>
      <w:r>
        <w:rPr>
          <w:rFonts w:ascii="Arial" w:cs="Arial" w:eastAsia="Arial" w:hAnsi="Arial"/>
          <w:sz w:val="16"/>
          <w:szCs w:val="16"/>
          <w:color w:val="auto"/>
        </w:rPr>
        <w:t>.</w:t>
      </w:r>
    </w:p>
    <w:p>
      <w:pPr>
        <w:spacing w:after="0" w:line="117" w:lineRule="exact"/>
        <w:rPr>
          <w:sz w:val="20"/>
          <w:szCs w:val="20"/>
          <w:color w:val="auto"/>
        </w:rPr>
      </w:pPr>
    </w:p>
    <w:p>
      <w:pPr>
        <w:jc w:val="both"/>
        <w:ind w:right="60" w:firstLine="921"/>
        <w:spacing w:after="0" w:line="303" w:lineRule="auto"/>
        <w:tabs>
          <w:tab w:leader="none" w:pos="1233"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Parachute Payment Limitation</w:t>
      </w:r>
      <w:r>
        <w:rPr>
          <w:rFonts w:ascii="Arial" w:cs="Arial" w:eastAsia="Arial" w:hAnsi="Arial"/>
          <w:sz w:val="16"/>
          <w:szCs w:val="16"/>
          <w:color w:val="auto"/>
        </w:rPr>
        <w:t>. If any payment or benefit (including payments and benefits pursuant to this Agreement) Executive would</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in connection with a Change in Control from the Company or otherwise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would (i) constitute a “parachute payment” within the meaning of Section 280G of the Code, and (ii) but for this paragraph,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the Company shall cause to be determined, before any amounts of the Payment are paid to Executive, which of the following two alternative forms of</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59" w:name="page60"/>
    <w:bookmarkEnd w:id="5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shall be paid to Executive: (A) payment in full of the entire amount of the Payment (a “</w:t>
      </w:r>
      <w:r>
        <w:rPr>
          <w:rFonts w:ascii="Arial" w:cs="Arial" w:eastAsia="Arial" w:hAnsi="Arial"/>
          <w:sz w:val="18"/>
          <w:szCs w:val="18"/>
          <w:b w:val="1"/>
          <w:bCs w:val="1"/>
          <w:i w:val="1"/>
          <w:iCs w:val="1"/>
          <w:color w:val="auto"/>
        </w:rPr>
        <w:t>Full Payment</w:t>
      </w:r>
      <w:r>
        <w:rPr>
          <w:rFonts w:ascii="Arial" w:cs="Arial" w:eastAsia="Arial" w:hAnsi="Arial"/>
          <w:sz w:val="18"/>
          <w:szCs w:val="18"/>
          <w:color w:val="auto"/>
        </w:rPr>
        <w:t>”), or (B) payment of only a part of the Payment so that Executive receives the largest payment possible without the imposition of the Excise Tax (a “</w:t>
      </w:r>
      <w:r>
        <w:rPr>
          <w:rFonts w:ascii="Arial" w:cs="Arial" w:eastAsia="Arial" w:hAnsi="Arial"/>
          <w:sz w:val="18"/>
          <w:szCs w:val="18"/>
          <w:b w:val="1"/>
          <w:bCs w:val="1"/>
          <w:i w:val="1"/>
          <w:iCs w:val="1"/>
          <w:color w:val="auto"/>
        </w:rPr>
        <w:t>Reduced Payment</w:t>
      </w:r>
      <w:r>
        <w:rPr>
          <w:rFonts w:ascii="Arial" w:cs="Arial" w:eastAsia="Arial" w:hAnsi="Arial"/>
          <w:sz w:val="18"/>
          <w:szCs w:val="18"/>
          <w:color w:val="auto"/>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 and Executive shall have no rights to any additional payments and/or benefits constituting the Payment, and (ii) reduction in payments and/or benefits shall occur in the following order: (A) reduction of cash payments; (B) cancellation of accelerated vesting of equity awards other than stock options; (C) cancellation of accelerated vesting of stock options; and (D) reduction of other benefits paid to Executive. In the event that acceleration of compensation from Executive’s equity awards is to be reduced, such acceleration of vesting shall be canceled in the reverse order of the date of grant.</w:t>
      </w:r>
    </w:p>
    <w:p>
      <w:pPr>
        <w:spacing w:after="0" w:line="197" w:lineRule="exact"/>
        <w:rPr>
          <w:sz w:val="20"/>
          <w:szCs w:val="20"/>
          <w:color w:val="auto"/>
        </w:rPr>
      </w:pPr>
    </w:p>
    <w:p>
      <w:pPr>
        <w:ind w:right="40" w:firstLine="921"/>
        <w:spacing w:after="0" w:line="297" w:lineRule="auto"/>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independent registered public accounting firm engaged by the Company for general audit purposes as of the day prior to the effective date of the Change in Control shall make all determinations required to be made under this Section 5.6.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58" w:lineRule="exact"/>
        <w:rPr>
          <w:rFonts w:ascii="Arial" w:cs="Arial" w:eastAsia="Arial" w:hAnsi="Arial"/>
          <w:sz w:val="16"/>
          <w:szCs w:val="16"/>
          <w:color w:val="auto"/>
        </w:rPr>
      </w:pPr>
    </w:p>
    <w:p>
      <w:pPr>
        <w:ind w:right="40" w:firstLine="921"/>
        <w:spacing w:after="0" w:line="255" w:lineRule="auto"/>
        <w:tabs>
          <w:tab w:leader="none" w:pos="12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independent registered public accounting firm engaged to make the determinations hereunder shall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185" w:lineRule="exact"/>
        <w:rPr>
          <w:sz w:val="20"/>
          <w:szCs w:val="20"/>
          <w:color w:val="auto"/>
        </w:rPr>
      </w:pPr>
    </w:p>
    <w:p>
      <w:pPr>
        <w:ind w:right="200" w:firstLine="456"/>
        <w:spacing w:after="0" w:line="274" w:lineRule="auto"/>
        <w:rPr>
          <w:sz w:val="20"/>
          <w:szCs w:val="20"/>
          <w:color w:val="auto"/>
        </w:rPr>
      </w:pPr>
      <w:r>
        <w:rPr>
          <w:rFonts w:ascii="Arial" w:cs="Arial" w:eastAsia="Arial" w:hAnsi="Arial"/>
          <w:sz w:val="17"/>
          <w:szCs w:val="17"/>
          <w:b w:val="1"/>
          <w:bCs w:val="1"/>
          <w:color w:val="auto"/>
        </w:rPr>
        <w:t>5.7 Certain Reductions and Offsets</w:t>
      </w:r>
      <w:r>
        <w:rPr>
          <w:rFonts w:ascii="Arial" w:cs="Arial" w:eastAsia="Arial" w:hAnsi="Arial"/>
          <w:sz w:val="17"/>
          <w:szCs w:val="17"/>
          <w:color w:val="auto"/>
        </w:rPr>
        <w:t>. To the extent that any federal, state or local laws, including, without limitation, the Worker Adjustment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Retraining Notification Act or any other so-called “plant closing” laws, require the Company to give advance notice or make a payment of any kind to Executive because of Executive’s involuntary termination due to a layoff, reduction in force, plant or facility closing, sale of business, change in control or any other similar event or reason, the benefits payable under this Agreement shall be correspondingly reduced. The benefits provided under this Agreement are intended to satisfy any and all statutory obligations that may arise out of Executive’s involuntary termination of employment for the foregoing reasons, and the parties shall construe and enforce the terms of this Agreement accordingly.</w:t>
      </w:r>
    </w:p>
    <w:p>
      <w:pPr>
        <w:spacing w:after="0" w:line="174" w:lineRule="exact"/>
        <w:rPr>
          <w:sz w:val="20"/>
          <w:szCs w:val="20"/>
          <w:color w:val="auto"/>
        </w:rPr>
      </w:pPr>
    </w:p>
    <w:p>
      <w:pPr>
        <w:ind w:right="100" w:firstLine="456"/>
        <w:spacing w:after="0" w:line="303" w:lineRule="auto"/>
        <w:rPr>
          <w:sz w:val="20"/>
          <w:szCs w:val="20"/>
          <w:color w:val="auto"/>
        </w:rPr>
      </w:pPr>
      <w:r>
        <w:rPr>
          <w:rFonts w:ascii="Arial" w:cs="Arial" w:eastAsia="Arial" w:hAnsi="Arial"/>
          <w:sz w:val="16"/>
          <w:szCs w:val="16"/>
          <w:b w:val="1"/>
          <w:bCs w:val="1"/>
          <w:color w:val="auto"/>
        </w:rPr>
        <w:t>5.8 Mitigation</w:t>
      </w:r>
      <w:r>
        <w:rPr>
          <w:rFonts w:ascii="Arial" w:cs="Arial" w:eastAsia="Arial" w:hAnsi="Arial"/>
          <w:sz w:val="16"/>
          <w:szCs w:val="16"/>
          <w:color w:val="auto"/>
        </w:rPr>
        <w:t>. Except as otherwise specifically provided herein, Executive shall not be required to mitigate damages or the amount of any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a Change in Control Termination or Covered Termination (except as expressly provided in Sections 3.3 and 4.3 above).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60" w:name="page61"/>
    <w:bookmarkEnd w:id="60"/>
    <w:p>
      <w:pPr>
        <w:jc w:val="both"/>
        <w:ind w:right="560" w:firstLine="456"/>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5.9 Indebtedness of Executive</w:t>
      </w:r>
      <w:r>
        <w:rPr>
          <w:rFonts w:ascii="Arial" w:cs="Arial" w:eastAsia="Arial" w:hAnsi="Arial"/>
          <w:sz w:val="16"/>
          <w:szCs w:val="16"/>
          <w:color w:val="auto"/>
        </w:rPr>
        <w:t>. If Executive is indebted to the Company on the effective date of a Change in Control Termination or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the Company reserves the right to offset any severance payments and benefits under this Agreement by the amount of such indebtedness.</w:t>
      </w:r>
    </w:p>
    <w:p>
      <w:pPr>
        <w:spacing w:after="0" w:line="224"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Application of Section 409A</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72" w:lineRule="auto"/>
        <w:tabs>
          <w:tab w:leader="none" w:pos="1233" w:val="left"/>
        </w:tabs>
        <w:numPr>
          <w:ilvl w:val="1"/>
          <w:numId w:val="46"/>
        </w:numPr>
        <w:rPr>
          <w:rFonts w:ascii="Arial" w:cs="Arial" w:eastAsia="Arial" w:hAnsi="Arial"/>
          <w:sz w:val="17"/>
          <w:szCs w:val="17"/>
          <w:color w:val="auto"/>
        </w:rPr>
      </w:pPr>
      <w:r>
        <w:rPr>
          <w:rFonts w:ascii="Arial" w:cs="Arial" w:eastAsia="Arial" w:hAnsi="Arial"/>
          <w:sz w:val="17"/>
          <w:szCs w:val="17"/>
          <w:b w:val="1"/>
          <w:bCs w:val="1"/>
          <w:color w:val="auto"/>
        </w:rPr>
        <w:t>Separation from Service</w:t>
      </w:r>
      <w:r>
        <w:rPr>
          <w:rFonts w:ascii="Arial" w:cs="Arial" w:eastAsia="Arial" w:hAnsi="Arial"/>
          <w:sz w:val="17"/>
          <w:szCs w:val="17"/>
          <w:color w:val="auto"/>
        </w:rPr>
        <w:t>. Notwithstanding any provision to the contrary in this Agreement, no amount deemed deferred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409A of the Code shall be payable pursuant to Article 3 or Article 4 unless Executive’s termination of employment constitutes a “separation from service” with the Company within the meaning of Section 409A of the Code and the Department of Treasury Regulations and other guidance promulgated thereunder and, except as provided under Section 5.10(b) hereof, any such amount shall not be paid, or in the case of installments, commence payment, until the first regularly-scheduled payroll date occurring on or after the sixtieth (60</w:t>
      </w:r>
      <w:r>
        <w:rPr>
          <w:rFonts w:ascii="Arial" w:cs="Arial" w:eastAsia="Arial" w:hAnsi="Arial"/>
          <w:sz w:val="14"/>
          <w:szCs w:val="14"/>
          <w:color w:val="auto"/>
        </w:rPr>
        <w:t>th</w:t>
      </w:r>
      <w:r>
        <w:rPr>
          <w:rFonts w:ascii="Arial" w:cs="Arial" w:eastAsia="Arial" w:hAnsi="Arial"/>
          <w:sz w:val="17"/>
          <w:szCs w:val="17"/>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first regularly-scheduled payroll date occurring on or after the sixtieth (60</w:t>
      </w:r>
      <w:r>
        <w:rPr>
          <w:rFonts w:ascii="Arial" w:cs="Arial" w:eastAsia="Arial" w:hAnsi="Arial"/>
          <w:sz w:val="14"/>
          <w:szCs w:val="14"/>
          <w:color w:val="auto"/>
        </w:rPr>
        <w:t>th</w:t>
      </w:r>
      <w:r>
        <w:rPr>
          <w:rFonts w:ascii="Arial" w:cs="Arial" w:eastAsia="Arial" w:hAnsi="Arial"/>
          <w:sz w:val="17"/>
          <w:szCs w:val="17"/>
          <w:color w:val="auto"/>
        </w:rPr>
        <w:t>) day after Executive’s separation from service and the remaining payments shall be made as provided in this Agreement.</w:t>
      </w:r>
    </w:p>
    <w:p>
      <w:pPr>
        <w:spacing w:after="0" w:line="172" w:lineRule="exact"/>
        <w:rPr>
          <w:rFonts w:ascii="Arial" w:cs="Arial" w:eastAsia="Arial" w:hAnsi="Arial"/>
          <w:sz w:val="17"/>
          <w:szCs w:val="17"/>
          <w:color w:val="auto"/>
        </w:rPr>
      </w:pPr>
    </w:p>
    <w:p>
      <w:pPr>
        <w:jc w:val="both"/>
        <w:ind w:right="40" w:firstLine="921"/>
        <w:spacing w:after="0" w:line="289" w:lineRule="auto"/>
        <w:tabs>
          <w:tab w:leader="none" w:pos="1243"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Specified Executive</w:t>
      </w:r>
      <w:r>
        <w:rPr>
          <w:rFonts w:ascii="Arial" w:cs="Arial" w:eastAsia="Arial" w:hAnsi="Arial"/>
          <w:sz w:val="16"/>
          <w:szCs w:val="16"/>
          <w:color w:val="auto"/>
        </w:rPr>
        <w:t>. Notwithstanding any provision to the contrary in this Agreement, if Executive is deemed at the time of his or her</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w:t>
      </w:r>
    </w:p>
    <w:p>
      <w:pPr>
        <w:spacing w:after="0" w:line="1" w:lineRule="exact"/>
        <w:rPr>
          <w:rFonts w:ascii="Arial" w:cs="Arial" w:eastAsia="Arial" w:hAnsi="Arial"/>
          <w:sz w:val="16"/>
          <w:szCs w:val="16"/>
          <w:color w:val="auto"/>
        </w:rPr>
      </w:pPr>
    </w:p>
    <w:p>
      <w:pPr>
        <w:ind w:right="140" w:firstLine="8"/>
        <w:spacing w:after="0" w:line="281" w:lineRule="auto"/>
        <w:tabs>
          <w:tab w:leader="none" w:pos="2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of the Code, such portion of Executive’s benefits shall not be provided to Executive prior to the earlier of (i) the expiration of the six (6)-month period measured from the date of Executive’s “separation from service” with the Company (as such term is defined in the Treasury Regulations issued under Section 409A of the Code) or (ii) the date of Executive’s death. Upon the first business day following the expiration of the applicable Code Section 409A(a)</w:t>
      </w:r>
    </w:p>
    <w:p>
      <w:pPr>
        <w:spacing w:after="0" w:line="2" w:lineRule="exact"/>
        <w:rPr>
          <w:rFonts w:ascii="Arial" w:cs="Arial" w:eastAsia="Arial" w:hAnsi="Arial"/>
          <w:sz w:val="16"/>
          <w:szCs w:val="16"/>
          <w:color w:val="auto"/>
        </w:rPr>
      </w:pPr>
    </w:p>
    <w:p>
      <w:pPr>
        <w:ind w:right="100"/>
        <w:spacing w:after="0" w:line="261" w:lineRule="auto"/>
        <w:rPr>
          <w:rFonts w:ascii="Arial" w:cs="Arial" w:eastAsia="Arial" w:hAnsi="Arial"/>
          <w:sz w:val="16"/>
          <w:szCs w:val="16"/>
          <w:color w:val="auto"/>
        </w:rPr>
      </w:pPr>
      <w:r>
        <w:rPr>
          <w:rFonts w:ascii="Arial" w:cs="Arial" w:eastAsia="Arial" w:hAnsi="Arial"/>
          <w:sz w:val="18"/>
          <w:szCs w:val="18"/>
          <w:color w:val="auto"/>
        </w:rPr>
        <w:t>(2)(B)(i) period, all payments deferred pursuant to this Section 5.10(b) shall be paid in a lump sum to Executive, and any remaining payments due under this Agreement shall be paid as otherwise provided herein.</w:t>
      </w:r>
    </w:p>
    <w:p>
      <w:pPr>
        <w:spacing w:after="0" w:line="179" w:lineRule="exact"/>
        <w:rPr>
          <w:rFonts w:ascii="Arial" w:cs="Arial" w:eastAsia="Arial" w:hAnsi="Arial"/>
          <w:sz w:val="16"/>
          <w:szCs w:val="16"/>
          <w:color w:val="auto"/>
        </w:rPr>
      </w:pPr>
    </w:p>
    <w:p>
      <w:pPr>
        <w:ind w:left="1240" w:hanging="319"/>
        <w:spacing w:after="0"/>
        <w:tabs>
          <w:tab w:leader="none" w:pos="1240" w:val="left"/>
        </w:tabs>
        <w:numPr>
          <w:ilvl w:val="1"/>
          <w:numId w:val="47"/>
        </w:numPr>
        <w:rPr>
          <w:rFonts w:ascii="Arial" w:cs="Arial" w:eastAsia="Arial" w:hAnsi="Arial"/>
          <w:sz w:val="17"/>
          <w:szCs w:val="17"/>
          <w:color w:val="auto"/>
        </w:rPr>
      </w:pPr>
      <w:r>
        <w:rPr>
          <w:rFonts w:ascii="Arial" w:cs="Arial" w:eastAsia="Arial" w:hAnsi="Arial"/>
          <w:sz w:val="17"/>
          <w:szCs w:val="17"/>
          <w:b w:val="1"/>
          <w:bCs w:val="1"/>
          <w:color w:val="auto"/>
        </w:rPr>
        <w:t>Expense Reimbursements</w:t>
      </w:r>
      <w:r>
        <w:rPr>
          <w:rFonts w:ascii="Arial" w:cs="Arial" w:eastAsia="Arial" w:hAnsi="Arial"/>
          <w:sz w:val="17"/>
          <w:szCs w:val="17"/>
          <w:color w:val="auto"/>
        </w:rPr>
        <w:t>. To the extent that any reimbursement payable pursuant to this Agreement is subject to the provisions of</w:t>
      </w:r>
    </w:p>
    <w:p>
      <w:pPr>
        <w:spacing w:after="0" w:line="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6" w:lineRule="exact"/>
        <w:rPr>
          <w:sz w:val="20"/>
          <w:szCs w:val="20"/>
          <w:color w:val="auto"/>
        </w:rPr>
      </w:pPr>
    </w:p>
    <w:p>
      <w:pPr>
        <w:ind w:left="920"/>
        <w:spacing w:after="0"/>
        <w:tabs>
          <w:tab w:leader="none" w:pos="12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b w:val="1"/>
          <w:bCs w:val="1"/>
          <w:color w:val="auto"/>
        </w:rPr>
        <w:t>Installments</w:t>
      </w:r>
      <w:r>
        <w:rPr>
          <w:rFonts w:ascii="Arial" w:cs="Arial" w:eastAsia="Arial" w:hAnsi="Arial"/>
          <w:sz w:val="16"/>
          <w:szCs w:val="16"/>
          <w:color w:val="auto"/>
        </w:rPr>
        <w:t>. For purposes of Section 409A of the Code (including, without limitation, for purposes of Treasury Regulation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Section 1.409A-2(b)(2)(iii)), Executive’s right to receive any installment payments under this Agreement shall be treated as a right to receive a series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separate payments and, accordingly, each such installment payment shall at all times be considered a separate and distinct payment.</w:t>
      </w:r>
    </w:p>
    <w:p>
      <w:pPr>
        <w:spacing w:after="0" w:line="207"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b w:val="1"/>
          <w:bCs w:val="1"/>
          <w:color w:val="auto"/>
        </w:rPr>
        <w:t>5.11 Tax Withholding</w:t>
      </w:r>
      <w:r>
        <w:rPr>
          <w:rFonts w:ascii="Arial" w:cs="Arial" w:eastAsia="Arial" w:hAnsi="Arial"/>
          <w:sz w:val="18"/>
          <w:szCs w:val="18"/>
          <w:color w:val="auto"/>
        </w:rPr>
        <w:t>. All payments under this Agreement shall be subject to applicable withholding for federal, state and local income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taxes.</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5.12 No Duplication of Severance Benefits. </w:t>
      </w:r>
      <w:r>
        <w:rPr>
          <w:rFonts w:ascii="Arial" w:cs="Arial" w:eastAsia="Arial" w:hAnsi="Arial"/>
          <w:sz w:val="18"/>
          <w:szCs w:val="18"/>
          <w:color w:val="auto"/>
        </w:rPr>
        <w:t>The severance and other benefits provided in Article 3 and Article 4 are mutually exclusive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and in no event shall Executive receive any severance or other benefits pursuant to both Article 3 and Article 4.</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WITH CAUSE OR BY VOLUNTARY RESIGNATION;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RIGHTS AND BENEFITS</w:t>
      </w:r>
    </w:p>
    <w:p>
      <w:pPr>
        <w:spacing w:after="0" w:line="2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6.1 Termination for Cause by the Company</w:t>
      </w:r>
      <w:r>
        <w:rPr>
          <w:rFonts w:ascii="Arial" w:cs="Arial" w:eastAsia="Arial" w:hAnsi="Arial"/>
          <w:sz w:val="18"/>
          <w:szCs w:val="18"/>
          <w:color w:val="auto"/>
        </w:rPr>
        <w:t>. If the Company shall terminate the Executive’s employment with the Company for Cause, then upon</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termination, the Company shall have no further obligation to Executive hereunder except for the payment or provision, as applicable, of (a) the portion of the Annual Base Salary for the period prior to the effective date of termination earned but unpaid (if any), (b) all unreimbursed expenses (if any), subject to Sections 2.4 and 5.10(c), and (c)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 beneficiary or otherwise on the date of termination (“</w:t>
      </w:r>
      <w:r>
        <w:rPr>
          <w:rFonts w:ascii="Arial" w:cs="Arial" w:eastAsia="Arial" w:hAnsi="Arial"/>
          <w:sz w:val="18"/>
          <w:szCs w:val="18"/>
          <w:b w:val="1"/>
          <w:bCs w:val="1"/>
          <w:i w:val="1"/>
          <w:iCs w:val="1"/>
          <w:color w:val="auto"/>
        </w:rPr>
        <w:t>Other Benefits</w:t>
      </w:r>
      <w:r>
        <w:rPr>
          <w:rFonts w:ascii="Arial" w:cs="Arial" w:eastAsia="Arial" w:hAnsi="Arial"/>
          <w:sz w:val="18"/>
          <w:szCs w:val="18"/>
          <w:color w:val="auto"/>
        </w:rPr>
        <w:t>”). For the avoidance of doubt, Executive shall have no right to receive (and Other Benefits shall not include) any amounts under any Company severance plan or policy or pursuant to Article 3 or Article 4 upon Executive’s termination for Cause.</w:t>
      </w:r>
    </w:p>
    <w:p>
      <w:pPr>
        <w:spacing w:after="0" w:line="185" w:lineRule="exact"/>
        <w:rPr>
          <w:sz w:val="20"/>
          <w:szCs w:val="20"/>
          <w:color w:val="auto"/>
        </w:rPr>
      </w:pPr>
    </w:p>
    <w:p>
      <w:pPr>
        <w:ind w:right="380" w:firstLine="456"/>
        <w:spacing w:after="0" w:line="293" w:lineRule="auto"/>
        <w:rPr>
          <w:sz w:val="20"/>
          <w:szCs w:val="20"/>
          <w:color w:val="auto"/>
        </w:rPr>
      </w:pPr>
      <w:r>
        <w:rPr>
          <w:rFonts w:ascii="Arial" w:cs="Arial" w:eastAsia="Arial" w:hAnsi="Arial"/>
          <w:sz w:val="16"/>
          <w:szCs w:val="16"/>
          <w:b w:val="1"/>
          <w:bCs w:val="1"/>
          <w:color w:val="auto"/>
        </w:rPr>
        <w:t>6.2 Termination by Voluntary Resignation by the Executive (other than Resignation for Good Reason)</w:t>
      </w:r>
      <w:r>
        <w:rPr>
          <w:rFonts w:ascii="Arial" w:cs="Arial" w:eastAsia="Arial" w:hAnsi="Arial"/>
          <w:sz w:val="16"/>
          <w:szCs w:val="16"/>
          <w:color w:val="auto"/>
        </w:rPr>
        <w:t>. Upon any voluntary resignation by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that is not a Resignation for Good Reason, the Company shall have no further obligation to the Executive hereunder except for the payment of</w:t>
      </w:r>
    </w:p>
    <w:p>
      <w:pPr>
        <w:spacing w:after="0" w:line="1" w:lineRule="exact"/>
        <w:rPr>
          <w:sz w:val="20"/>
          <w:szCs w:val="20"/>
          <w:color w:val="auto"/>
        </w:rPr>
      </w:pPr>
    </w:p>
    <w:p>
      <w:pPr>
        <w:jc w:val="both"/>
        <w:ind w:right="40" w:firstLine="8"/>
        <w:spacing w:after="0" w:line="254"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portion of the Annual Base Salary for the period prior to the effective date of termination earned but unpaid (if any), (b) all unreimbursed expenses (if any), subject to Sections 2.4 and 5.10(c), and (c) the payment or provision of any Other Benefits. For the avoidance of doubt, Executive shall have no right to receive (and Other Benefits shall not include) any amounts under any Company severance plan or policy or pursuant to Article 3 or Article 4 upon any voluntary resignation by Executive that is not a Resignation for Good Reason.</w:t>
      </w:r>
    </w:p>
    <w:p>
      <w:pPr>
        <w:spacing w:after="0" w:line="18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6.3 Other Rights and Benefits. </w:t>
      </w:r>
      <w:r>
        <w:rPr>
          <w:rFonts w:ascii="Arial" w:cs="Arial" w:eastAsia="Arial" w:hAnsi="Arial"/>
          <w:sz w:val="18"/>
          <w:szCs w:val="18"/>
          <w:color w:val="auto"/>
        </w:rPr>
        <w:t>Nothing in this Agreement shall prevent or limit Executive’s continuing or future participation in any benefit, bonus,</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or other plans, programs, policies or practices provided by the Company and for which Executive may otherwise qualify, nor shall anything herein limit or otherwise affect such rights as Executive may have under other agreements with the Company except as provided in Article 2, Article 5, Section 6.1 and Section 6.2 above. Except as otherwise expressly provided herein, amounts that are vested benefits or that Executive is otherwise entitled to receive under any plan, policy, practice or program of the Company at or subsequent to the date of a Change in Control shall be payable in accordance with such plan, policy, practice or program.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for purposes of this Agreement, the following definitions shall apply:</w:t>
      </w:r>
    </w:p>
    <w:p>
      <w:pPr>
        <w:spacing w:after="0" w:line="22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upon a reasonable determination by the Company, Executive’s: (a) dishonest statements or acts with respect to the Company,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or any affiliate of the Company or any subsidiary; (b) commission by or indictment for (i) a felony or (ii) any misdemeanor (excluding minor traffic violations) involving moral turpitude, deceit, dishonesty or fraud (“indictment,” for these purposes, meaning an indictment, probable cause hearing or any other procedure pursuant to which an initial determination of probable or reasonable cause with respect to such offense is made);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62" w:name="page63"/>
    <w:bookmarkEnd w:id="62"/>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negligence, willful misconduct or insubordination with respect to the Company, any subsidiary or any affiliate of the Company or any subsidiary;</w:t>
      </w:r>
    </w:p>
    <w:p>
      <w:pPr>
        <w:spacing w:after="0" w:line="46" w:lineRule="exact"/>
        <w:rPr>
          <w:rFonts w:ascii="Arial" w:cs="Arial" w:eastAsia="Arial" w:hAnsi="Arial"/>
          <w:sz w:val="16"/>
          <w:szCs w:val="16"/>
          <w:color w:val="auto"/>
        </w:rPr>
      </w:pPr>
    </w:p>
    <w:p>
      <w:pPr>
        <w:ind w:right="60" w:firstLine="8"/>
        <w:spacing w:after="0" w:line="254"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material breach of any of Executive’s obligations under any agreement to which Executive and the Company or any subsidiary are a party; or (e) death or disability. With respect to clause (d), Executive will be given notice and a 30-day period in which to cure such breach, only to the extent such breach can be reasonably expected to be able to be cured within such period. Executive agrees that the breach of any confidentiality obligation to the Company or any subsidiary shall not be curable to any extent.</w:t>
      </w:r>
    </w:p>
    <w:p>
      <w:pPr>
        <w:spacing w:after="0" w:line="186"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in a single transaction or in a series of related transactions, of any one or more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events:</w:t>
      </w:r>
    </w:p>
    <w:p>
      <w:pPr>
        <w:spacing w:after="0" w:line="166" w:lineRule="exact"/>
        <w:rPr>
          <w:sz w:val="20"/>
          <w:szCs w:val="20"/>
          <w:color w:val="auto"/>
        </w:rPr>
      </w:pPr>
    </w:p>
    <w:p>
      <w:pPr>
        <w:ind w:right="40" w:firstLine="921"/>
        <w:spacing w:after="0" w:line="287" w:lineRule="auto"/>
        <w:tabs>
          <w:tab w:leader="none" w:pos="1223"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natural person, entity or group within the meaning of Section 13(d) or 14(d) of the Securities Exchange Act of 1934, as amended (“</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(i) on account of the acquisition of securities of the Company by any institutional investor, any affiliate thereof or any other Exchange Act Person that acquires the Company’s securities in a transaction or series of related transactions that are primarily a private financing transaction for the Company or (ii) solely because the level of ownership held by any Exchange Act Person (the “</w:t>
      </w:r>
      <w:r>
        <w:rPr>
          <w:rFonts w:ascii="Arial" w:cs="Arial" w:eastAsia="Arial" w:hAnsi="Arial"/>
          <w:sz w:val="16"/>
          <w:szCs w:val="16"/>
          <w:b w:val="1"/>
          <w:bCs w:val="1"/>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exceeds the designated percentage threshold of the outstanding voting securities as a result of a repurchase or other acquisition of voting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72" w:lineRule="exact"/>
        <w:rPr>
          <w:rFonts w:ascii="Arial" w:cs="Arial" w:eastAsia="Arial" w:hAnsi="Arial"/>
          <w:sz w:val="16"/>
          <w:szCs w:val="16"/>
          <w:color w:val="auto"/>
        </w:rPr>
      </w:pPr>
    </w:p>
    <w:p>
      <w:pPr>
        <w:ind w:firstLine="921"/>
        <w:spacing w:after="0" w:line="257" w:lineRule="auto"/>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spacing w:after="0" w:line="188" w:lineRule="exact"/>
        <w:rPr>
          <w:rFonts w:ascii="Arial" w:cs="Arial" w:eastAsia="Arial" w:hAnsi="Arial"/>
          <w:sz w:val="18"/>
          <w:szCs w:val="18"/>
          <w:color w:val="auto"/>
        </w:rPr>
      </w:pPr>
    </w:p>
    <w:p>
      <w:pPr>
        <w:ind w:right="640" w:firstLine="921"/>
        <w:spacing w:after="0" w:line="277" w:lineRule="auto"/>
        <w:tabs>
          <w:tab w:leader="none" w:pos="122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stockholders of the Company approve or the Board approves a plan of complete dissolution or liquidation of the Company, or a complete dissolution or liquidation of the Company shall otherwise occur; or</w:t>
      </w:r>
    </w:p>
    <w:p>
      <w:pPr>
        <w:spacing w:after="0" w:line="170" w:lineRule="exact"/>
        <w:rPr>
          <w:rFonts w:ascii="Arial" w:cs="Arial" w:eastAsia="Arial" w:hAnsi="Arial"/>
          <w:sz w:val="18"/>
          <w:szCs w:val="18"/>
          <w:color w:val="auto"/>
        </w:rPr>
      </w:pPr>
    </w:p>
    <w:p>
      <w:pPr>
        <w:ind w:right="80" w:firstLine="921"/>
        <w:spacing w:after="0" w:line="279" w:lineRule="auto"/>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63" w:name="page64"/>
    <w:bookmarkEnd w:id="63"/>
    <w:p>
      <w:pPr>
        <w:ind w:right="2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spacing w:after="0" w:line="14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 Benefits Period</w:t>
      </w:r>
      <w:r>
        <w:rPr>
          <w:rFonts w:ascii="Arial" w:cs="Arial" w:eastAsia="Arial" w:hAnsi="Arial"/>
          <w:sz w:val="16"/>
          <w:szCs w:val="16"/>
          <w:color w:val="auto"/>
        </w:rPr>
        <w:t>” means the period of twelve (12) months commencing on the Termination Date.</w:t>
      </w:r>
    </w:p>
    <w:p>
      <w:pPr>
        <w:spacing w:after="0" w:line="22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 Severance Period</w:t>
      </w:r>
      <w:r>
        <w:rPr>
          <w:rFonts w:ascii="Arial" w:cs="Arial" w:eastAsia="Arial" w:hAnsi="Arial"/>
          <w:sz w:val="16"/>
          <w:szCs w:val="16"/>
          <w:color w:val="auto"/>
        </w:rPr>
        <w:t>” means the period of twelve (12) months commencing on the Termination Date.</w:t>
      </w:r>
    </w:p>
    <w:p>
      <w:pPr>
        <w:spacing w:after="0" w:line="225"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7.6 </w:t>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 Termination</w:t>
      </w:r>
      <w:r>
        <w:rPr>
          <w:rFonts w:ascii="Arial" w:cs="Arial" w:eastAsia="Arial" w:hAnsi="Arial"/>
          <w:sz w:val="18"/>
          <w:szCs w:val="18"/>
          <w:color w:val="auto"/>
        </w:rPr>
        <w:t>” means an “</w:t>
      </w:r>
      <w:r>
        <w:rPr>
          <w:rFonts w:ascii="Arial" w:cs="Arial" w:eastAsia="Arial" w:hAnsi="Arial"/>
          <w:sz w:val="18"/>
          <w:szCs w:val="18"/>
          <w:b w:val="1"/>
          <w:bCs w:val="1"/>
          <w:i w:val="1"/>
          <w:iCs w:val="1"/>
          <w:color w:val="auto"/>
        </w:rPr>
        <w:t>Involuntary Termination Without Cause</w:t>
      </w:r>
      <w:r>
        <w:rPr>
          <w:rFonts w:ascii="Arial" w:cs="Arial" w:eastAsia="Arial" w:hAnsi="Arial"/>
          <w:sz w:val="18"/>
          <w:szCs w:val="18"/>
          <w:color w:val="auto"/>
        </w:rPr>
        <w:t>” or “</w:t>
      </w:r>
      <w:r>
        <w:rPr>
          <w:rFonts w:ascii="Arial" w:cs="Arial" w:eastAsia="Arial" w:hAnsi="Arial"/>
          <w:sz w:val="18"/>
          <w:szCs w:val="18"/>
          <w:b w:val="1"/>
          <w:bCs w:val="1"/>
          <w:i w:val="1"/>
          <w:iCs w:val="1"/>
          <w:color w:val="auto"/>
        </w:rPr>
        <w:t>Resignation for Good Reason</w:t>
      </w:r>
      <w:r>
        <w:rPr>
          <w:rFonts w:ascii="Arial" w:cs="Arial" w:eastAsia="Arial" w:hAnsi="Arial"/>
          <w:sz w:val="18"/>
          <w:szCs w:val="18"/>
          <w:i w:val="1"/>
          <w:iCs w:val="1"/>
          <w:color w:val="auto"/>
        </w:rPr>
        <w:t>,</w:t>
      </w:r>
      <w:r>
        <w:rPr>
          <w:rFonts w:ascii="Arial" w:cs="Arial" w:eastAsia="Arial" w:hAnsi="Arial"/>
          <w:sz w:val="18"/>
          <w:szCs w:val="18"/>
          <w:color w:val="auto"/>
        </w:rPr>
        <w:t>” either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occurs on, or within three (3) months prior to, or within twelve (12) months following, the effective date of a Change in Control, provided that any such termination is a “separation from service” within the meaning of Treasury Regulation Section 1.409A-1(h). Death and disability shall not be deemed Change in Control Terminations.</w:t>
      </w:r>
    </w:p>
    <w:p>
      <w:pPr>
        <w:spacing w:after="0" w:line="18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means the Consolidated Omnibus Budget Reconciliation Act of 1985, as amended.</w:t>
      </w:r>
    </w:p>
    <w:p>
      <w:pPr>
        <w:spacing w:after="0" w:line="22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7.9 </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Syndax Pharmaceuticals, Inc. or, following a Change in Control, the surviving entity resulting from such transaction,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surviving entity resulting from any subsequent Change in Control.</w:t>
      </w:r>
    </w:p>
    <w:p>
      <w:pPr>
        <w:spacing w:after="0" w:line="162"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Executive’s Assignment of Developments, Non-Disclosure, and Non-Solicitation Agreement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successor agreement thereto).</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color w:val="auto"/>
        </w:rPr>
        <w:t>“</w:t>
      </w:r>
      <w:r>
        <w:rPr>
          <w:rFonts w:ascii="Arial" w:cs="Arial" w:eastAsia="Arial" w:hAnsi="Arial"/>
          <w:sz w:val="18"/>
          <w:szCs w:val="18"/>
          <w:b w:val="1"/>
          <w:bCs w:val="1"/>
          <w:i w:val="1"/>
          <w:iCs w:val="1"/>
          <w:color w:val="auto"/>
        </w:rPr>
        <w:t>Covered Termination</w:t>
      </w:r>
      <w:r>
        <w:rPr>
          <w:rFonts w:ascii="Arial" w:cs="Arial" w:eastAsia="Arial" w:hAnsi="Arial"/>
          <w:sz w:val="18"/>
          <w:szCs w:val="18"/>
          <w:color w:val="auto"/>
        </w:rPr>
        <w:t>” means an “</w:t>
      </w:r>
      <w:r>
        <w:rPr>
          <w:rFonts w:ascii="Arial" w:cs="Arial" w:eastAsia="Arial" w:hAnsi="Arial"/>
          <w:sz w:val="18"/>
          <w:szCs w:val="18"/>
          <w:b w:val="1"/>
          <w:bCs w:val="1"/>
          <w:i w:val="1"/>
          <w:iCs w:val="1"/>
          <w:color w:val="auto"/>
        </w:rPr>
        <w:t>Involuntary Termination Without Cause</w:t>
      </w:r>
      <w:r>
        <w:rPr>
          <w:rFonts w:ascii="Arial" w:cs="Arial" w:eastAsia="Arial" w:hAnsi="Arial"/>
          <w:sz w:val="18"/>
          <w:szCs w:val="18"/>
          <w:color w:val="auto"/>
        </w:rPr>
        <w:t>” or “</w:t>
      </w:r>
      <w:r>
        <w:rPr>
          <w:rFonts w:ascii="Arial" w:cs="Arial" w:eastAsia="Arial" w:hAnsi="Arial"/>
          <w:sz w:val="18"/>
          <w:szCs w:val="18"/>
          <w:b w:val="1"/>
          <w:bCs w:val="1"/>
          <w:i w:val="1"/>
          <w:iCs w:val="1"/>
          <w:color w:val="auto"/>
        </w:rPr>
        <w:t>Resignation for Good Reason</w:t>
      </w:r>
      <w:r>
        <w:rPr>
          <w:rFonts w:ascii="Arial" w:cs="Arial" w:eastAsia="Arial" w:hAnsi="Arial"/>
          <w:sz w:val="18"/>
          <w:szCs w:val="18"/>
          <w:i w:val="1"/>
          <w:iCs w:val="1"/>
          <w:color w:val="auto"/>
        </w:rPr>
        <w:t>,</w:t>
      </w:r>
      <w:r>
        <w:rPr>
          <w:rFonts w:ascii="Arial" w:cs="Arial" w:eastAsia="Arial" w:hAnsi="Arial"/>
          <w:sz w:val="18"/>
          <w:szCs w:val="18"/>
          <w:color w:val="auto"/>
        </w:rPr>
        <w:t>” provided that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is a “separation from service” within the meaning of Treasury Regulation Section 1.409A-1(h). Death and disability shall not be deemed Covered Terminations. If an Involuntary Termination Without Cause or Resignation for Good Reason qualifies as a Change in Control Termination, it shall not constitute a Covered Termination.</w:t>
      </w:r>
    </w:p>
    <w:p>
      <w:pPr>
        <w:spacing w:after="0" w:line="180"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Covered Termination Benefits Period</w:t>
      </w:r>
      <w:r>
        <w:rPr>
          <w:rFonts w:ascii="Arial" w:cs="Arial" w:eastAsia="Arial" w:hAnsi="Arial"/>
          <w:sz w:val="16"/>
          <w:szCs w:val="16"/>
          <w:color w:val="auto"/>
        </w:rPr>
        <w:t>” means the period of twelve (12) months commencing on the Termination Date.</w:t>
      </w:r>
    </w:p>
    <w:p>
      <w:pPr>
        <w:spacing w:after="0" w:line="22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Covered Termination Severance Period</w:t>
      </w:r>
      <w:r>
        <w:rPr>
          <w:rFonts w:ascii="Arial" w:cs="Arial" w:eastAsia="Arial" w:hAnsi="Arial"/>
          <w:sz w:val="16"/>
          <w:szCs w:val="16"/>
          <w:color w:val="auto"/>
        </w:rPr>
        <w:t>” means the period of six (6) months commencing on the Termination Date.</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7.14 </w:t>
      </w:r>
      <w:r>
        <w:rPr>
          <w:rFonts w:ascii="Arial" w:cs="Arial" w:eastAsia="Arial" w:hAnsi="Arial"/>
          <w:sz w:val="18"/>
          <w:szCs w:val="18"/>
          <w:color w:val="auto"/>
        </w:rPr>
        <w:t>“</w:t>
      </w:r>
      <w:r>
        <w:rPr>
          <w:rFonts w:ascii="Arial" w:cs="Arial" w:eastAsia="Arial" w:hAnsi="Arial"/>
          <w:sz w:val="18"/>
          <w:szCs w:val="18"/>
          <w:b w:val="1"/>
          <w:bCs w:val="1"/>
          <w:i w:val="1"/>
          <w:iCs w:val="1"/>
          <w:color w:val="auto"/>
        </w:rPr>
        <w:t>Involuntary Termination Without Cause</w:t>
      </w:r>
      <w:r>
        <w:rPr>
          <w:rFonts w:ascii="Arial" w:cs="Arial" w:eastAsia="Arial" w:hAnsi="Arial"/>
          <w:sz w:val="18"/>
          <w:szCs w:val="18"/>
          <w:color w:val="auto"/>
        </w:rPr>
        <w:t>” means Executive’s dismissal or discharge by the Company for reasons other than Cause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as a result of death or disability.</w:t>
      </w:r>
    </w:p>
    <w:p>
      <w:pPr>
        <w:spacing w:after="0" w:line="162"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 xml:space="preserve">7.15 </w:t>
      </w:r>
      <w:r>
        <w:rPr>
          <w:rFonts w:ascii="Arial" w:cs="Arial" w:eastAsia="Arial" w:hAnsi="Arial"/>
          <w:sz w:val="17"/>
          <w:szCs w:val="17"/>
          <w:color w:val="auto"/>
        </w:rPr>
        <w:t>“</w:t>
      </w:r>
      <w:r>
        <w:rPr>
          <w:rFonts w:ascii="Arial" w:cs="Arial" w:eastAsia="Arial" w:hAnsi="Arial"/>
          <w:sz w:val="17"/>
          <w:szCs w:val="17"/>
          <w:b w:val="1"/>
          <w:bCs w:val="1"/>
          <w:i w:val="1"/>
          <w:iCs w:val="1"/>
          <w:color w:val="auto"/>
        </w:rPr>
        <w:t>Monthly Base Salary</w:t>
      </w:r>
      <w:r>
        <w:rPr>
          <w:rFonts w:ascii="Arial" w:cs="Arial" w:eastAsia="Arial" w:hAnsi="Arial"/>
          <w:sz w:val="17"/>
          <w:szCs w:val="17"/>
          <w:color w:val="auto"/>
        </w:rPr>
        <w:t>” means 1/12</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of the greater of (i) Executive’s annual base salary (excluding incentive pay, premium pay, commissions,</w:t>
      </w:r>
      <w:r>
        <w:rPr>
          <w:rFonts w:ascii="Arial" w:cs="Arial" w:eastAsia="Arial" w:hAnsi="Arial"/>
          <w:sz w:val="17"/>
          <w:szCs w:val="17"/>
          <w:b w:val="1"/>
          <w:bCs w:val="1"/>
          <w:color w:val="auto"/>
        </w:rPr>
        <w:t xml:space="preserve"> </w:t>
      </w:r>
      <w:r>
        <w:rPr>
          <w:rFonts w:ascii="Arial" w:cs="Arial" w:eastAsia="Arial" w:hAnsi="Arial"/>
          <w:sz w:val="17"/>
          <w:szCs w:val="17"/>
          <w:color w:val="auto"/>
        </w:rPr>
        <w:t>overtime, bonuses and other forms of variable compensation) as in effect on the date of a Change in Control Termination or a Covered Termination, as applicable, or (ii) in the case of a Change in Control Termination, Executive’s annual base salary (excluding incentive pay, premium pay, commissions, overtime, bonuses and other forms of variable compensation) as in effect on the date of a Change in Control.</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64" w:name="page65"/>
    <w:bookmarkEnd w:id="64"/>
    <w:p>
      <w:pPr>
        <w:ind w:right="1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7.16 </w:t>
      </w:r>
      <w:r>
        <w:rPr>
          <w:rFonts w:ascii="Arial" w:cs="Arial" w:eastAsia="Arial" w:hAnsi="Arial"/>
          <w:sz w:val="18"/>
          <w:szCs w:val="18"/>
          <w:color w:val="auto"/>
        </w:rPr>
        <w:t>“</w:t>
      </w:r>
      <w:r>
        <w:rPr>
          <w:rFonts w:ascii="Arial" w:cs="Arial" w:eastAsia="Arial" w:hAnsi="Arial"/>
          <w:sz w:val="18"/>
          <w:szCs w:val="18"/>
          <w:b w:val="1"/>
          <w:bCs w:val="1"/>
          <w:i w:val="1"/>
          <w:iCs w:val="1"/>
          <w:color w:val="auto"/>
        </w:rPr>
        <w:t>Pro-Rata Bonus</w:t>
      </w:r>
      <w:r>
        <w:rPr>
          <w:rFonts w:ascii="Arial" w:cs="Arial" w:eastAsia="Arial" w:hAnsi="Arial"/>
          <w:sz w:val="18"/>
          <w:szCs w:val="18"/>
          <w:color w:val="auto"/>
        </w:rPr>
        <w:t>” means 1/12</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greater of (i) the average Target Performance Bonus paid to Executive for the three years preceding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a Change in Control Termination (or such lesser number of years during which Executive has been employed by the Company), or (ii) the Target Performance Bonus, as in effect on the date of a Change in Control Termination.</w:t>
      </w:r>
    </w:p>
    <w:p>
      <w:pPr>
        <w:spacing w:after="0" w:line="176"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b w:val="1"/>
          <w:bCs w:val="1"/>
          <w:color w:val="auto"/>
        </w:rPr>
        <w:t xml:space="preserve">7.17 </w:t>
      </w:r>
      <w:r>
        <w:rPr>
          <w:rFonts w:ascii="Arial" w:cs="Arial" w:eastAsia="Arial" w:hAnsi="Arial"/>
          <w:sz w:val="16"/>
          <w:szCs w:val="16"/>
          <w:color w:val="auto"/>
        </w:rPr>
        <w:t>“</w:t>
      </w:r>
      <w:r>
        <w:rPr>
          <w:rFonts w:ascii="Arial" w:cs="Arial" w:eastAsia="Arial" w:hAnsi="Arial"/>
          <w:sz w:val="16"/>
          <w:szCs w:val="16"/>
          <w:b w:val="1"/>
          <w:bCs w:val="1"/>
          <w:i w:val="1"/>
          <w:iCs w:val="1"/>
          <w:color w:val="auto"/>
        </w:rPr>
        <w:t>Resignation for Good Reason</w:t>
      </w:r>
      <w:r>
        <w:rPr>
          <w:rFonts w:ascii="Arial" w:cs="Arial" w:eastAsia="Arial" w:hAnsi="Arial"/>
          <w:sz w:val="16"/>
          <w:szCs w:val="16"/>
          <w:color w:val="auto"/>
        </w:rPr>
        <w:t>” means Executive’s resignation from all employee positions Executive then holds with the Company within</w:t>
      </w:r>
      <w:r>
        <w:rPr>
          <w:rFonts w:ascii="Arial" w:cs="Arial" w:eastAsia="Arial" w:hAnsi="Arial"/>
          <w:sz w:val="16"/>
          <w:szCs w:val="16"/>
          <w:b w:val="1"/>
          <w:bCs w:val="1"/>
          <w:color w:val="auto"/>
        </w:rPr>
        <w:t xml:space="preserve"> </w:t>
      </w:r>
      <w:r>
        <w:rPr>
          <w:rFonts w:ascii="Arial" w:cs="Arial" w:eastAsia="Arial" w:hAnsi="Arial"/>
          <w:sz w:val="16"/>
          <w:szCs w:val="16"/>
          <w:color w:val="auto"/>
        </w:rPr>
        <w:t>sixty (60) days following any of the following events taken without Executive’s consent, provided Executive has given the Company written notice of such event within thirty (30) days after the first occurrence of such event and the Company has not cured such event within thirty (30) days thereafter:</w:t>
      </w:r>
    </w:p>
    <w:p>
      <w:pPr>
        <w:spacing w:after="0" w:line="146" w:lineRule="exact"/>
        <w:rPr>
          <w:sz w:val="20"/>
          <w:szCs w:val="20"/>
          <w:color w:val="auto"/>
        </w:rPr>
      </w:pPr>
    </w:p>
    <w:p>
      <w:pPr>
        <w:ind w:right="160" w:firstLine="921"/>
        <w:spacing w:after="0" w:line="264" w:lineRule="auto"/>
        <w:tabs>
          <w:tab w:leader="none" w:pos="12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decrease in Executive’s total target cash compensation (base and bonus) of more than 10% (i.e., a material reduction in Executive’s base compensation and a material breach by the Company of Executive’s employment terms with the Company), other than in connection with a comparable decrease in compensation for all comparable executives of the Company;</w:t>
      </w:r>
    </w:p>
    <w:p>
      <w:pPr>
        <w:spacing w:after="0" w:line="181" w:lineRule="exact"/>
        <w:rPr>
          <w:rFonts w:ascii="Arial" w:cs="Arial" w:eastAsia="Arial" w:hAnsi="Arial"/>
          <w:sz w:val="18"/>
          <w:szCs w:val="18"/>
          <w:color w:val="auto"/>
        </w:rPr>
      </w:pPr>
    </w:p>
    <w:p>
      <w:pPr>
        <w:ind w:right="280" w:firstLine="921"/>
        <w:spacing w:after="0" w:line="312" w:lineRule="auto"/>
        <w:tabs>
          <w:tab w:leader="none" w:pos="1243"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Executive’s duties or responsibilities are materially diminished (not simply a change in title or reporting relationships); provided, that Executive shall not be deemed to have a “</w:t>
      </w:r>
      <w:r>
        <w:rPr>
          <w:rFonts w:ascii="Arial" w:cs="Arial" w:eastAsia="Arial" w:hAnsi="Arial"/>
          <w:sz w:val="16"/>
          <w:szCs w:val="16"/>
          <w:b w:val="1"/>
          <w:bCs w:val="1"/>
          <w:i w:val="1"/>
          <w:iCs w:val="1"/>
          <w:color w:val="auto"/>
        </w:rPr>
        <w:t>Resignation for Good Reason</w:t>
      </w:r>
      <w:r>
        <w:rPr>
          <w:rFonts w:ascii="Arial" w:cs="Arial" w:eastAsia="Arial" w:hAnsi="Arial"/>
          <w:sz w:val="16"/>
          <w:szCs w:val="16"/>
          <w:color w:val="auto"/>
        </w:rPr>
        <w:t>” if the Company survives as a separate legal entity or business unit following the Change in Control and Executive holds materially the same position in such legal entity or business unit as Executive held before the Change in Control;</w:t>
      </w:r>
    </w:p>
    <w:p>
      <w:pPr>
        <w:spacing w:after="0" w:line="146" w:lineRule="exact"/>
        <w:rPr>
          <w:rFonts w:ascii="Arial" w:cs="Arial" w:eastAsia="Arial" w:hAnsi="Arial"/>
          <w:sz w:val="16"/>
          <w:szCs w:val="16"/>
          <w:color w:val="auto"/>
        </w:rPr>
      </w:pPr>
    </w:p>
    <w:p>
      <w:pPr>
        <w:ind w:right="40" w:firstLine="921"/>
        <w:spacing w:after="0" w:line="257" w:lineRule="auto"/>
        <w:tabs>
          <w:tab w:leader="none" w:pos="12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Either (i) Executive is required to establish residence in a location more than fifty (50) miles from Executive’s current principal personal residence or (ii) there is an increase in Executive’s round-trip driving distance of more than fifty (50) miles from Executive’s current principal personal residence to the principal office or business location at which Executive is required to perform services (except for required business travel to the extent consistent with Executive’s prior business travel obligations) (“</w:t>
      </w:r>
      <w:r>
        <w:rPr>
          <w:rFonts w:ascii="Arial" w:cs="Arial" w:eastAsia="Arial" w:hAnsi="Arial"/>
          <w:sz w:val="18"/>
          <w:szCs w:val="18"/>
          <w:b w:val="1"/>
          <w:bCs w:val="1"/>
          <w:i w:val="1"/>
          <w:iCs w:val="1"/>
          <w:color w:val="auto"/>
        </w:rPr>
        <w:t>Executive’s Principal Place of Business</w:t>
      </w:r>
      <w:r>
        <w:rPr>
          <w:rFonts w:ascii="Arial" w:cs="Arial" w:eastAsia="Arial" w:hAnsi="Arial"/>
          <w:sz w:val="18"/>
          <w:szCs w:val="18"/>
          <w:color w:val="auto"/>
        </w:rPr>
        <w:t>”) as a result of a change in location by the Company of Executive’s Principal Place of Business; or</w:t>
      </w:r>
    </w:p>
    <w:p>
      <w:pPr>
        <w:spacing w:after="0" w:line="188" w:lineRule="exact"/>
        <w:rPr>
          <w:rFonts w:ascii="Arial" w:cs="Arial" w:eastAsia="Arial" w:hAnsi="Arial"/>
          <w:sz w:val="18"/>
          <w:szCs w:val="18"/>
          <w:color w:val="auto"/>
        </w:rPr>
      </w:pPr>
    </w:p>
    <w:p>
      <w:pPr>
        <w:ind w:right="360" w:firstLine="921"/>
        <w:spacing w:after="0" w:line="277"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materially assume and materially agree to perform under the terms of this Agreement.</w:t>
      </w:r>
    </w:p>
    <w:p>
      <w:pPr>
        <w:spacing w:after="0" w:line="166"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7.18 </w:t>
      </w: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effective date of the Change in Control Termination, the Covered Termination or a termination for Cause,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8.1 Employment Status</w:t>
      </w:r>
      <w:r>
        <w:rPr>
          <w:rFonts w:ascii="Arial" w:cs="Arial" w:eastAsia="Arial" w:hAnsi="Arial"/>
          <w:sz w:val="18"/>
          <w:szCs w:val="18"/>
          <w:color w:val="auto"/>
        </w:rPr>
        <w:t>. This Agreement does not constitute a contract of employment or impose upon Executive any obligation to remain as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impose on the Company any obligation (i) to retain Executive as an employee, (ii) to change the status of Executive as an at-will employee or (iii) to change the Company’s policies regarding termination of employment.</w:t>
      </w:r>
    </w:p>
    <w:p>
      <w:pPr>
        <w:spacing w:after="0" w:line="176"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8.2 Notices</w:t>
      </w:r>
      <w:r>
        <w:rPr>
          <w:rFonts w:ascii="Arial" w:cs="Arial" w:eastAsia="Arial" w:hAnsi="Arial"/>
          <w:sz w:val="16"/>
          <w:szCs w:val="16"/>
          <w:color w:val="auto"/>
        </w:rPr>
        <w:t>. Any notices provided hereunder must be in writing, and such notices or any other written communication shall be deemed effective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earlier of personal delivery (including personal delivery by facsimile) or the third day after mailing by first class mail, to the Company at its primary office location and to Executive at Executive’s address as listed in the Company’s payroll records. Any payments made by the Company to Executive under the terms of this Agreement shall be delivered to Executive either in person or at the address as listed in the Company’s payroll records.</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0" w:right="279" w:bottom="1440" w:gutter="0" w:footer="0" w:header="0"/>
        </w:sectPr>
      </w:pPr>
    </w:p>
    <w:bookmarkStart w:id="65" w:name="page66"/>
    <w:bookmarkEnd w:id="65"/>
    <w:p>
      <w:pPr>
        <w:ind w:right="260" w:firstLine="456"/>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8.3 Severability</w:t>
      </w:r>
      <w:r>
        <w:rPr>
          <w:rFonts w:ascii="Arial" w:cs="Arial" w:eastAsia="Arial" w:hAnsi="Arial"/>
          <w:sz w:val="17"/>
          <w:szCs w:val="17"/>
          <w:color w:val="auto"/>
        </w:rPr>
        <w:t>. Whenever possible, each provision of this Agreement will be interpreted in such manner as to be effective and valid under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6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8.4 Waiver</w:t>
      </w:r>
      <w:r>
        <w:rPr>
          <w:rFonts w:ascii="Arial" w:cs="Arial" w:eastAsia="Arial" w:hAnsi="Arial"/>
          <w:sz w:val="18"/>
          <w:szCs w:val="18"/>
          <w:color w:val="auto"/>
        </w:rPr>
        <w:t>. If either party should waive any breach of any provisions of this Agreement, he, she or it shall not thereby be deemed to have waived any</w:t>
      </w:r>
      <w:r>
        <w:rPr>
          <w:rFonts w:ascii="Arial" w:cs="Arial" w:eastAsia="Arial" w:hAnsi="Arial"/>
          <w:sz w:val="18"/>
          <w:szCs w:val="18"/>
          <w:b w:val="1"/>
          <w:bCs w:val="1"/>
          <w:color w:val="auto"/>
        </w:rPr>
        <w:t xml:space="preserve"> </w:t>
      </w:r>
      <w:r>
        <w:rPr>
          <w:rFonts w:ascii="Arial" w:cs="Arial" w:eastAsia="Arial" w:hAnsi="Arial"/>
          <w:sz w:val="18"/>
          <w:szCs w:val="18"/>
          <w:color w:val="auto"/>
        </w:rPr>
        <w:t>preceding or succeeding breach of the same or any other provision of this Agreement.</w:t>
      </w:r>
    </w:p>
    <w:p>
      <w:pPr>
        <w:spacing w:after="0" w:line="162"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8.5 Complete Agreement</w:t>
      </w:r>
      <w:r>
        <w:rPr>
          <w:rFonts w:ascii="Arial" w:cs="Arial" w:eastAsia="Arial" w:hAnsi="Arial"/>
          <w:sz w:val="17"/>
          <w:szCs w:val="17"/>
          <w:color w:val="auto"/>
        </w:rPr>
        <w:t>. This Agreement, including</w:t>
      </w:r>
      <w:r>
        <w:rPr>
          <w:rFonts w:ascii="Arial" w:cs="Arial" w:eastAsia="Arial" w:hAnsi="Arial"/>
          <w:sz w:val="17"/>
          <w:szCs w:val="17"/>
          <w:b w:val="1"/>
          <w:bCs w:val="1"/>
          <w:color w:val="auto"/>
        </w:rPr>
        <w:t xml:space="preserve"> Exhibit A</w:t>
      </w:r>
      <w:r>
        <w:rPr>
          <w:rFonts w:ascii="Arial" w:cs="Arial" w:eastAsia="Arial" w:hAnsi="Arial"/>
          <w:sz w:val="17"/>
          <w:szCs w:val="17"/>
          <w:color w:val="auto"/>
        </w:rPr>
        <w:t>,</w:t>
      </w:r>
      <w:r>
        <w:rPr>
          <w:rFonts w:ascii="Arial" w:cs="Arial" w:eastAsia="Arial" w:hAnsi="Arial"/>
          <w:sz w:val="17"/>
          <w:szCs w:val="17"/>
          <w:b w:val="1"/>
          <w:bCs w:val="1"/>
          <w:color w:val="auto"/>
        </w:rPr>
        <w:t xml:space="preserve"> Exhibit B </w:t>
      </w:r>
      <w:r>
        <w:rPr>
          <w:rFonts w:ascii="Arial" w:cs="Arial" w:eastAsia="Arial" w:hAnsi="Arial"/>
          <w:sz w:val="17"/>
          <w:szCs w:val="17"/>
          <w:color w:val="auto"/>
        </w:rPr>
        <w:t>and</w:t>
      </w:r>
      <w:r>
        <w:rPr>
          <w:rFonts w:ascii="Arial" w:cs="Arial" w:eastAsia="Arial" w:hAnsi="Arial"/>
          <w:sz w:val="17"/>
          <w:szCs w:val="17"/>
          <w:b w:val="1"/>
          <w:bCs w:val="1"/>
          <w:color w:val="auto"/>
        </w:rPr>
        <w:t xml:space="preserve"> Exhibit C</w:t>
      </w:r>
      <w:r>
        <w:rPr>
          <w:rFonts w:ascii="Arial" w:cs="Arial" w:eastAsia="Arial" w:hAnsi="Arial"/>
          <w:sz w:val="17"/>
          <w:szCs w:val="17"/>
          <w:color w:val="auto"/>
        </w:rPr>
        <w:t>, and the Confidentiality Agreement constitute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between Executive and the Company and is the complete, final and exclusive embodiment of their agreement with regard to this subject matter, wholly superseding all written and oral agreements with respect to payments and benefits to Executive in the event of employment termination. It is entered into without reliance on any promise or representation other than those expressly contained herein.</w:t>
      </w:r>
    </w:p>
    <w:p>
      <w:pPr>
        <w:spacing w:after="0" w:line="16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b w:val="1"/>
          <w:bCs w:val="1"/>
          <w:color w:val="auto"/>
        </w:rPr>
        <w:t>8.6 Amendment or Termination of Agreement; Continuation of Agreement</w:t>
      </w:r>
      <w:r>
        <w:rPr>
          <w:rFonts w:ascii="Arial" w:cs="Arial" w:eastAsia="Arial" w:hAnsi="Arial"/>
          <w:sz w:val="17"/>
          <w:szCs w:val="17"/>
          <w:color w:val="auto"/>
        </w:rPr>
        <w:t>. This Agreement may be changed or terminated only upon the mutual</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consent of the Company and Executive. The written consent of the Company to a change or termination of this Agreement must be signed by an executive officer of the Company (other than Executive) after such change or termination has been approved by the Board. Unless so terminated, this Agreement shall continue in effect for as long as Executive continues to be employed by the Company or by any surviving entity following any Change in Control. In other words, if, following a Change in Control, Executive continues to be employed by the surviving entity without a Change in Control Termination and the surviving entity then undergoes a Change in Control, following which Executive is terminated by the subsequent surviving entity in a Change in Control Termination, then Executive shall receive the benefits described in Article 3 hereof.</w:t>
      </w:r>
    </w:p>
    <w:p>
      <w:pPr>
        <w:spacing w:after="0" w:line="17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8.7 Counterparts</w:t>
      </w:r>
      <w:r>
        <w:rPr>
          <w:rFonts w:ascii="Arial" w:cs="Arial" w:eastAsia="Arial" w:hAnsi="Arial"/>
          <w:sz w:val="18"/>
          <w:szCs w:val="18"/>
          <w:color w:val="auto"/>
        </w:rPr>
        <w:t>. This Agreement may be executed in separate counterparts, any one of which need not contain signatures of more than one party,</w:t>
      </w:r>
      <w:r>
        <w:rPr>
          <w:rFonts w:ascii="Arial" w:cs="Arial" w:eastAsia="Arial" w:hAnsi="Arial"/>
          <w:sz w:val="18"/>
          <w:szCs w:val="18"/>
          <w:b w:val="1"/>
          <w:bCs w:val="1"/>
          <w:color w:val="auto"/>
        </w:rPr>
        <w:t xml:space="preserve"> </w:t>
      </w:r>
      <w:r>
        <w:rPr>
          <w:rFonts w:ascii="Arial" w:cs="Arial" w:eastAsia="Arial" w:hAnsi="Arial"/>
          <w:sz w:val="18"/>
          <w:szCs w:val="18"/>
          <w:color w:val="auto"/>
        </w:rPr>
        <w:t>but all of which taken together will constitute one and the same Agreement.</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8.8 Headings</w:t>
      </w:r>
      <w:r>
        <w:rPr>
          <w:rFonts w:ascii="Arial" w:cs="Arial" w:eastAsia="Arial" w:hAnsi="Arial"/>
          <w:sz w:val="18"/>
          <w:szCs w:val="18"/>
          <w:color w:val="auto"/>
        </w:rPr>
        <w:t>. The headings of the Articles and Sections hereof are inserted for convenience only and shall not be deemed to constitute a part hereof</w:t>
      </w:r>
      <w:r>
        <w:rPr>
          <w:rFonts w:ascii="Arial" w:cs="Arial" w:eastAsia="Arial" w:hAnsi="Arial"/>
          <w:sz w:val="18"/>
          <w:szCs w:val="18"/>
          <w:b w:val="1"/>
          <w:bCs w:val="1"/>
          <w:color w:val="auto"/>
        </w:rPr>
        <w:t xml:space="preserve"> </w:t>
      </w:r>
      <w:r>
        <w:rPr>
          <w:rFonts w:ascii="Arial" w:cs="Arial" w:eastAsia="Arial" w:hAnsi="Arial"/>
          <w:sz w:val="18"/>
          <w:szCs w:val="18"/>
          <w:color w:val="auto"/>
        </w:rPr>
        <w:t>nor to affect the meaning thereof.</w:t>
      </w:r>
    </w:p>
    <w:p>
      <w:pPr>
        <w:spacing w:after="0" w:line="16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b w:val="1"/>
          <w:bCs w:val="1"/>
          <w:color w:val="auto"/>
        </w:rPr>
        <w:t>8.9 Successors and Assigns</w:t>
      </w:r>
      <w:r>
        <w:rPr>
          <w:rFonts w:ascii="Arial" w:cs="Arial" w:eastAsia="Arial" w:hAnsi="Arial"/>
          <w:sz w:val="16"/>
          <w:szCs w:val="16"/>
          <w:color w:val="auto"/>
        </w:rPr>
        <w:t>. This Agreement is intended to bind and inure to the benefit of and be enforceable by Executive, and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surviving entity resulting from a Change in Control and upon any other person who is a successor by merger, acquisition, consolidation or otherwise to the business formerly carried on by the Company, and their respective successors, assigns, heirs, executors and administrators, without regard to whether or not such person actively assumes any rights or duties hereunder; provided, however, that Executive may not assign any duties hereunder and may not assign any rights hereunder without the written consent of the Company, which consent shall not be withheld unreasonably.</w:t>
      </w:r>
    </w:p>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8.10 Choice of Law</w:t>
      </w:r>
      <w:r>
        <w:rPr>
          <w:rFonts w:ascii="Arial" w:cs="Arial" w:eastAsia="Arial" w:hAnsi="Arial"/>
          <w:sz w:val="18"/>
          <w:szCs w:val="18"/>
          <w:color w:val="auto"/>
        </w:rPr>
        <w:t>. Because of the Company’s and Executive’s interests in ensuring that disputes regarding this Agreement are resolved on a</w:t>
      </w:r>
      <w:r>
        <w:rPr>
          <w:rFonts w:ascii="Arial" w:cs="Arial" w:eastAsia="Arial" w:hAnsi="Arial"/>
          <w:sz w:val="18"/>
          <w:szCs w:val="18"/>
          <w:b w:val="1"/>
          <w:bCs w:val="1"/>
          <w:color w:val="auto"/>
        </w:rPr>
        <w:t xml:space="preserve"> </w:t>
      </w:r>
      <w:r>
        <w:rPr>
          <w:rFonts w:ascii="Arial" w:cs="Arial" w:eastAsia="Arial" w:hAnsi="Arial"/>
          <w:sz w:val="18"/>
          <w:szCs w:val="18"/>
          <w:color w:val="auto"/>
        </w:rPr>
        <w:t>uniform basis, the parties agree that all questions concerning the construction, validity and interpretation of this Agreement will be governed by the law of the State of New York, without regard for any conflict of law principles. Further, the parties consent to the jurisdiction of the state and federal courts of the State of New York for all purposes in connection with this Agreement. The parties hereby irrevocably waive, to the fullest extent permitted by applicable law, any objection which Executive or the Company may now or hereafter have to the laying of venue of any such dispute brought in such court or any defense of inconvenient forum for the maintenance of such dispute.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66" w:name="page67"/>
    <w:bookmarkEnd w:id="66"/>
    <w:p>
      <w:pPr>
        <w:ind w:firstLine="456"/>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8.11 Arbitration. </w:t>
      </w:r>
      <w:r>
        <w:rPr>
          <w:rFonts w:ascii="Arial" w:cs="Arial" w:eastAsia="Arial" w:hAnsi="Arial"/>
          <w:sz w:val="16"/>
          <w:szCs w:val="16"/>
          <w:color w:val="auto"/>
        </w:rPr>
        <w:t>To ensure the rapid and economical resolution of any disputes that may arise under or relate to this Agreement or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relationship, Executive and the Company agree that any and all disputes, claims, or causes of action, in law or equity, arising from or relating to the performance, enforcement, execution, or interpretation of this Agreement, Executive’s employment with the Company, or the termination of Executive’s employment (collectively, “</w:t>
      </w:r>
      <w:r>
        <w:rPr>
          <w:rFonts w:ascii="Arial" w:cs="Arial" w:eastAsia="Arial" w:hAnsi="Arial"/>
          <w:sz w:val="16"/>
          <w:szCs w:val="16"/>
          <w:b w:val="1"/>
          <w:bCs w:val="1"/>
          <w:i w:val="1"/>
          <w:iCs w:val="1"/>
          <w:color w:val="auto"/>
        </w:rPr>
        <w:t>Claims</w:t>
      </w:r>
      <w:r>
        <w:rPr>
          <w:rFonts w:ascii="Arial" w:cs="Arial" w:eastAsia="Arial" w:hAnsi="Arial"/>
          <w:sz w:val="16"/>
          <w:szCs w:val="16"/>
          <w:color w:val="auto"/>
        </w:rPr>
        <w:t xml:space="preserve">”), shall be resolved to the fullest extent permitted by law, by final, binding, and (to the extent permitted by law) confidential arbitration before a single arbitrator in the state where Executive is employed. The arbitration shall be governed by the Federal Arbitration Act, 9 U.S.C. Section 1 </w:t>
      </w:r>
      <w:r>
        <w:rPr>
          <w:rFonts w:ascii="Arial" w:cs="Arial" w:eastAsia="Arial" w:hAnsi="Arial"/>
          <w:sz w:val="16"/>
          <w:szCs w:val="16"/>
          <w:i w:val="1"/>
          <w:iCs w:val="1"/>
          <w:color w:val="auto"/>
        </w:rPr>
        <w:t>et seq.</w:t>
      </w:r>
      <w:r>
        <w:rPr>
          <w:rFonts w:ascii="Arial" w:cs="Arial" w:eastAsia="Arial" w:hAnsi="Arial"/>
          <w:sz w:val="16"/>
          <w:szCs w:val="16"/>
          <w:color w:val="auto"/>
        </w:rPr>
        <w:t>, as amended, and shall be administered by the Judicial Arbitration &amp; Mediation Services, Inc.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in accordance with its then-current Employment Arbitration Rules &amp; Procedures (the “</w:t>
      </w:r>
      <w:r>
        <w:rPr>
          <w:rFonts w:ascii="Arial" w:cs="Arial" w:eastAsia="Arial" w:hAnsi="Arial"/>
          <w:sz w:val="16"/>
          <w:szCs w:val="16"/>
          <w:b w:val="1"/>
          <w:bCs w:val="1"/>
          <w:i w:val="1"/>
          <w:iCs w:val="1"/>
          <w:color w:val="auto"/>
        </w:rPr>
        <w:t>JAMS Rules</w:t>
      </w:r>
      <w:r>
        <w:rPr>
          <w:rFonts w:ascii="Arial" w:cs="Arial" w:eastAsia="Arial" w:hAnsi="Arial"/>
          <w:sz w:val="16"/>
          <w:szCs w:val="16"/>
          <w:color w:val="auto"/>
        </w:rPr>
        <w:t xml:space="preserve">”). The JAMS Rules are also available online at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The parties or their representatives may also call JAMS at 800.352.5267 if they have questions about the arbitration process. If the JAMS Rules 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 EXECUTIVE AND THE COMPANY UNDERSTAND AND FULLY AGREE THAT BY ENTERING INTO THIS AGREEMENT, BOTH EXECUTIVE AND THE COMPANY ARE GIVING UP THE CONSTITUTIONAL RIGHT TO HAVE A TRIAL BY JURY, AND ARE GIVING UP THE NORMAL 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 of any such arbitration. Any awards or final orders in such arbitrations may be entered and enforced as judgments or orders in the federal and state courts of any competent jurisdiction in compliance with Section 8.11 of this Agreement.</w:t>
      </w:r>
    </w:p>
    <w:p>
      <w:pPr>
        <w:spacing w:after="0" w:line="170"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8.12 Construction of Agreement</w:t>
      </w:r>
      <w:r>
        <w:rPr>
          <w:rFonts w:ascii="Arial" w:cs="Arial" w:eastAsia="Arial" w:hAnsi="Arial"/>
          <w:sz w:val="18"/>
          <w:szCs w:val="18"/>
          <w:color w:val="auto"/>
        </w:rPr>
        <w:t>. In the event of a conflict between the text of this Agreement and any summary, description or other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this Agreement, the text of this Agreement shall control.</w:t>
      </w:r>
    </w:p>
    <w:p>
      <w:pPr>
        <w:spacing w:after="0" w:line="1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8.13 Circular 230 Disclaimer. THE FOLLOWING DISCLAIMER IS PROVIDED IN ACCORDANCE WITH THE INTERNAL REVENUE SERVICE’S CIRCULAR 230 (21 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on the dates below.</w:t>
      </w:r>
    </w:p>
    <w:p>
      <w:pPr>
        <w:spacing w:after="0" w:line="252"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b w:val="1"/>
          <w:bCs w:val="1"/>
          <w:color w:val="auto"/>
        </w:rPr>
        <w:t>SYNDAX PHARMACEUTICALS, INC.</w:t>
      </w:r>
      <w:r>
        <w:rPr>
          <w:sz w:val="20"/>
          <w:szCs w:val="20"/>
          <w:color w:val="auto"/>
        </w:rPr>
        <w:tab/>
      </w:r>
      <w:r>
        <w:rPr>
          <w:rFonts w:ascii="Arial" w:cs="Arial" w:eastAsia="Arial" w:hAnsi="Arial"/>
          <w:sz w:val="18"/>
          <w:szCs w:val="18"/>
          <w:b w:val="1"/>
          <w:bCs w:val="1"/>
          <w:color w:val="auto"/>
        </w:rPr>
        <w:t>EXECUTIVE</w:t>
      </w:r>
    </w:p>
    <w:p>
      <w:pPr>
        <w:sectPr>
          <w:pgSz w:w="11900" w:h="16838" w:orient="portrait"/>
          <w:cols w:equalWidth="0" w:num="1">
            <w:col w:w="11420"/>
          </w:cols>
          <w:pgMar w:left="240" w:top="270" w:right="239" w:bottom="1440" w:gutter="0" w:footer="0" w:header="0"/>
        </w:sectPr>
      </w:pP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9673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Briggs W. Morrison, M.D.</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February 8, 2017</w:t>
      </w:r>
    </w:p>
    <w:p>
      <w:pPr>
        <w:spacing w:after="0" w:line="21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Release (Individual Termination – Age 40 or Older)</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Release (Individual and Group Termination – Under Age 40)</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Release (Group Termination – Age 40 or 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Richard P. Shea</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February 8,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5320" w:space="300"/>
            <w:col w:w="5800"/>
          </w:cols>
          <w:pgMar w:left="240" w:top="270" w:right="23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(INDIVIDUAL TERMINATION – AGE 40 OR OLDER)</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Certain capitalized terms used in this Release are defined in the Executive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I have executed and of which this Release is a part.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xml:space="preserve">”),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w:t>
      </w:r>
      <w:r>
        <w:rPr>
          <w:rFonts w:ascii="Arial" w:cs="Arial" w:eastAsia="Arial" w:hAnsi="Arial"/>
          <w:sz w:val="16"/>
          <w:szCs w:val="16"/>
          <w:b w:val="1"/>
          <w:bCs w:val="1"/>
          <w:color w:val="auto"/>
        </w:rPr>
        <w:t>States</w:t>
      </w:r>
      <w:r>
        <w:rPr>
          <w:rFonts w:ascii="Arial" w:cs="Arial" w:eastAsia="Arial" w:hAnsi="Arial"/>
          <w:sz w:val="16"/>
          <w:szCs w:val="16"/>
          <w:color w:val="auto"/>
        </w:rPr>
        <w:t xml:space="preserve"> Equal Employment Opportunity Commission (“</w:t>
      </w:r>
      <w:r>
        <w:rPr>
          <w:rFonts w:ascii="Arial" w:cs="Arial" w:eastAsia="Arial" w:hAnsi="Arial"/>
          <w:sz w:val="16"/>
          <w:szCs w:val="16"/>
          <w:b w:val="1"/>
          <w:bCs w:val="1"/>
          <w:i w:val="1"/>
          <w:iCs w:val="1"/>
          <w:color w:val="auto"/>
        </w:rPr>
        <w:t>EEOC</w:t>
      </w:r>
      <w:r>
        <w:rPr>
          <w:rFonts w:ascii="Arial" w:cs="Arial" w:eastAsia="Arial" w:hAnsi="Arial"/>
          <w:sz w:val="16"/>
          <w:szCs w:val="16"/>
          <w:color w:val="auto"/>
        </w:rPr>
        <w:t>”), the National Labor Relations Board (“</w:t>
      </w:r>
      <w:r>
        <w:rPr>
          <w:rFonts w:ascii="Arial" w:cs="Arial" w:eastAsia="Arial" w:hAnsi="Arial"/>
          <w:sz w:val="16"/>
          <w:szCs w:val="16"/>
          <w:b w:val="1"/>
          <w:bCs w:val="1"/>
          <w:i w:val="1"/>
          <w:iCs w:val="1"/>
          <w:color w:val="auto"/>
        </w:rPr>
        <w:t>NLRB</w:t>
      </w:r>
      <w:r>
        <w:rPr>
          <w:rFonts w:ascii="Arial" w:cs="Arial" w:eastAsia="Arial" w:hAnsi="Arial"/>
          <w:sz w:val="16"/>
          <w:szCs w:val="16"/>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 Release earlier); (D) I have seven (7) days following my execution of this Release to revoke the Release by providing a written notice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69" w:name="page70"/>
    <w:bookmarkEnd w:id="69"/>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revocation to the Company’s Chief Executive Officer; and (E) this Release shall not be effective until the date upon which the revocation period has expired, which shall be the eighth (8th) day after I execute this Release (provided that I do not revoke it).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81"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-10160</wp:posOffset>
            </wp:positionV>
            <wp:extent cx="22860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8600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126365</wp:posOffset>
            </wp:positionV>
            <wp:extent cx="4000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(INDIVIDUAL AND GROUP TERMINATION – UNDER AGE 40)</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Certain capitalized terms used in this Release are defined in the Executive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I have executed and of which this Release is a part.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22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6"/>
          <w:szCs w:val="16"/>
          <w:b w:val="1"/>
          <w:bCs w:val="1"/>
          <w:i w:val="1"/>
          <w:iCs w:val="1"/>
          <w:color w:val="auto"/>
        </w:rPr>
        <w:t>EEOC</w:t>
      </w:r>
      <w:r>
        <w:rPr>
          <w:rFonts w:ascii="Arial" w:cs="Arial" w:eastAsia="Arial" w:hAnsi="Arial"/>
          <w:sz w:val="16"/>
          <w:szCs w:val="16"/>
          <w:color w:val="auto"/>
        </w:rPr>
        <w:t>”), the National Labor Relations Board (“</w:t>
      </w:r>
      <w:r>
        <w:rPr>
          <w:rFonts w:ascii="Arial" w:cs="Arial" w:eastAsia="Arial" w:hAnsi="Arial"/>
          <w:sz w:val="16"/>
          <w:szCs w:val="16"/>
          <w:b w:val="1"/>
          <w:bCs w:val="1"/>
          <w:i w:val="1"/>
          <w:iCs w:val="1"/>
          <w:color w:val="auto"/>
        </w:rPr>
        <w:t>NLRB</w:t>
      </w:r>
      <w:r>
        <w:rPr>
          <w:rFonts w:ascii="Arial" w:cs="Arial" w:eastAsia="Arial" w:hAnsi="Arial"/>
          <w:sz w:val="16"/>
          <w:szCs w:val="16"/>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w:t>
      </w:r>
    </w:p>
    <w:p>
      <w:pPr>
        <w:spacing w:after="0"/>
        <w:rPr>
          <w:sz w:val="20"/>
          <w:szCs w:val="20"/>
          <w:color w:val="auto"/>
        </w:rPr>
      </w:pPr>
      <w:r>
        <w:rPr>
          <w:rFonts w:ascii="Arial" w:cs="Arial" w:eastAsia="Arial" w:hAnsi="Arial"/>
          <w:sz w:val="18"/>
          <w:szCs w:val="18"/>
          <w:color w:val="auto"/>
        </w:rPr>
        <w:t>(C) I have twenty-one (21) days to consider this Release (although I may choose to voluntarily execute this Release earlier).</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70" w:right="259" w:bottom="1440" w:gutter="0" w:footer="0" w:header="0"/>
        </w:sectPr>
      </w:pPr>
    </w:p>
    <w:bookmarkStart w:id="71" w:name="page72"/>
    <w:bookmarkEnd w:id="71"/>
    <w:p>
      <w:pPr>
        <w:jc w:val="both"/>
        <w:ind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-10160</wp:posOffset>
            </wp:positionV>
            <wp:extent cx="22860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86000" cy="8890"/>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126365</wp:posOffset>
            </wp:positionV>
            <wp:extent cx="4000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3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40"/>
          </w:cols>
          <w:pgMar w:left="240" w:top="274" w:right="61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(GROUP TERMINATION – AGE 40 OR OLDER)</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Certain capitalized terms used in this Release are defined in the Executive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which I have executed and of which this Release is a part.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6"/>
          <w:szCs w:val="16"/>
          <w:b w:val="1"/>
          <w:bCs w:val="1"/>
          <w:i w:val="1"/>
          <w:iCs w:val="1"/>
          <w:color w:val="auto"/>
        </w:rPr>
        <w:t>EEOC</w:t>
      </w:r>
      <w:r>
        <w:rPr>
          <w:rFonts w:ascii="Arial" w:cs="Arial" w:eastAsia="Arial" w:hAnsi="Arial"/>
          <w:sz w:val="16"/>
          <w:szCs w:val="16"/>
          <w:color w:val="auto"/>
        </w:rPr>
        <w:t>”), the National Labor Relations Board (“</w:t>
      </w:r>
      <w:r>
        <w:rPr>
          <w:rFonts w:ascii="Arial" w:cs="Arial" w:eastAsia="Arial" w:hAnsi="Arial"/>
          <w:sz w:val="16"/>
          <w:szCs w:val="16"/>
          <w:b w:val="1"/>
          <w:bCs w:val="1"/>
          <w:i w:val="1"/>
          <w:iCs w:val="1"/>
          <w:color w:val="auto"/>
        </w:rPr>
        <w:t>NLRB</w:t>
      </w:r>
      <w:r>
        <w:rPr>
          <w:rFonts w:ascii="Arial" w:cs="Arial" w:eastAsia="Arial" w:hAnsi="Arial"/>
          <w:sz w:val="16"/>
          <w:szCs w:val="16"/>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 earlier); (D) I have seven (7) days following my execution of this Release to revoke the Release by providing a written notice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73" w:name="page74"/>
    <w:bookmarkEnd w:id="73"/>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revocation to the Company’s Chief 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292100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263525</wp:posOffset>
            </wp:positionV>
            <wp:extent cx="22574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574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-10160</wp:posOffset>
            </wp:positionV>
            <wp:extent cx="4286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274" w:right="2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firstLine="8"/>
        <w:spacing w:after="0" w:line="266" w:lineRule="auto"/>
        <w:tabs>
          <w:tab w:leader="none" w:pos="31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CLINICAL TRIAL COLLABORATION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SUPPLY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NON-SMALL CELL LUNG CANCER STUDY WITH EXPANSION COHORTS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NON-SMALL CELL LUNG CANCER, MELANOMA, AND COLORECTAL CANCER)</w:t>
      </w:r>
    </w:p>
    <w:p>
      <w:pPr>
        <w:spacing w:after="0" w:line="20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This Amendment No. 1 to the CLINICAL TRIAL COLLABORATION AND SUPPLY AGREEMENT (this “</w:t>
      </w:r>
      <w:r>
        <w:rPr>
          <w:rFonts w:ascii="Arial" w:cs="Arial" w:eastAsia="Arial" w:hAnsi="Arial"/>
          <w:sz w:val="18"/>
          <w:szCs w:val="18"/>
          <w:b w:val="1"/>
          <w:bCs w:val="1"/>
          <w:color w:val="auto"/>
        </w:rPr>
        <w:t>Amendment No. 1</w:t>
      </w:r>
      <w:r>
        <w:rPr>
          <w:rFonts w:ascii="Arial" w:cs="Arial" w:eastAsia="Arial" w:hAnsi="Arial"/>
          <w:sz w:val="18"/>
          <w:szCs w:val="18"/>
          <w:color w:val="auto"/>
        </w:rPr>
        <w:t>”), made as of April 26, 2017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is entered into by and between Merck Sharp &amp; Dohme B.V., having a place of business at Waarderweg 39, 2031 BN Haarlem, Netherlands, and MSD International GmbH, having a place of business at Weystrasse 20, 6000 Luzern 6, Switzerland (together, “</w:t>
      </w:r>
      <w:r>
        <w:rPr>
          <w:rFonts w:ascii="Arial" w:cs="Arial" w:eastAsia="Arial" w:hAnsi="Arial"/>
          <w:sz w:val="18"/>
          <w:szCs w:val="18"/>
          <w:b w:val="1"/>
          <w:bCs w:val="1"/>
          <w:color w:val="auto"/>
        </w:rPr>
        <w:t>Merck</w:t>
      </w:r>
      <w:r>
        <w:rPr>
          <w:rFonts w:ascii="Arial" w:cs="Arial" w:eastAsia="Arial" w:hAnsi="Arial"/>
          <w:sz w:val="18"/>
          <w:szCs w:val="18"/>
          <w:color w:val="auto"/>
        </w:rPr>
        <w:t>”), and Syndax Pharmaceuticals, Inc., having a place of business at 35 Gatehouse Drive, Building D, Floor 3, Waltham, MA 02451 (“</w:t>
      </w:r>
      <w:r>
        <w:rPr>
          <w:rFonts w:ascii="Arial" w:cs="Arial" w:eastAsia="Arial" w:hAnsi="Arial"/>
          <w:sz w:val="18"/>
          <w:szCs w:val="18"/>
          <w:b w:val="1"/>
          <w:bCs w:val="1"/>
          <w:color w:val="auto"/>
        </w:rPr>
        <w:t>Syndax</w:t>
      </w:r>
      <w:r>
        <w:rPr>
          <w:rFonts w:ascii="Arial" w:cs="Arial" w:eastAsia="Arial" w:hAnsi="Arial"/>
          <w:sz w:val="18"/>
          <w:szCs w:val="18"/>
          <w:color w:val="auto"/>
        </w:rPr>
        <w:t>”). Merck and Syndax are each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WHEREAS, the Parties entered into a Clinical Trial Collaboration and Supply Agreement dated as of March 27, 2015, covering a Phase 1b/2, open-label, dose escalation study of the Syndax Compound in combination with the Merck Compound in patients with non-small cell lung cancer, with expansion cohorts in patients with non-small cell lung cancer and melanoma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WHEREAS, the Parties desire to add an additional expansion cohort to the study contemplated by the Agreement and to make certain amendments to the Agreement in connection therewith, all on the terms and conditions set forth in this Amendment No. 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hereby agree as follows:</w:t>
      </w:r>
    </w:p>
    <w:p>
      <w:pPr>
        <w:spacing w:after="0" w:line="13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Capitalized terms used in this Amendment No. 1 and not defined herein shall have the meanings given to them in the Agreement.</w:t>
      </w:r>
    </w:p>
    <w:p>
      <w:pPr>
        <w:spacing w:after="0" w:line="397"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Section 1.50 of the Agreement is hereby deleted in its entirety and replaced with the following:</w:t>
      </w:r>
    </w:p>
    <w:p>
      <w:pPr>
        <w:spacing w:after="0" w:line="127" w:lineRule="exact"/>
        <w:rPr>
          <w:sz w:val="20"/>
          <w:szCs w:val="20"/>
          <w:color w:val="auto"/>
        </w:rPr>
      </w:pPr>
    </w:p>
    <w:p>
      <w:pPr>
        <w:ind w:left="2160" w:right="460" w:hanging="679"/>
        <w:spacing w:after="0" w:line="266" w:lineRule="auto"/>
        <w:tabs>
          <w:tab w:leader="none" w:pos="214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Study</w:t>
      </w:r>
      <w:r>
        <w:rPr>
          <w:rFonts w:ascii="Arial" w:cs="Arial" w:eastAsia="Arial" w:hAnsi="Arial"/>
          <w:sz w:val="18"/>
          <w:szCs w:val="18"/>
          <w:color w:val="auto"/>
        </w:rPr>
        <w:t>’ means a Phase 1b/2, open-label, dose escalation study of the Syndax Compound in combination with the Merck Compound in patients with non-small cell lung cancer, with expansion cohorts in patients with non-small cell lung cancer, melanoma, and mismatch repair-proficient colorectal cancer.”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75" w:name="page76"/>
    <w:bookmarkEnd w:id="75"/>
    <w:p>
      <w:pPr>
        <w:ind w:left="452"/>
        <w:spacing w:after="0"/>
        <w:tabs>
          <w:tab w:leader="none" w:pos="99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Section 4.1 of the Agreement is hereby amended by deleting the first sentence thereof and replacing it with the following:</w:t>
      </w:r>
    </w:p>
    <w:p>
      <w:pPr>
        <w:spacing w:after="0" w:line="117" w:lineRule="exact"/>
        <w:rPr>
          <w:sz w:val="20"/>
          <w:szCs w:val="20"/>
          <w:color w:val="auto"/>
        </w:rPr>
      </w:pPr>
    </w:p>
    <w:p>
      <w:pPr>
        <w:ind w:left="1492" w:right="240"/>
        <w:spacing w:after="0" w:line="259" w:lineRule="auto"/>
        <w:rPr>
          <w:sz w:val="20"/>
          <w:szCs w:val="20"/>
          <w:color w:val="auto"/>
        </w:rPr>
      </w:pPr>
      <w:r>
        <w:rPr>
          <w:rFonts w:ascii="Arial" w:cs="Arial" w:eastAsia="Arial" w:hAnsi="Arial"/>
          <w:sz w:val="18"/>
          <w:szCs w:val="18"/>
          <w:color w:val="auto"/>
        </w:rPr>
        <w:t>“A Protocol, entitled ‘A Phase 1b/2, Open-Label, Dose Escalation Study of Eninostat in Combination with Pembrolizumab in Patients with Non-Small Cell Lung Cancer, with Expansion Cohorts in Patients with Non-Small Cell Lung Cancer, Melanoma, and Mismatch Repair-Proficient Colorectal Cancer’ has been agreed to by the Parties as of April 13, 2017, the synopsis of which is attached as Appendix A.”</w:t>
      </w:r>
    </w:p>
    <w:p>
      <w:pPr>
        <w:spacing w:after="0" w:line="92" w:lineRule="exact"/>
        <w:rPr>
          <w:sz w:val="20"/>
          <w:szCs w:val="20"/>
          <w:color w:val="auto"/>
        </w:rPr>
      </w:pPr>
    </w:p>
    <w:p>
      <w:pPr>
        <w:ind w:left="452"/>
        <w:spacing w:after="0"/>
        <w:tabs>
          <w:tab w:leader="none" w:pos="99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 new Section 4.4 is hereby added to the Agreement as follows:</w:t>
      </w:r>
    </w:p>
    <w:p>
      <w:pPr>
        <w:spacing w:after="0" w:line="374" w:lineRule="exact"/>
        <w:rPr>
          <w:sz w:val="20"/>
          <w:szCs w:val="20"/>
          <w:color w:val="auto"/>
        </w:rPr>
      </w:pPr>
    </w:p>
    <w:p>
      <w:pPr>
        <w:ind w:left="1472"/>
        <w:spacing w:after="0"/>
        <w:tabs>
          <w:tab w:leader="none" w:pos="213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i w:val="1"/>
          <w:iCs w:val="1"/>
          <w:u w:val="single" w:color="auto"/>
          <w:color w:val="auto"/>
        </w:rPr>
        <w:t>Transparency Reporting</w:t>
      </w:r>
      <w:r>
        <w:rPr>
          <w:rFonts w:ascii="Arial" w:cs="Arial" w:eastAsia="Arial" w:hAnsi="Arial"/>
          <w:sz w:val="18"/>
          <w:szCs w:val="18"/>
          <w:color w:val="auto"/>
        </w:rPr>
        <w:t>.</w:t>
      </w:r>
    </w:p>
    <w:p>
      <w:pPr>
        <w:spacing w:after="0" w:line="117" w:lineRule="exact"/>
        <w:rPr>
          <w:sz w:val="20"/>
          <w:szCs w:val="20"/>
          <w:color w:val="auto"/>
        </w:rPr>
      </w:pPr>
    </w:p>
    <w:p>
      <w:pPr>
        <w:ind w:left="452" w:firstLine="1643"/>
        <w:spacing w:after="0" w:line="255" w:lineRule="auto"/>
        <w:rPr>
          <w:sz w:val="20"/>
          <w:szCs w:val="20"/>
          <w:color w:val="auto"/>
        </w:rPr>
      </w:pPr>
      <w:r>
        <w:rPr>
          <w:rFonts w:ascii="Arial" w:cs="Arial" w:eastAsia="Arial" w:hAnsi="Arial"/>
          <w:sz w:val="18"/>
          <w:szCs w:val="18"/>
          <w:color w:val="auto"/>
        </w:rPr>
        <w:t>4.4.1. With respect to any annual reporting period in which Company is not an entity that is required to make a Transparency Report under Applicable Law, Company will: (a) notify Merck, in writing, within *** after the commencement of such reporting period that Company is not so required; and (b) during such reporting period Company will track and provide to Merck data regarding “indirect” payments or other transfers of value by Company to such health care professionals to the extent such payments or other transfers of value were required, instructed, directed or otherwise caused by Merck pursuant to this Agreement in the format requested by Merck and provided on a basis to be agreed upon by both Parties. Company represents and warrants that any data provided by Company to Merck pursuant to Section 4.4.1(b) above will be complete and accurate to the best of Company’s knowledge.</w:t>
      </w:r>
    </w:p>
    <w:p>
      <w:pPr>
        <w:spacing w:after="0" w:line="81" w:lineRule="exact"/>
        <w:rPr>
          <w:sz w:val="20"/>
          <w:szCs w:val="20"/>
          <w:color w:val="auto"/>
        </w:rPr>
      </w:pPr>
    </w:p>
    <w:p>
      <w:pPr>
        <w:ind w:left="452" w:firstLine="1643"/>
        <w:spacing w:after="0" w:line="273" w:lineRule="auto"/>
        <w:rPr>
          <w:sz w:val="20"/>
          <w:szCs w:val="20"/>
          <w:color w:val="auto"/>
        </w:rPr>
      </w:pPr>
      <w:r>
        <w:rPr>
          <w:rFonts w:ascii="Arial" w:cs="Arial" w:eastAsia="Arial" w:hAnsi="Arial"/>
          <w:sz w:val="17"/>
          <w:szCs w:val="17"/>
          <w:color w:val="auto"/>
        </w:rPr>
        <w:t>4.4.2. With respect to any annual reporting period in which Company is required to make a Transparency Report under Applicable Law, Company will provide to Merck, in writing, Company’s point of contact for purposes of receiving information from Merck pursuant to this Section 4.4, along with such contact’s full name, email address, and telephone number. Company may update such contact from time to time by notifying Merck in writing pursuant to Section 22 (Notices). Where applicable, Merck will provide to such Company contact all information regarding the value of the Merck Compound provided for use in the Study required for such reporting. In the event that the value of the Merck Compound provided pursuant to this Section 4.4.2 changes, Merck shall notify Company of such revised value and the effective date thereof.</w:t>
      </w:r>
    </w:p>
    <w:p>
      <w:pPr>
        <w:spacing w:after="0" w:line="66" w:lineRule="exact"/>
        <w:rPr>
          <w:sz w:val="20"/>
          <w:szCs w:val="20"/>
          <w:color w:val="auto"/>
        </w:rPr>
      </w:pPr>
    </w:p>
    <w:p>
      <w:pPr>
        <w:ind w:left="452" w:right="60" w:firstLine="1643"/>
        <w:spacing w:after="0" w:line="314" w:lineRule="auto"/>
        <w:rPr>
          <w:sz w:val="20"/>
          <w:szCs w:val="20"/>
          <w:color w:val="auto"/>
        </w:rPr>
      </w:pPr>
      <w:r>
        <w:rPr>
          <w:rFonts w:ascii="Arial" w:cs="Arial" w:eastAsia="Arial" w:hAnsi="Arial"/>
          <w:sz w:val="16"/>
          <w:szCs w:val="16"/>
          <w:color w:val="auto"/>
        </w:rPr>
        <w:t>4.4.3. For purposes of this Section 4.4, “</w:t>
      </w:r>
      <w:r>
        <w:rPr>
          <w:rFonts w:ascii="Arial" w:cs="Arial" w:eastAsia="Arial" w:hAnsi="Arial"/>
          <w:sz w:val="16"/>
          <w:szCs w:val="16"/>
          <w:b w:val="1"/>
          <w:bCs w:val="1"/>
          <w:color w:val="auto"/>
        </w:rPr>
        <w:t>Transparency Report</w:t>
      </w:r>
      <w:r>
        <w:rPr>
          <w:rFonts w:ascii="Arial" w:cs="Arial" w:eastAsia="Arial" w:hAnsi="Arial"/>
          <w:sz w:val="16"/>
          <w:szCs w:val="16"/>
          <w:color w:val="auto"/>
        </w:rPr>
        <w:t>” means a transparency report in connection with reporting payments and other transfers of value made to health care professionals, including, without limitation, investigators, steering committee members, data monitoring committee members, and consultants in connection with the Study in accordance with reporting requirements under Applicable Law,</w:t>
      </w:r>
    </w:p>
    <w:p>
      <w:pPr>
        <w:spacing w:after="0" w:line="79" w:lineRule="exact"/>
        <w:rPr>
          <w:sz w:val="20"/>
          <w:szCs w:val="20"/>
          <w:color w:val="auto"/>
        </w:rPr>
      </w:pPr>
    </w:p>
    <w:p>
      <w:pPr>
        <w:ind w:left="573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0090"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090" cy="291465"/>
                    </a:xfrm>
                    <a:prstGeom prst="rect">
                      <a:avLst/>
                    </a:prstGeom>
                    <a:noFill/>
                  </pic:spPr>
                </pic:pic>
              </a:graphicData>
            </a:graphic>
          </wp:anchor>
        </w:drawing>
      </w:r>
    </w:p>
    <w:p>
      <w:pPr>
        <w:spacing w:after="0" w:line="336" w:lineRule="exact"/>
        <w:rPr>
          <w:sz w:val="20"/>
          <w:szCs w:val="20"/>
          <w:color w:val="auto"/>
        </w:rPr>
      </w:pPr>
    </w:p>
    <w:p>
      <w:pPr>
        <w:ind w:left="-8" w:firstLine="8"/>
        <w:spacing w:after="0" w:line="266" w:lineRule="auto"/>
        <w:tabs>
          <w:tab w:leader="none" w:pos="30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392"/>
          </w:cols>
          <w:pgMar w:left="248" w:top="274" w:right="259" w:bottom="1440" w:gutter="0" w:footer="0" w:header="0"/>
        </w:sectPr>
      </w:pPr>
    </w:p>
    <w:bookmarkStart w:id="76" w:name="page77"/>
    <w:bookmarkEnd w:id="76"/>
    <w:p>
      <w:pPr>
        <w:ind w:left="452"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the Physician Payment Sunshine Act and state gift laws, and the European Federation of Pharmaceutical Industries and Associations Disclosure Code, or a Party’s applicable policies.”</w:t>
      </w:r>
    </w:p>
    <w:p>
      <w:pPr>
        <w:spacing w:after="0" w:line="76" w:lineRule="exact"/>
        <w:rPr>
          <w:sz w:val="20"/>
          <w:szCs w:val="20"/>
          <w:color w:val="auto"/>
        </w:rPr>
      </w:pPr>
    </w:p>
    <w:p>
      <w:pPr>
        <w:ind w:left="452"/>
        <w:spacing w:after="0"/>
        <w:tabs>
          <w:tab w:leader="none" w:pos="99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Section 22 of the Agreement is hereby deleted in its entirety and replaced with the following:</w:t>
      </w:r>
    </w:p>
    <w:p>
      <w:pPr>
        <w:spacing w:after="0" w:line="374" w:lineRule="exact"/>
        <w:rPr>
          <w:sz w:val="20"/>
          <w:szCs w:val="20"/>
          <w:color w:val="auto"/>
        </w:rPr>
      </w:pPr>
    </w:p>
    <w:p>
      <w:pPr>
        <w:ind w:left="1472"/>
        <w:spacing w:after="0"/>
        <w:tabs>
          <w:tab w:leader="none" w:pos="201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left="1032" w:firstLine="415"/>
        <w:spacing w:after="0" w:line="264" w:lineRule="auto"/>
        <w:rPr>
          <w:sz w:val="20"/>
          <w:szCs w:val="20"/>
          <w:color w:val="auto"/>
        </w:rPr>
      </w:pPr>
      <w:r>
        <w:rPr>
          <w:rFonts w:ascii="Arial" w:cs="Arial" w:eastAsia="Arial" w:hAnsi="Arial"/>
          <w:sz w:val="18"/>
          <w:szCs w:val="18"/>
          <w:color w:val="auto"/>
        </w:rPr>
        <w:t>All notices or other communications that are required or permitted hereunder shall be in writing and delivered personally, sent by facsimile (and promptly confirmed by personal delivery or overnight courier), or sent by internationally-recognized overnight courier addressed as follows:</w:t>
      </w:r>
    </w:p>
    <w:p>
      <w:pPr>
        <w:spacing w:after="0" w:line="181" w:lineRule="exact"/>
        <w:rPr>
          <w:sz w:val="20"/>
          <w:szCs w:val="20"/>
          <w:color w:val="auto"/>
        </w:rPr>
      </w:pPr>
    </w:p>
    <w:p>
      <w:pPr>
        <w:ind w:left="1032"/>
        <w:spacing w:after="0"/>
        <w:rPr>
          <w:sz w:val="20"/>
          <w:szCs w:val="20"/>
          <w:color w:val="auto"/>
        </w:rPr>
      </w:pPr>
      <w:r>
        <w:rPr>
          <w:rFonts w:ascii="Arial" w:cs="Arial" w:eastAsia="Arial" w:hAnsi="Arial"/>
          <w:sz w:val="18"/>
          <w:szCs w:val="18"/>
          <w:color w:val="auto"/>
        </w:rPr>
        <w:t>If to Merck, to:</w:t>
      </w:r>
    </w:p>
    <w:p>
      <w:pPr>
        <w:spacing w:after="0" w:line="225"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MSD International GmbH</w:t>
      </w:r>
    </w:p>
    <w:p>
      <w:pPr>
        <w:spacing w:after="0" w:line="23"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Weystrasse 20</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6000 Luzern</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Attention: Director</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Merck Sharp &amp; Dohme B.V.</w:t>
      </w:r>
    </w:p>
    <w:p>
      <w:pPr>
        <w:spacing w:after="0" w:line="23"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Waarderweg 39</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2031 BN Haarlem</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Attention: Director</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1032"/>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Merck Sharp &amp; Dohme Corp.</w:t>
      </w:r>
    </w:p>
    <w:p>
      <w:pPr>
        <w:spacing w:after="0" w:line="23"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One Merck Drive</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P.O. Box 100</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Whitehouse Station, NJ 08889-0100</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Attention: Office of Secretary</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Facsimile No.: ***</w:t>
      </w:r>
    </w:p>
    <w:p>
      <w:pPr>
        <w:spacing w:after="0" w:line="143" w:lineRule="exact"/>
        <w:rPr>
          <w:sz w:val="20"/>
          <w:szCs w:val="20"/>
          <w:color w:val="auto"/>
        </w:rPr>
      </w:pPr>
    </w:p>
    <w:p>
      <w:pPr>
        <w:ind w:left="573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0090"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090" cy="291465"/>
                    </a:xfrm>
                    <a:prstGeom prst="rect">
                      <a:avLst/>
                    </a:prstGeom>
                    <a:noFill/>
                  </pic:spPr>
                </pic:pic>
              </a:graphicData>
            </a:graphic>
          </wp:anchor>
        </w:drawing>
      </w:r>
    </w:p>
    <w:p>
      <w:pPr>
        <w:spacing w:after="0" w:line="336" w:lineRule="exact"/>
        <w:rPr>
          <w:sz w:val="20"/>
          <w:szCs w:val="20"/>
          <w:color w:val="auto"/>
        </w:rPr>
      </w:pPr>
    </w:p>
    <w:p>
      <w:pPr>
        <w:ind w:left="-8" w:firstLine="8"/>
        <w:spacing w:after="0" w:line="266" w:lineRule="auto"/>
        <w:tabs>
          <w:tab w:leader="none" w:pos="307"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392"/>
          </w:cols>
          <w:pgMar w:left="248" w:top="274" w:right="259" w:bottom="1440" w:gutter="0" w:footer="0" w:header="0"/>
        </w:sectPr>
      </w:pPr>
    </w:p>
    <w:bookmarkStart w:id="77" w:name="page78"/>
    <w:bookmarkEnd w:id="77"/>
    <w:p>
      <w:pPr>
        <w:ind w:left="10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Syndax, to:</w:t>
      </w:r>
    </w:p>
    <w:p>
      <w:pPr>
        <w:spacing w:after="0" w:line="225"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Syndax Pharmaceuticals, Inc.</w:t>
      </w:r>
    </w:p>
    <w:p>
      <w:pPr>
        <w:spacing w:after="0" w:line="23"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35 Gatehouse Drive</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Building D, Floor 3</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Waltham, MA 02451</w:t>
      </w:r>
    </w:p>
    <w:p>
      <w:pPr>
        <w:spacing w:after="0" w:line="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Facsimile No.: (781) 419-1420”</w:t>
      </w:r>
    </w:p>
    <w:p>
      <w:pPr>
        <w:spacing w:after="0" w:line="238" w:lineRule="exact"/>
        <w:rPr>
          <w:sz w:val="20"/>
          <w:szCs w:val="20"/>
          <w:color w:val="auto"/>
        </w:rPr>
      </w:pPr>
    </w:p>
    <w:p>
      <w:pPr>
        <w:ind w:left="1012" w:right="360" w:hanging="566"/>
        <w:spacing w:after="0" w:line="277" w:lineRule="auto"/>
        <w:tabs>
          <w:tab w:leader="none" w:pos="99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 xml:space="preserve">Appendix A of the Agreement is hereby deleted in its entirety and replaced with the new Appendix A attached to this Amendment No. 1 as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76" w:lineRule="exact"/>
        <w:rPr>
          <w:sz w:val="20"/>
          <w:szCs w:val="20"/>
          <w:color w:val="auto"/>
        </w:rPr>
      </w:pPr>
    </w:p>
    <w:p>
      <w:pPr>
        <w:ind w:left="1012" w:right="380" w:hanging="566"/>
        <w:spacing w:after="0" w:line="277" w:lineRule="auto"/>
        <w:tabs>
          <w:tab w:leader="none" w:pos="99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 xml:space="preserve">Appendix B of the Agreement is hereby deleted in its entirety and replaced with the new Appendix B attached to this Amendment No. 1 as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76" w:lineRule="exact"/>
        <w:rPr>
          <w:sz w:val="20"/>
          <w:szCs w:val="20"/>
          <w:color w:val="auto"/>
        </w:rPr>
      </w:pPr>
    </w:p>
    <w:p>
      <w:pPr>
        <w:ind w:left="452" w:hanging="452"/>
        <w:spacing w:after="0"/>
        <w:tabs>
          <w:tab w:leader="none" w:pos="45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Press Release</w:t>
      </w:r>
      <w:r>
        <w:rPr>
          <w:rFonts w:ascii="Arial" w:cs="Arial" w:eastAsia="Arial" w:hAnsi="Arial"/>
          <w:sz w:val="16"/>
          <w:szCs w:val="16"/>
          <w:color w:val="auto"/>
        </w:rPr>
        <w:t xml:space="preserve">. On or immediately after the Amendment Effective Date, Syndax will issue a press release in the form attached hereto as </w:t>
      </w:r>
      <w:r>
        <w:rPr>
          <w:rFonts w:ascii="Arial" w:cs="Arial" w:eastAsia="Arial" w:hAnsi="Arial"/>
          <w:sz w:val="16"/>
          <w:szCs w:val="16"/>
          <w:u w:val="single" w:color="auto"/>
          <w:color w:val="auto"/>
        </w:rPr>
        <w:t>Schedule 3</w:t>
      </w:r>
      <w:r>
        <w:rPr>
          <w:rFonts w:ascii="Arial" w:cs="Arial" w:eastAsia="Arial" w:hAnsi="Arial"/>
          <w:sz w:val="16"/>
          <w:szCs w:val="16"/>
          <w:color w:val="auto"/>
        </w:rPr>
        <w:t>.</w:t>
      </w:r>
    </w:p>
    <w:p>
      <w:pPr>
        <w:spacing w:after="0" w:line="154" w:lineRule="exact"/>
        <w:rPr>
          <w:sz w:val="20"/>
          <w:szCs w:val="20"/>
          <w:color w:val="auto"/>
        </w:rPr>
      </w:pPr>
    </w:p>
    <w:p>
      <w:pPr>
        <w:ind w:left="452" w:right="180" w:hanging="452"/>
        <w:spacing w:after="0" w:line="273" w:lineRule="auto"/>
        <w:tabs>
          <w:tab w:leader="none" w:pos="452"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Except as specifically modified or amended by this Amendment No. 1, the terms and conditions of the Agreement remain unchanged and in full force and effect. All references in the Agreement to the “Agreement” shall mean the Agreement as modified by this Amendment No. 1. This Amendment No. 1 shall be governed by and construed in accordance with the substantive laws of the State of New York, without giving effect to its choice of law principles. This Amendment No. 1 may be executed in two (2) or more counterparts (including by way of facsimile or electronic transmission), each of which shall be deemed an original, but all of which together shall constitute one and the same instrument. For clarity, facsimile signatures and signatures transmitted via PDF shall be treated as original signatures.</w:t>
      </w:r>
    </w:p>
    <w:p>
      <w:pPr>
        <w:spacing w:after="0" w:line="178" w:lineRule="exact"/>
        <w:rPr>
          <w:sz w:val="20"/>
          <w:szCs w:val="20"/>
          <w:color w:val="auto"/>
        </w:rPr>
      </w:pPr>
    </w:p>
    <w:p>
      <w:pPr>
        <w:jc w:val="center"/>
        <w:ind w:right="-3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ind w:left="573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0090"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090" cy="291465"/>
                    </a:xfrm>
                    <a:prstGeom prst="rect">
                      <a:avLst/>
                    </a:prstGeom>
                    <a:noFill/>
                  </pic:spPr>
                </pic:pic>
              </a:graphicData>
            </a:graphic>
          </wp:anchor>
        </w:drawing>
      </w:r>
    </w:p>
    <w:p>
      <w:pPr>
        <w:spacing w:after="0" w:line="336" w:lineRule="exact"/>
        <w:rPr>
          <w:sz w:val="20"/>
          <w:szCs w:val="20"/>
          <w:color w:val="auto"/>
        </w:rPr>
      </w:pPr>
    </w:p>
    <w:p>
      <w:pPr>
        <w:ind w:left="-8" w:firstLine="8"/>
        <w:spacing w:after="0" w:line="266" w:lineRule="auto"/>
        <w:tabs>
          <w:tab w:leader="none" w:pos="307"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392"/>
          </w:cols>
          <w:pgMar w:left="248" w:top="274" w:right="259" w:bottom="1440" w:gutter="0" w:footer="0" w:header="0"/>
        </w:sectPr>
      </w:pPr>
    </w:p>
    <w:bookmarkStart w:id="78" w:name="page79"/>
    <w:bookmarkEnd w:id="78"/>
    <w:p>
      <w:pPr>
        <w:ind w:right="7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respective authorized representatives of the Parties have executed this Amendment No. 1 as of the Amendment Effective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MSD International GmbH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Merck Sharp &amp; Dohme B.V.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4" w:lineRule="exact"/>
        <w:rPr>
          <w:sz w:val="20"/>
          <w:szCs w:val="20"/>
          <w:color w:val="auto"/>
        </w:rPr>
      </w:pPr>
    </w:p>
    <w:p>
      <w:pPr>
        <w:ind w:firstLine="8"/>
        <w:spacing w:after="0" w:line="266" w:lineRule="auto"/>
        <w:tabs>
          <w:tab w:leader="none" w:pos="31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4" w:right="239" w:bottom="1440" w:gutter="0" w:footer="0" w:header="0"/>
        </w:sectPr>
      </w:pPr>
    </w:p>
    <w:bookmarkStart w:id="79" w:name="page80"/>
    <w:bookmarkEnd w:id="79"/>
    <w:p>
      <w:pPr>
        <w:jc w:val="center"/>
        <w:ind w:right="-9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PROTOCOL SYNOPSIS</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0090"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0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 w:firstLine="8"/>
        <w:spacing w:after="0" w:line="266" w:lineRule="auto"/>
        <w:tabs>
          <w:tab w:leader="none" w:pos="307"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18 PAGES OF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332"/>
          </w:cols>
          <w:pgMar w:left="248" w:top="274" w:right="319" w:bottom="1440" w:gutter="0" w:footer="0" w:header="0"/>
        </w:sectPr>
      </w:pPr>
    </w:p>
    <w:bookmarkStart w:id="80" w:name="page81"/>
    <w:bookmarkEnd w:id="80"/>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Appendix 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SUPPLY OF COMPOUND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1 PAGE OF MATERIAL THAT WAS OMITTED AND FOR WHICH CONFIDENTIAL TREATMENT WAS REQUESTED.</w:t>
      </w:r>
    </w:p>
    <w:p>
      <w:pPr>
        <w:spacing w:after="0" w:line="27" w:lineRule="exact"/>
        <w:rPr>
          <w:rFonts w:ascii="Arial" w:cs="Arial" w:eastAsia="Arial" w:hAnsi="Arial"/>
          <w:sz w:val="18"/>
          <w:szCs w:val="18"/>
          <w:b w:val="1"/>
          <w:bCs w:val="1"/>
          <w:color w:val="auto"/>
        </w:rPr>
      </w:pPr>
    </w:p>
    <w:p>
      <w:pPr>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ALL SUCH OMITTED MATERIAL WAS FILED SEPARATELY WITH THE SECURITIES AND EXCHANGE COMMISSION PURSUANT TO RULE 24B-2 PROMULGATED UNDER THE SECURITIES EXCHANGE ACT OF 1934, AS AMENDED.</w:t>
      </w:r>
    </w:p>
    <w:p>
      <w:pPr>
        <w:sectPr>
          <w:pgSz w:w="11900" w:h="16838" w:orient="portrait"/>
          <w:cols w:equalWidth="0" w:num="1">
            <w:col w:w="11340"/>
          </w:cols>
          <w:pgMar w:left="240" w:top="274"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Press Release</w:t>
      </w:r>
    </w:p>
    <w:p>
      <w:pPr>
        <w:spacing w:after="0" w:line="221" w:lineRule="exact"/>
        <w:rPr>
          <w:sz w:val="20"/>
          <w:szCs w:val="20"/>
          <w:color w:val="auto"/>
        </w:rPr>
      </w:pPr>
    </w:p>
    <w:p>
      <w:pPr>
        <w:jc w:val="center"/>
        <w:ind w:left="260" w:right="40"/>
        <w:spacing w:after="0" w:line="282" w:lineRule="auto"/>
        <w:rPr>
          <w:sz w:val="20"/>
          <w:szCs w:val="20"/>
          <w:color w:val="auto"/>
        </w:rPr>
      </w:pPr>
      <w:r>
        <w:rPr>
          <w:rFonts w:ascii="Arial" w:cs="Arial" w:eastAsia="Arial" w:hAnsi="Arial"/>
          <w:sz w:val="18"/>
          <w:szCs w:val="18"/>
          <w:b w:val="1"/>
          <w:bCs w:val="1"/>
          <w:color w:val="auto"/>
        </w:rPr>
        <w:t>Syndax Announces Expansion of Immuno-Oncology Collaboration Evaluating Entinostat in Combination with KEYTRUDA</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(pembrolizumab) for the Treatment of Colorectal Cancer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Encore 601 cohort to begin enrolling patients with microsatellite stable colorectal cancer</w:t>
      </w:r>
    </w:p>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WALTHAM, Mass., April [XX], 2017 </w:t>
      </w:r>
      <w:r>
        <w:rPr>
          <w:rFonts w:ascii="Arial" w:cs="Arial" w:eastAsia="Arial" w:hAnsi="Arial"/>
          <w:sz w:val="18"/>
          <w:szCs w:val="18"/>
          <w:color w:val="auto"/>
        </w:rPr>
        <w:t>– Syndax Pharmaceuticals, Inc. (NASDAQ:SNDX), today announced the expansion of ENCORE 601/KEYNOTE</w:t>
      </w:r>
      <w:r>
        <w:rPr>
          <w:rFonts w:ascii="Arial" w:cs="Arial" w:eastAsia="Arial" w:hAnsi="Arial"/>
          <w:sz w:val="18"/>
          <w:szCs w:val="18"/>
          <w:b w:val="1"/>
          <w:bCs w:val="1"/>
          <w:color w:val="auto"/>
        </w:rPr>
        <w:t xml:space="preserve"> </w:t>
      </w:r>
      <w:r>
        <w:rPr>
          <w:rFonts w:ascii="Arial" w:cs="Arial" w:eastAsia="Arial" w:hAnsi="Arial"/>
          <w:sz w:val="18"/>
          <w:szCs w:val="18"/>
          <w:color w:val="auto"/>
        </w:rPr>
        <w:t>142, the ongoing Phase 2 clinical collaboration with a subsidiary of Merck, known as MSD outside the United States and Canada, to include a cohort of patients with microsatellite stable colorectal cancer. This trial is designed to evaluate the safety, tolerability and efficacy of Syndax’s entinostat, an oral, small molecule that targets immune regulatory cells, in combination with KEYTRUDA</w:t>
      </w:r>
      <w:r>
        <w:rPr>
          <w:rFonts w:ascii="Arial" w:cs="Arial" w:eastAsia="Arial" w:hAnsi="Arial"/>
          <w:sz w:val="15"/>
          <w:szCs w:val="15"/>
          <w:color w:val="auto"/>
        </w:rPr>
        <w:t>®</w:t>
      </w:r>
      <w:r>
        <w:rPr>
          <w:rFonts w:ascii="Arial" w:cs="Arial" w:eastAsia="Arial" w:hAnsi="Arial"/>
          <w:sz w:val="18"/>
          <w:szCs w:val="18"/>
          <w:color w:val="auto"/>
        </w:rPr>
        <w:t xml:space="preserve"> (pembrolizumab), Merck’s anti-PD-1 (programmed death receptor-1) therapy.</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“Microsatellite stable colorectal cancers comprise approximately 85% of colorectal cancers, have limited treatment options once the disease advances, and have been unresponsive to anti-PD-1 monotherapy,” said Briggs W. Morrison, M.D., Chief Executive Officer of Syndax. “This expansion of ENCORE 601/KEYNOTE 142 is based in part on the previously communicated clinical responses we observed for the entinostat-KEYTRUDA combination in advanced melanoma patients that had progressed on prior anti-PD-1 therapy.”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ENCORE 601 continues to evaluate the combination of entinostat and KEYTRUDA in patients with advanced melanoma or non-small cell lung cancer (NSCLC) who have experienced disease progression following treatment with an anti-PD-1 therapy, and patients with NSCLC who are naïve to treatment with a PD-1 or PD-L1 antagonist. In March 2017, Syndax announced that the melanoma cohort achieved the pre-specified criteria required to advance to the second stage of the trial, and re-opened enrollment of that cohort. The Company will present results from the first stage of the melanoma cohort at the upcoming American Society of Clinical Oncology Annual Meeting in June. A decision on whether the two NSCLC cohorts can proceed to the second stage of the trial is expected in 2Q17.</w:t>
      </w:r>
    </w:p>
    <w:p>
      <w:pPr>
        <w:spacing w:after="0" w:line="1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Financial and other terms of the initial agreement, as well as the amendment covering the expanded collaboration between Syndax and Merck, were not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0090"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0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8"/>
        <w:spacing w:after="0" w:line="266" w:lineRule="auto"/>
        <w:tabs>
          <w:tab w:leader="none" w:pos="315"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Syndax Pharmaceuticals, Inc.</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Syndax is a clinical stage biopharmaceutical company developing an innovative pipeline of cancer therapies. Our lead product candidate, entinostat, which was granted Breakthrough Therapy designation by the FDA following positive results from our Phase 2b clinical trial, ENCORE 301, is currently being evaluated in a Phase 3 clinical trial for advanced hormone receptor positive, human epidermal growth factor receptor 2 negative breast cancer. Given its potential ability to block the function of immune suppressive cells in the tumor microenvironment, entinostat is also being evaluated in combination with approved PD-1 antagonists. Ongoing Phase 1b/2 clinical trials combine entinostat with KEYTRUDA from Merck &amp; Co., Inc. for non-small cell lung cancer and melanoma; with TECENTRIQ from Genentech, Inc. for TNBC; and with BAVENCIO from Pfizer Inc. and Merck KGaA, Darmstadt, Germany, for ovarian cancer. Our second product candidate, SNDX-6352, is a monoclonal antibody that blocks the CSF-1 receptor and may also block the function of immune suppressive cells in the tumor microenvironment. SNDX-6352 is being evaluated in a single ascending dose Phase 1 clinical trial and is expected to be developed to treat a variety of cancers.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Syndax’s Cautionary Note on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Words such as “may,” “will,” “expect,” “plan,” “anticipate,” “estimate,” “intend,” “believe” and similar expressions (as well as other words or expressions referencing future events, conditions or circumstances) are intended to identify forward-looking statements. These forward-looking statements are based on Syndax’s expectations and assumptions as of the date of this press release. Each of these forward-looking statements involves risks and uncertainties. Actual results may differ materially from these forward-looking statements. Forward-looking statements contained in this press release include, but are not limited to, statements about the progress, timing, clinical development and scope of clinical trials and the reporting of clinical data for Syndax’s product candidates, and the potential use of our product candidates to treat various cancer indications. Many factors may cause differences between current expectations and actual results including unexpected safety or efficacy data observed during preclinical or clinical studies, clinical trial site activation or enrollment rates that are lower than expected, changes in expected or existing competition, changes in the regulatory environment, failure of Syndax’s collaborators to support or advance collaborations or product candidates and unexpected litigation or other disputes. Other factors that may cause Syndax’s actual results to differ from those expressed or implied in the forward-looking statements in this press release are discussed in Syndax’s filings with the U.S. Securities and Exchange Commission, including the “Risk Factors” sections contained therein. Except as required by law, Syndax assumes no obligation to update any forward-looking statements contained herein to reflect any change in expectations, even as new information becomes available.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KEYTRUDA</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Merck Sharp &amp; Dohme Corp., a subsidiary of Merck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009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0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8"/>
        <w:spacing w:after="0" w:line="266" w:lineRule="auto"/>
        <w:tabs>
          <w:tab w:leader="none" w:pos="31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24B-2 PROMULGATED UNDER THE SECURITIES EXCHANGE ACT OF 1934, AS AMENDED.</w:t>
      </w:r>
    </w:p>
    <w:p>
      <w:pPr>
        <w:sectPr>
          <w:pgSz w:w="11900" w:h="16838" w:orient="portrait"/>
          <w:cols w:equalWidth="0" w:num="1">
            <w:col w:w="11420"/>
          </w:cols>
          <w:pgMar w:left="240" w:top="27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10, 2017</w:t>
      </w:r>
      <w:r>
        <w:rPr>
          <w:sz w:val="20"/>
          <w:szCs w:val="20"/>
          <w:color w:val="auto"/>
        </w:rPr>
        <w:tab/>
      </w:r>
      <w:r>
        <w:rPr>
          <w:rFonts w:ascii="Arial" w:cs="Arial" w:eastAsia="Arial" w:hAnsi="Arial"/>
          <w:sz w:val="17"/>
          <w:szCs w:val="17"/>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Briggs W. Morrison, M.D.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225"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3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10, 2017</w:t>
      </w:r>
      <w:r>
        <w:rPr>
          <w:sz w:val="20"/>
          <w:szCs w:val="20"/>
          <w:color w:val="auto"/>
        </w:rPr>
        <w:tab/>
      </w:r>
      <w:r>
        <w:rPr>
          <w:rFonts w:ascii="Arial" w:cs="Arial" w:eastAsia="Arial" w:hAnsi="Arial"/>
          <w:sz w:val="16"/>
          <w:szCs w:val="16"/>
          <w:color w:val="auto"/>
        </w:rPr>
        <w:t>By:  /s/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P. Shea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June 30, 2017,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August 10, 2017</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209"/>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Briggs W. Morrison, M.D.</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46"/>
        </w:trPr>
        <w:tc>
          <w:tcPr>
            <w:tcW w:w="3800" w:type="dxa"/>
            <w:vAlign w:val="bottom"/>
          </w:tcPr>
          <w:p>
            <w:pPr>
              <w:spacing w:after="0"/>
              <w:rPr>
                <w:sz w:val="20"/>
                <w:szCs w:val="20"/>
                <w:color w:val="auto"/>
              </w:rPr>
            </w:pPr>
            <w:r>
              <w:rPr>
                <w:rFonts w:ascii="Arial" w:cs="Arial" w:eastAsia="Arial" w:hAnsi="Arial"/>
                <w:sz w:val="18"/>
                <w:szCs w:val="18"/>
                <w:color w:val="auto"/>
              </w:rPr>
              <w:t>Date: August 10, 2017</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209"/>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Richard P. Shea</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5"/>
    </w:lvl>
  </w:abstractNum>
  <w:abstractNum w:abstractNumId="4">
    <w:nsid w:val="5072367"/>
    <w:multiLevelType w:val="hybridMultilevel"/>
    <w:lvl w:ilvl="0">
      <w:lvlJc w:val="left"/>
      <w:lvlText w:val="(%1)"/>
      <w:numFmt w:val="lowerRoman"/>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1)"/>
      <w:numFmt w:val="lowerRoman"/>
      <w:start w:val="4"/>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10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upperLetter"/>
      <w:start w:val="1"/>
    </w:lvl>
  </w:abstractNum>
  <w:abstractNum w:abstractNumId="35">
    <w:nsid w:val="79A1DEAA"/>
    <w:multiLevelType w:val="hybridMultilevel"/>
    <w:lvl w:ilvl="0">
      <w:lvlJc w:val="left"/>
      <w:lvlText w:val="%1)"/>
      <w:numFmt w:val="lowerLetter"/>
      <w:start w:val="1"/>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lowerLetter"/>
      <w:start w:val="2"/>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lowerLetter"/>
      <w:start w:val="2"/>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lowerLetter"/>
      <w:start w:val="3"/>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lowerLetter"/>
      <w:start w:val="2"/>
    </w:lvl>
  </w:abstractNum>
  <w:abstractNum w:abstractNumId="45">
    <w:nsid w:val="39386575"/>
    <w:multiLevelType w:val="hybridMultilevel"/>
    <w:lvl w:ilvl="0">
      <w:lvlJc w:val="left"/>
      <w:lvlText w:val="%1"/>
      <w:numFmt w:val="lowerRoman"/>
      <w:start w:val="1"/>
    </w:lvl>
    <w:lvl w:ilvl="1">
      <w:lvlJc w:val="left"/>
      <w:lvlText w:val="%2)"/>
      <w:numFmt w:val="lowerLetter"/>
      <w:start w:val="1"/>
    </w:lvl>
  </w:abstractNum>
  <w:abstractNum w:abstractNumId="46">
    <w:nsid w:val="1CF10FD8"/>
    <w:multiLevelType w:val="hybridMultilevel"/>
    <w:lvl w:ilvl="0">
      <w:lvlJc w:val="left"/>
      <w:lvlText w:val="(%1)"/>
      <w:numFmt w:val="lowerRoman"/>
      <w:start w:val="1"/>
    </w:lvl>
    <w:lvl w:ilvl="1">
      <w:lvlJc w:val="left"/>
      <w:lvlText w:val="%2)"/>
      <w:numFmt w:val="lowerLetter"/>
      <w:start w:val="3"/>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Letter"/>
      <w:start w:val="3"/>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1"/>
      <w:numFmt w:val="bullet"/>
      <w:start w:val="1"/>
    </w:lvl>
  </w:abstractNum>
  <w:abstractNum w:abstractNumId="53">
    <w:nsid w:val="D34B6A8"/>
    <w:multiLevelType w:val="hybridMultilevel"/>
    <w:lvl w:ilvl="0">
      <w:lvlJc w:val="left"/>
      <w:lvlText w:val="2"/>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3"/>
      <w:numFmt w:val="bullet"/>
      <w:start w:val="1"/>
    </w:lvl>
  </w:abstractNum>
  <w:abstractNum w:abstractNumId="57">
    <w:nsid w:val="7E0C57B1"/>
    <w:multiLevelType w:val="hybridMultilevel"/>
    <w:lvl w:ilvl="0">
      <w:lvlJc w:val="left"/>
      <w:lvlText w:val="4"/>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2019-12-29T04:29:12Z</dcterms:created>
  <dcterms:modified xsi:type="dcterms:W3CDTF">2019-12-29T04:29:12Z</dcterms:modified>
</cp:coreProperties>
</file>