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SYNDAX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6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001-37708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32-0162505</w:t>
            </w:r>
          </w:p>
        </w:tc>
      </w:tr>
      <w:tr>
        <w:trPr>
          <w:trHeight w:val="148"/>
        </w:trPr>
        <w:tc>
          <w:tcPr>
            <w:tcW w:w="356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730 Third Avenue, Floor 9</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419-1400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SNDX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 and Notes</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On June 3, 2026, Syndax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privately negotiated subscription agreements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investors, pursuant to which the Company will issue $250.0 million aggregate principal amount of 2.25% Convertible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due 2031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Notes will be issued pursuant to an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U.S. Bank Trust Company, National Association, as trustee, and the sale of the Notes is expected to close on June 10, 2026, subject to customary closing conditions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When issued pursuant to the Indenture, the Notes will be senior unsecured obligations of the Company and will mature on June 15, 2031, unless earlier converted, redeemed or repurchased. Interest on the Notes will accrue at a rate of 2.25% per year from June 10, 2026 and will be payable semiannually in arrears on June 15 and December 15 of each year, beginning on December 15, 2026. The Notes will be convertible at the option of the noteholders at any time prior to the close of business on the business day immediately preceding March 15, 2031, only upon satisfaction of one or more of the following conditions: (1) during any calendar quarter commencing after the calendar quarter ending on September 30, 2026 (and only during such calendar quarter), if the last reported sale price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10 consecutive trading day period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in which the trading price (as defined in the Indenture) per $1,000 principal amount of the Notes for each trading day of the measurement period was less than 98% of the product of the last reported sale price of the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or (4) upon the occurrence of specified corporate events as will be set forth in the Indenture. On or after March 15, 2031, until the close of business on the second scheduled trading day immediately preceding the maturity date, noteholders may convert all or any portion of their Notes at their option at any time, regardless of the foregoing conditions. Upon conversion, the Company will pay or deliver, as the case may be, cash, shares of Common Stock or a combination of cash and shares of Common Stock, at the Company’s election, in the manner and subject to the terms and conditions that will be provided in the Indenture.</w:t>
      </w:r>
    </w:p>
    <w:p>
      <w:pPr>
        <w:spacing w:after="0" w:line="19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conversion rate for the Notes will initially be 40.3894 shares of Common Stock per $1,000 principal amount of Notes (equivalent to an initial conversion price of approximately $24.76 per share of Common Stock). The initial conversion price of the Notes represents a premium of approximately 35% over the last reported sale price of the Common Stock on the Nasdaq Global Select Market on June 3, 2026. The conversion rate will be subject to adjustment under certain circumstances in accordance with the terms of the Indenture but will not be adjusted for any accrued and unpaid interest. In addition, following certain corporate events that occur prior to the maturity date of the Notes or if the Company delivers a notice of redemption in respect of the Notes, the Company will, in certain circumstances, increase the conversion rate of the Notes for a noteholder who elects to convert its Notes in connection with such a corporate event or notice of redemption, as the case may be.</w:t>
      </w:r>
    </w:p>
    <w:p>
      <w:pPr>
        <w:spacing w:after="0" w:line="18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may not redeem the Notes prior to June 20, 2029. The Company may redeem for cash all or any portion of the Notes (subject to certain limitations), at the Company’s option, on a redemption date on or after June 20, 2029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No sinking fund will be provided for the Notes.</w:t>
      </w:r>
    </w:p>
    <w:p>
      <w:pPr>
        <w:spacing w:after="0" w:line="187"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limited exceptions, noteholders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Indenture will include customary covenants and sets forth certain events of default. The following events will be considered “events of default” under the Indenture:</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at its stated maturity, upon any optional redemption, upon any required repurchase, upon declaration of acceleration or otherwise;</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noteholder’s conversion right and such failure continues for three business days;</w:t>
      </w:r>
    </w:p>
    <w:p>
      <w:pPr>
        <w:spacing w:after="0" w:line="67" w:lineRule="exact"/>
        <w:rPr>
          <w:rFonts w:ascii="Times New Roman" w:cs="Times New Roman" w:eastAsia="Times New Roman" w:hAnsi="Times New Roman"/>
          <w:sz w:val="18"/>
          <w:szCs w:val="18"/>
          <w:color w:val="auto"/>
        </w:rPr>
      </w:pPr>
    </w:p>
    <w:p>
      <w:pPr>
        <w:jc w:val="both"/>
        <w:ind w:left="960" w:right="1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notice or notice of a make-whole fundamental change (each as described in the Indenture), in either case when due and such failure continues for two business days, or (ii) notice of a specified corporate transaction (as described in the Indenture) when due and such failure continues for one business day;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in respect of any consolidation, merger or sale of assets;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any of the Company’s other agreements in the Notes or the Indenture for 60 days after receipt of written notice of such failure from the trustee or the holders of at least 25% in principal amount of the Notes then outstanding;</w:t>
      </w:r>
    </w:p>
    <w:p>
      <w:pPr>
        <w:spacing w:after="0" w:line="67" w:lineRule="exact"/>
        <w:rPr>
          <w:rFonts w:ascii="Times New Roman" w:cs="Times New Roman" w:eastAsia="Times New Roman" w:hAnsi="Times New Roman"/>
          <w:sz w:val="18"/>
          <w:szCs w:val="18"/>
          <w:color w:val="auto"/>
        </w:rPr>
      </w:pPr>
    </w:p>
    <w:p>
      <w:pPr>
        <w:ind w:left="960" w:right="20" w:hanging="424"/>
        <w:spacing w:after="0" w:line="25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$25,000,000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the Notes then outstanding in accordance with the Indenture;</w:t>
      </w:r>
    </w:p>
    <w:p>
      <w:pPr>
        <w:spacing w:after="0" w:line="99" w:lineRule="exact"/>
        <w:rPr>
          <w:rFonts w:ascii="Times New Roman" w:cs="Times New Roman" w:eastAsia="Times New Roman" w:hAnsi="Times New Roman"/>
          <w:sz w:val="18"/>
          <w:szCs w:val="18"/>
          <w:color w:val="auto"/>
        </w:rPr>
      </w:pPr>
    </w:p>
    <w:p>
      <w:pPr>
        <w:ind w:left="960" w:right="38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$25,000,000 (or its foreign currency equivalent) or more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occur with respect to the Company, the principal of, and accrued and unpaid interest, if any, on, all of the then outstanding Notes shall automatically become due and payable. If an event of default,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and accrued interest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Notes.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(such qualified successor entity, the “successor entity”) organized and existing under the laws of the United States of America, any state thereof or the District of Columbia, and such successor entity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spacing w:after="0" w:line="189"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A copy of the form of Subscription Agreement is attached as Exhibit 10.1 to this Current Report on Form 8-K and is incorporated herein by reference (and the foregoing description is qualified in its entirety by reference to such document).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w:t>
      </w:r>
    </w:p>
    <w:p>
      <w:pPr>
        <w:spacing w:after="0" w:line="121"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Private Placement will be approximately $243 million, after deducting the placement agent’s fees and Private Placement expenses payable by the Company. The Company expects to use the net proceeds from the Private Placement for general corporate purposes, including working capital, research and development expenditures, commercialization activity expenditures and business development expenditures.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offered and sold the Notes to certain investors in reliance 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Company relied on this exemption from registration based in part on representations made by each investor in the Subscription Agreements.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as involving an exchange by the Company exclusively with its noteholders because no commission or other remuneration is expected to be paid in connection with conversion of the Notes and any resulting issuance of shares of Common Stock. Initially, a maximum of 13,631,400 shares of Common Stock may be issued upon conversion of the Notes based on the initial maximum conversion rate of 54.5256 shares of Common Stock per $1,000 principal amount of Notes, which is subject to customary anti-dilution adjustment provisions.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pricing of the Notes. A copy of the press release is attached as Exhibit 99.1 to this Current Report on Form 8-K and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Section 27A of the Securities Act and Section 21E of the Securities Exchange Act of 1934, as amended, including statements regarding, among other things, the terms of the Notes and the Company’s anticipated use of the net proceeds from the Offering. These forward-looking statements are based on the Company’s current assumptions, expectations and beliefs and are subject to substantial risks, uncertainties, assumptions and changes in circumstances that may cause the Company’s actual results, performance or achievements to differ materially from those expressed or implied in any forward-looking statement. These risks include, but are not limited to market risks, trends and conditions. Other factors that may cause the Company’s actual results to differ from those expressed or implied in the forward-looking statements in this Current Report on Form 8-K are discussed in the Company’s filings with the U.S. Securities and Exchange Commission, including the “Risk Factors” sections contained therein. Except as required by law, the Company assumes no obligation to update any forward-looking statements contained herein to reflect any change in expectations, even as new information becomes available.</w:t>
      </w:r>
    </w:p>
    <w:p>
      <w:pPr>
        <w:spacing w:after="0" w:line="31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Subscription Agreement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entitled “Syndax Announces Private Placement of $250.0 Million of Convertible Senior Notes,” dated June 4, 2026</w:t>
      </w:r>
    </w:p>
    <w:p>
      <w:pPr>
        <w:spacing w:after="0" w:line="117" w:lineRule="exact"/>
        <w:rPr>
          <w:sz w:val="20"/>
          <w:szCs w:val="20"/>
          <w:color w:val="auto"/>
        </w:rPr>
      </w:pPr>
    </w:p>
    <w:p>
      <w:pPr>
        <w:ind w:left="5464" w:right="4260" w:hanging="5464"/>
        <w:spacing w:after="0" w:line="877"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ectPr>
          <w:pgSz w:w="11900" w:h="16838" w:orient="portrait"/>
          <w:cols w:equalWidth="0" w:num="1">
            <w:col w:w="10904"/>
          </w:cols>
          <w:pgMar w:left="436" w:top="293" w:right="559" w:bottom="1440" w:gutter="0" w:footer="0" w:header="0"/>
        </w:sectPr>
      </w:pPr>
    </w:p>
    <w:bookmarkStart w:id="5" w:name="page6"/>
    <w:bookmarkEnd w:id="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93"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730 Third Avenue,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 and Chief Financial Officer</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Subscription for Syndax Pharmaceuticals, Inc. Convertible Senior Notes due 2031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right="600"/>
        <w:spacing w:after="0" w:line="262" w:lineRule="auto"/>
        <w:rPr>
          <w:sz w:val="20"/>
          <w:szCs w:val="20"/>
          <w:color w:val="auto"/>
        </w:rPr>
      </w:pPr>
      <w:r>
        <w:rPr>
          <w:rFonts w:ascii="Times New Roman" w:cs="Times New Roman" w:eastAsia="Times New Roman" w:hAnsi="Times New Roman"/>
          <w:sz w:val="18"/>
          <w:szCs w:val="18"/>
          <w:color w:val="auto"/>
        </w:rPr>
        <w:t>Syndax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offering a new series of its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will be convertible into cash, shares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of common stock of the Company, par value $0.0001 per share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or a combination of cash and Underlying Shares, at the Company’s election, in accordance with the terms of the Indenture (as defined below).</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for itself and, on behalf of the accounts (if any)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whom the Investor has been duly authorized to enter into the Subscription (each, including the Investor if it is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may subscribe for and purchase from the Company the Notes for cash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pursuant and subject to the terms and conditions set forth in this agreement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Each Subscriber (other than the Investor) is referred to herein as an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Investor and each Account understands that the Subscriptions are being made without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securities laws of any state of the United States or of any other jurisdiction, and that the Subscriptions are only being made to investors who are institutional “accredited investors” (within the meaning of Rule 501 of Regulation D under the Securities Act) that are also “qualified institutional buyers” (within the meaning of Rule 144A under the Securities Act) in reliance upon an exemption from registration under [Section 4(a)(2)] [that are not U.S. persons (as defined in Rule 902(k) in an offering that complies with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The Subscriptions are described in, and will be made pursuant to, the Indenture relating to the Notes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as of the Closing Date (as defined below)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substantially in the form of the draft Indenture provided to Investor, as supplemented by the Pricing Term Sheet, dated as of the date hereof (the “</w:t>
      </w:r>
      <w:r>
        <w:rPr>
          <w:rFonts w:ascii="Times New Roman" w:cs="Times New Roman" w:eastAsia="Times New Roman" w:hAnsi="Times New Roman"/>
          <w:sz w:val="18"/>
          <w:szCs w:val="18"/>
          <w:b w:val="1"/>
          <w:bCs w:val="1"/>
          <w:color w:val="auto"/>
        </w:rPr>
        <w:t>Pricing Term Sheet</w:t>
      </w:r>
      <w:r>
        <w:rPr>
          <w:rFonts w:ascii="Times New Roman" w:cs="Times New Roman" w:eastAsia="Times New Roman" w:hAnsi="Times New Roman"/>
          <w:sz w:val="18"/>
          <w:szCs w:val="18"/>
          <w:color w:val="auto"/>
        </w:rPr>
        <w:t xml:space="preserve">” and, together with the Indenture,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960" w:right="6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Subscription</w:t>
      </w:r>
      <w:r>
        <w:rPr>
          <w:rFonts w:ascii="Times New Roman" w:cs="Times New Roman" w:eastAsia="Times New Roman" w:hAnsi="Times New Roman"/>
          <w:sz w:val="18"/>
          <w:szCs w:val="18"/>
          <w:color w:val="auto"/>
        </w:rPr>
        <w:t xml:space="preserve">. Subject to the terms and conditions of this Subscription Agreement, the Investor hereby agrees to purchase from the Company, and the Company hereby agrees to issue and sell to the Investor and/or any such Account, Notes having an aggregate principal amount as set forth in column 2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an aggregate purchase price in cash in respect of such Notes as set forth in column 3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aggregate cash purchase price, the “</w:t>
      </w:r>
      <w:r>
        <w:rPr>
          <w:rFonts w:ascii="Times New Roman" w:cs="Times New Roman" w:eastAsia="Times New Roman" w:hAnsi="Times New Roman"/>
          <w:sz w:val="18"/>
          <w:szCs w:val="18"/>
          <w:b w:val="1"/>
          <w:bCs w:val="1"/>
          <w:color w:val="auto"/>
        </w:rPr>
        <w:t>Cash Purchase Price</w:t>
      </w:r>
      <w:r>
        <w:rPr>
          <w:rFonts w:ascii="Times New Roman" w:cs="Times New Roman" w:eastAsia="Times New Roman" w:hAnsi="Times New Roman"/>
          <w:sz w:val="18"/>
          <w:szCs w:val="18"/>
          <w:color w:val="auto"/>
        </w:rPr>
        <w:t>”). For the avoidance of doubt, such Cash Purchase Price shall not be adjusted for accrued interest if the Closing (as defined below) occurs after June 10, 2026.</w:t>
      </w:r>
    </w:p>
    <w:p>
      <w:pPr>
        <w:spacing w:after="0" w:line="8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of the Subscriptions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electronically at 10:00 AM, New York City time, on</w:t>
      </w:r>
    </w:p>
    <w:p>
      <w:pPr>
        <w:spacing w:after="0" w:line="31" w:lineRule="exact"/>
        <w:rPr>
          <w:rFonts w:ascii="Times New Roman" w:cs="Times New Roman" w:eastAsia="Times New Roman" w:hAnsi="Times New Roman"/>
          <w:sz w:val="18"/>
          <w:szCs w:val="18"/>
          <w:color w:val="auto"/>
        </w:rPr>
      </w:pPr>
    </w:p>
    <w:p>
      <w:pPr>
        <w:ind w:left="9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10, 2026, or at such other time and place as the Company may designate by notice to the Investor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that the Closing Date cannot be later than June 30, 2026 without the prior written consent of the Investor.</w:t>
      </w:r>
    </w:p>
    <w:p>
      <w:pPr>
        <w:spacing w:after="0" w:line="8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Mechanics</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will act as securities depositary for the Notes.</w:t>
      </w:r>
    </w:p>
    <w:p>
      <w:pPr>
        <w:sectPr>
          <w:pgSz w:w="11900" w:h="16838" w:orient="portrait"/>
          <w:cols w:equalWidth="0" w:num="1">
            <w:col w:w="11020"/>
          </w:cols>
          <w:pgMar w:left="440" w:top="117" w:right="439" w:bottom="1440" w:gutter="0" w:footer="0" w:header="0"/>
        </w:sectPr>
      </w:pPr>
    </w:p>
    <w:bookmarkStart w:id="7" w:name="page8"/>
    <w:bookmarkEnd w:id="7"/>
    <w:p>
      <w:pPr>
        <w:ind w:left="1540" w:right="260" w:hanging="533"/>
        <w:spacing w:after="0" w:line="26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or prior to the times set forth in the Subscription Procedures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the Investor, on behalf of itself and/or any other Account, shall transfer the Cash Purchase Price by wire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the account of the Company designated in the Subscription Procedures.</w:t>
      </w:r>
    </w:p>
    <w:p>
      <w:pPr>
        <w:spacing w:after="0" w:line="80" w:lineRule="exact"/>
        <w:rPr>
          <w:rFonts w:ascii="Times New Roman" w:cs="Times New Roman" w:eastAsia="Times New Roman" w:hAnsi="Times New Roman"/>
          <w:sz w:val="18"/>
          <w:szCs w:val="18"/>
          <w:color w:val="auto"/>
        </w:rPr>
      </w:pPr>
    </w:p>
    <w:p>
      <w:pPr>
        <w:ind w:left="1540" w:right="20" w:hanging="533"/>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subject to satisfaction of the conditions precedent specified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prior receipt by the Company of the Cash Purchase Price from the Investor on behalf of each Subscriber, the Company shall (i) execute and deliver the Indenture, dated as of the Closing Date, between the Company and the Trustee and (ii) execute, cause the Trustee to authenticate and cause to be delivered to the DTC account(s) specified by the Investor or the relevant Account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hereto, the Notes.</w:t>
      </w:r>
    </w:p>
    <w:p>
      <w:pPr>
        <w:spacing w:after="0" w:line="75"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All questions as to the form of all documents and the validity and acceptance of the Notes will be determined by the Company, in its sole discretion, which determination shall be final and binding.</w:t>
      </w:r>
    </w:p>
    <w:p>
      <w:pPr>
        <w:spacing w:after="0" w:line="67" w:lineRule="exact"/>
        <w:rPr>
          <w:sz w:val="20"/>
          <w:szCs w:val="20"/>
          <w:color w:val="auto"/>
        </w:rPr>
      </w:pPr>
    </w:p>
    <w:p>
      <w:pPr>
        <w:ind w:left="540" w:right="120" w:hanging="532"/>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Investor (and each Account, as applicable) that:</w:t>
      </w:r>
    </w:p>
    <w:p>
      <w:pPr>
        <w:spacing w:after="0" w:line="65"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The Company is duly organized and is validly existing under the laws of the State of Delaware.</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This Subscription Agreement has been duly authorized, executed and delivered by the Company.</w:t>
      </w:r>
    </w:p>
    <w:p>
      <w:pPr>
        <w:spacing w:after="0" w:line="130" w:lineRule="exact"/>
        <w:rPr>
          <w:rFonts w:ascii="Times New Roman" w:cs="Times New Roman" w:eastAsia="Times New Roman" w:hAnsi="Times New Roman"/>
          <w:sz w:val="18"/>
          <w:szCs w:val="18"/>
          <w:color w:val="auto"/>
        </w:rPr>
      </w:pPr>
    </w:p>
    <w:p>
      <w:pPr>
        <w:ind w:left="1540" w:hanging="533"/>
        <w:spacing w:after="0" w:line="253"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The Notes have been duly authorized by the Company and, when duly executed by the Company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Indenture, assuming due authentication of the Notes by the Trustee, upon delivery to the Investors in accordance with the terms of the Subscription will be validly issued and delivered and will constitute valid and binding obligations of the Company entitled to the benefits of the Indenture, enforceable against the Company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(collectively, the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The maximum number of Underlying Shares initially issuable upon conversion of the Notes (assuming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in shares of Stock to the maximum extent permitted by the Indenture and taking into account the maximum make-whole adjustment under the Indenture) have been duly and validly authorized and reserved for by the Company and, when issued upon conversion of the Notes in accordance with the terms of the Notes and the Indenture, will be validly issued, fully paid and non-assessable, and the issuance of any Underlying Shares will not be subject to any preemptive, participation, rights of first refusal or similar rights. At or prior to the Closing, a notice for the listing of additional shares covering the Underlying Shares shall have been submitted to the Nasdaq Global Select Market.</w:t>
      </w:r>
    </w:p>
    <w:p>
      <w:pPr>
        <w:spacing w:after="0" w:line="90" w:lineRule="exact"/>
        <w:rPr>
          <w:rFonts w:ascii="Times New Roman" w:cs="Times New Roman" w:eastAsia="Times New Roman" w:hAnsi="Times New Roman"/>
          <w:sz w:val="18"/>
          <w:szCs w:val="18"/>
          <w:color w:val="auto"/>
        </w:rPr>
      </w:pPr>
    </w:p>
    <w:p>
      <w:pPr>
        <w:ind w:left="1540" w:right="120" w:hanging="533"/>
        <w:spacing w:after="0" w:line="258"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The Company has all requisite corporate power and authority to perform its obligations under the Indenture.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has been duly authorized by the Company, and will have been duly executed and delivered by the Company at or prior to the Closing. Assuming due authorization, execution and delivery by the Trustee, the Indenture, upon execution and delivery thereof by the Company, will constitute the valid and binding agreement of the Company, enforceable against the Company in accordance with its terms, subject to the Enforceability Exceptions.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60" w:top="266" w:right="479" w:bottom="1440" w:gutter="0" w:footer="0" w:header="0"/>
        </w:sectPr>
      </w:pPr>
    </w:p>
    <w:bookmarkStart w:id="8" w:name="page9"/>
    <w:bookmarkEnd w:id="8"/>
    <w:p>
      <w:pPr>
        <w:ind w:left="1540" w:right="140" w:hanging="533"/>
        <w:spacing w:after="0" w:line="258"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Exemption from Registration. </w:t>
      </w:r>
      <w:r>
        <w:rPr>
          <w:rFonts w:ascii="Times New Roman" w:cs="Times New Roman" w:eastAsia="Times New Roman" w:hAnsi="Times New Roman"/>
          <w:sz w:val="18"/>
          <w:szCs w:val="18"/>
          <w:color w:val="auto"/>
        </w:rPr>
        <w:t>Assuming the accuracy of the representations and warranties of the Investor and each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executing a subscription agreement in substantially the same form as this Subscription Agreement, (1) the issuance of the Notes in connection with the Subscription pursuant to this Subscription Agreement is exempt from the registration requirements of the Securities Act; and (2) the Indenture is not required to be qualified under the Trust Indenture Act of 1939, as amended.</w:t>
      </w:r>
    </w:p>
    <w:p>
      <w:pPr>
        <w:spacing w:after="0" w:line="88" w:lineRule="exact"/>
        <w:rPr>
          <w:rFonts w:ascii="Times New Roman" w:cs="Times New Roman" w:eastAsia="Times New Roman" w:hAnsi="Times New Roman"/>
          <w:sz w:val="18"/>
          <w:szCs w:val="18"/>
          <w:color w:val="auto"/>
        </w:rPr>
      </w:pPr>
    </w:p>
    <w:p>
      <w:pPr>
        <w:ind w:left="1540" w:right="220" w:hanging="533"/>
        <w:spacing w:after="0" w:line="267"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Class. </w:t>
      </w:r>
      <w:r>
        <w:rPr>
          <w:rFonts w:ascii="Times New Roman" w:cs="Times New Roman" w:eastAsia="Times New Roman" w:hAnsi="Times New Roman"/>
          <w:sz w:val="18"/>
          <w:szCs w:val="18"/>
          <w:color w:val="auto"/>
        </w:rPr>
        <w:t>The Notes, when issued, will not be of the same class as securities listed on a national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Section 6 of the Securities Exchange Act of 1934, as amended, or quoted in a U.S. automated inter-dealer quotation system, within the meaning of Rule 144A(d)(3)(i) under the Securities Act.</w:t>
      </w:r>
    </w:p>
    <w:p>
      <w:pPr>
        <w:spacing w:after="0" w:line="78" w:lineRule="exact"/>
        <w:rPr>
          <w:rFonts w:ascii="Times New Roman" w:cs="Times New Roman" w:eastAsia="Times New Roman" w:hAnsi="Times New Roman"/>
          <w:sz w:val="18"/>
          <w:szCs w:val="18"/>
          <w:color w:val="auto"/>
        </w:rPr>
      </w:pPr>
    </w:p>
    <w:p>
      <w:pPr>
        <w:ind w:left="1540" w:right="20" w:hanging="533"/>
        <w:spacing w:after="0" w:line="25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issuance of the Notes pursuant to the Transaction Documents, the execution, delivery and performance,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by the Company of its obligations under the Notes, the Indenture and each Subscription Agreement, and the consummation of the transactions contemplated hereby and thereby, will not (i) conflict with or result in a breach or violation of any of the terms or provisions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 of the Company or any of its subsidiaries or (iii) result in any violation of any statute or any judgment, order, decree, rule or regulation of any court or arbitrator or federal, state, local or foreign governmental agency or regulatory authority having jurisdiction over the properties or assets of the Company or any of its subsidiaries or any of their properties or assets, except, with respect to clauses (i) and (iii), conflicts, breaches, violations, impositions or defaults that would not reasonably be expected to have a material adverse effect on the financial condition, results of operations, stockholders’ equity, properties or business of the Company and its subsidiaries taken as a whole or a material adverse effect on the performance by the Company of its obligations under any Subscription Agreement, the Indenture or the Notes or the consummation of any of the transactions contemplated hereby or thereby.</w:t>
      </w:r>
    </w:p>
    <w:p>
      <w:pPr>
        <w:spacing w:after="0" w:line="100" w:lineRule="exact"/>
        <w:rPr>
          <w:rFonts w:ascii="Times New Roman" w:cs="Times New Roman" w:eastAsia="Times New Roman" w:hAnsi="Times New Roman"/>
          <w:sz w:val="18"/>
          <w:szCs w:val="18"/>
          <w:color w:val="auto"/>
        </w:rPr>
      </w:pPr>
    </w:p>
    <w:p>
      <w:pPr>
        <w:ind w:left="1540" w:right="40" w:hanging="533"/>
        <w:spacing w:after="0" w:line="255"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On each of the date hereof and immediately after giving effect to the Subscriptions on the Closing Date, (A)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fair market value (or present fair saleable value) of the total assets of Company and its subsidiaries taken as a whole is not less than the total amount required to pay the probable total liabilities (including contingent liabilities) of the Company and its subsidiaries taken as a whole as they mature and become absolute, (B) the capital of the Company and its subsidiaries taken as a whole is adequate to conduct the Company’s and its subsidiaries’ businesses and for the Company to enter into the Subscriptions, (C) the Company and its subsidiaries taken as a whole has the ability to pay its debts and obligations as such debts mature, and (D) the Company and its subsidiaries taken as a whole is not “insolvent” (as such term is defined under Section 101(32) of the U.S. Bankruptcy Code (Title 11 of the United States Code)).</w:t>
      </w:r>
    </w:p>
    <w:p>
      <w:pPr>
        <w:spacing w:after="0" w:line="90" w:lineRule="exact"/>
        <w:rPr>
          <w:rFonts w:ascii="Times New Roman" w:cs="Times New Roman" w:eastAsia="Times New Roman" w:hAnsi="Times New Roman"/>
          <w:sz w:val="18"/>
          <w:szCs w:val="18"/>
          <w:color w:val="auto"/>
        </w:rPr>
      </w:pPr>
    </w:p>
    <w:p>
      <w:pPr>
        <w:ind w:left="1540" w:right="200" w:hanging="533"/>
        <w:spacing w:after="0" w:line="284"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The Company acknowledges that the terms of the Subscriptions have been mutually negotiated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w:t>
      </w:r>
    </w:p>
    <w:p>
      <w:pPr>
        <w:spacing w:after="0" w:line="65"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Investor</w:t>
      </w:r>
      <w:r>
        <w:rPr>
          <w:rFonts w:ascii="Times New Roman" w:cs="Times New Roman" w:eastAsia="Times New Roman" w:hAnsi="Times New Roman"/>
          <w:sz w:val="18"/>
          <w:szCs w:val="18"/>
          <w:color w:val="auto"/>
        </w:rPr>
        <w:t>. The Investor hereby represents and warrants to and covenants with the Company, on behalf of itself and each Account, as applicable, that:</w:t>
      </w:r>
    </w:p>
    <w:p>
      <w:pPr>
        <w:spacing w:after="0" w:line="67" w:lineRule="exact"/>
        <w:rPr>
          <w:rFonts w:ascii="Times New Roman" w:cs="Times New Roman" w:eastAsia="Times New Roman" w:hAnsi="Times New Roman"/>
          <w:sz w:val="18"/>
          <w:szCs w:val="18"/>
          <w:color w:val="auto"/>
        </w:rPr>
      </w:pPr>
    </w:p>
    <w:p>
      <w:pPr>
        <w:ind w:left="1540" w:right="100" w:hanging="533"/>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 corporation, limited partnership, limited liability company or other entity, as the case may be, duly formed, validly existing and in good standing under the laws of the jurisdiction of its incorporation, organization or formation, as applicable.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68" w:right="459" w:bottom="1440" w:gutter="0" w:footer="0" w:header="0"/>
        </w:sectPr>
      </w:pPr>
    </w:p>
    <w:bookmarkStart w:id="9" w:name="page10"/>
    <w:bookmarkEnd w:id="9"/>
    <w:p>
      <w:pPr>
        <w:ind w:left="960" w:right="20" w:hanging="533"/>
        <w:spacing w:after="0" w:line="255"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Subscription Agreement, when executed and delivered, has been duly authorized, executed and delivered by the Investor and constitutes the valid and binding obligation of the Investor, enforceable in accordance with its terms, except that such enforcement may be subject to the Enforceability Exceptions. If the Investor is executing this Subscription Agreement on behalf of an Account, (i) the Investor has all requisite discretionary and contractual authority to enter into this Subscription Agreement on behalf of, and, bind, each Account to the terms of this Subscription Agreement, and (ii)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is a true, correct and complete list of the name of each Subscriber and the aggregate principal amount of Notes each such Subscriber agrees to purchase hereunder.</w:t>
      </w:r>
    </w:p>
    <w:p>
      <w:pPr>
        <w:spacing w:after="0" w:line="94" w:lineRule="exact"/>
        <w:rPr>
          <w:rFonts w:ascii="Times New Roman" w:cs="Times New Roman" w:eastAsia="Times New Roman" w:hAnsi="Times New Roman"/>
          <w:sz w:val="18"/>
          <w:szCs w:val="18"/>
          <w:color w:val="auto"/>
        </w:rPr>
      </w:pPr>
    </w:p>
    <w:p>
      <w:pPr>
        <w:ind w:left="960" w:right="200" w:hanging="533"/>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Subscriptions will not contravene (1) any law, rule, regulation or governmental or judicial decrees, injunctions or orders binding on the Investor or any Account or any investment guideline or restriction applicable to the Investor (or, if applicable, any Account), (2) the charter or bylaws (or equivalent organizational documents) of the Investor (or, if applicable, any Account) or (3) any agreement or instrument to which the Investor or any Account is a party or by which the Investor or any Account or any of their respective assets are bound.</w:t>
      </w:r>
    </w:p>
    <w:p>
      <w:pPr>
        <w:spacing w:after="0" w:line="88" w:lineRule="exact"/>
        <w:rPr>
          <w:rFonts w:ascii="Times New Roman" w:cs="Times New Roman" w:eastAsia="Times New Roman" w:hAnsi="Times New Roman"/>
          <w:sz w:val="18"/>
          <w:szCs w:val="18"/>
          <w:color w:val="auto"/>
        </w:rPr>
      </w:pPr>
    </w:p>
    <w:p>
      <w:pPr>
        <w:ind w:left="960" w:right="280" w:hanging="533"/>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(or applicable Account) is a resident of the jurisdiction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unless otherwise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applicable, is not acquiring the Notes as a nominee or agent or otherwise for any other person.</w:t>
      </w:r>
    </w:p>
    <w:p>
      <w:pPr>
        <w:spacing w:after="0" w:line="67" w:lineRule="exact"/>
        <w:rPr>
          <w:rFonts w:ascii="Times New Roman" w:cs="Times New Roman" w:eastAsia="Times New Roman" w:hAnsi="Times New Roman"/>
          <w:sz w:val="18"/>
          <w:szCs w:val="18"/>
          <w:color w:val="auto"/>
        </w:rPr>
      </w:pPr>
    </w:p>
    <w:p>
      <w:pPr>
        <w:ind w:left="960" w:right="20" w:hanging="533"/>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will comply with all applicable laws and regulations in effect in any jurisdiction in which the Investor or such Account purchases or acquires pursuant to the Subscription or sells Notes and will obtain any consent, approval or permission required for such purchases, acquisitions or sales under the laws and regulations of any jurisdiction to which the Investor or such Account is subject or in which the Investor or such Account makes such purchases, acquisitions or sales, and the Company shall not have any responsibility therefor.</w:t>
      </w:r>
    </w:p>
    <w:p>
      <w:pPr>
        <w:spacing w:after="0" w:line="88" w:lineRule="exact"/>
        <w:rPr>
          <w:rFonts w:ascii="Times New Roman" w:cs="Times New Roman" w:eastAsia="Times New Roman" w:hAnsi="Times New Roman"/>
          <w:sz w:val="18"/>
          <w:szCs w:val="18"/>
          <w:color w:val="auto"/>
        </w:rPr>
      </w:pPr>
    </w:p>
    <w:p>
      <w:pPr>
        <w:ind w:left="960" w:hanging="533"/>
        <w:spacing w:after="0" w:line="271"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each Account has received a copy of the Transaction Documents. The Investor acknowledges that: (1) no person has been authorized to give any information or to make any representation concerning the Subscriptions or the Company or any of its subsidiaries, other than as contained in this Subscription Agreement or the Transaction Documents or in the information given by the Company’s duly authorized officers and employees in connection with the Investor’s examination of the Company and its subsidiaries and the terms of the Subscriptions; and (2) the Company and its subsidiaries do not take any responsibility for, and cannot provide any assurance as to the reliability of, any other information that may have been provided to the Investor. The Investor hereby acknowledges that J. Wood Capital Advisors LLC (the “</w:t>
      </w:r>
      <w:r>
        <w:rPr>
          <w:rFonts w:ascii="Times New Roman" w:cs="Times New Roman" w:eastAsia="Times New Roman" w:hAnsi="Times New Roman"/>
          <w:sz w:val="17"/>
          <w:szCs w:val="17"/>
          <w:b w:val="1"/>
          <w:bCs w:val="1"/>
          <w:color w:val="auto"/>
        </w:rPr>
        <w:t>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does not take any responsibility for, and can provide no assurance as to the reliability of, the information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Transaction Documents or any such other information provided or deemed provided to the Investor by the Company.</w:t>
      </w:r>
    </w:p>
    <w:p>
      <w:pPr>
        <w:spacing w:after="0" w:line="78" w:lineRule="exact"/>
        <w:rPr>
          <w:rFonts w:ascii="Times New Roman" w:cs="Times New Roman" w:eastAsia="Times New Roman" w:hAnsi="Times New Roman"/>
          <w:sz w:val="17"/>
          <w:szCs w:val="17"/>
          <w:color w:val="auto"/>
        </w:rPr>
      </w:pPr>
    </w:p>
    <w:p>
      <w:pPr>
        <w:ind w:left="960" w:right="40" w:hanging="533"/>
        <w:spacing w:after="0" w:line="253"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understands and accepts that acquiring the Notes in the Subscriptions involves risks. The Investor and each Account has such knowledge, skill and experience in business, financial and investment matters that the Investor and each Account is capable of evaluating the merits and risks of the Subscriptions and an investment in the Notes. With the assistance of its own professional advisors (to the extent the Investor and each Account has deemed appropriate), the Investor and each Account has made its own legal, tax, accounting and financial evaluation of the merits and risks of an investment in the Notes and the consequences of the Subscriptions and this Subscription Agreement. The Investor and each Account has considered the suitability of the Notes as an investment in light of its own circumstances and financial condition, and the Investor is and each Account is able to bear the risks associated with an investment in the Notes. The Investor and each Account understands that it should consult with its own tax advisors in order to determine the U.S. federal, state, local and non-U.S. tax consequences of the ownership, disposition or conversion of the Notes or Underlying Shares, in light of the Investor’s and each Account’s particular circumstances.</w:t>
      </w:r>
    </w:p>
    <w:p>
      <w:pPr>
        <w:spacing w:after="0" w:line="1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10" w:name="page11"/>
    <w:bookmarkEnd w:id="10"/>
    <w:p>
      <w:pPr>
        <w:ind w:left="960" w:right="20" w:hanging="533"/>
        <w:spacing w:after="0" w:line="25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confirms that neither it nor any Account is relying on any communication (written or oral) of the Company or the Placement Agent or any of their respective agents or affiliates as investment advice or as a recommendation to participate in the Subscriptions and receive the Notes pursuant to the terms hereof. The Investor confirms that it has read the Indenture relating to the Notes and has not relied on any statement (written or oral) of the Company, the Placement Agent or any of their respective affiliates as to the terms of the Notes. It is understood that information provided in the Transaction Documents, or by the Company or the Placement Agent or any of their respective agents or affiliates, shall not be considered investment advice or a recommendation with respect to the Subscriptions, and that none of the Company, the Placement Agent or any of their respective agents or affiliates is acting or has acted as an advisor to the Investor or any Account in deciding whether to participate in the Subscriptions.</w:t>
      </w:r>
    </w:p>
    <w:p>
      <w:pPr>
        <w:spacing w:after="0" w:line="93" w:lineRule="exact"/>
        <w:rPr>
          <w:rFonts w:ascii="Times New Roman" w:cs="Times New Roman" w:eastAsia="Times New Roman" w:hAnsi="Times New Roman"/>
          <w:sz w:val="18"/>
          <w:szCs w:val="18"/>
          <w:color w:val="auto"/>
        </w:rPr>
      </w:pPr>
    </w:p>
    <w:p>
      <w:pPr>
        <w:ind w:left="960" w:hanging="533"/>
        <w:spacing w:after="0" w:line="255"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confirms, for itself and for each Account, that neither the Company nor the Placement Agent have (1) given any guarantee or representation as to the potential success, return, effect or benefit (either legal, regulatory, tax, financial, accounting or otherwise) of an investment in the Notes; or (2) made any representation to the Investor regarding the legality of an investment in the Notes under applicable investment guidelines, laws or regulations. In deciding to participate in the Subscriptions, neither the Investor nor any Account is relying on the advice or recommendations of the Company or the Placement Agent, and the Investor and each Account has made its own independent decision that the investment in the Notes is suitable and appropriate for the Investor or such Account.</w:t>
      </w:r>
    </w:p>
    <w:p>
      <w:pPr>
        <w:spacing w:after="0" w:line="94" w:lineRule="exact"/>
        <w:rPr>
          <w:rFonts w:ascii="Times New Roman" w:cs="Times New Roman" w:eastAsia="Times New Roman" w:hAnsi="Times New Roman"/>
          <w:sz w:val="18"/>
          <w:szCs w:val="18"/>
          <w:color w:val="auto"/>
        </w:rPr>
      </w:pPr>
    </w:p>
    <w:p>
      <w:pPr>
        <w:ind w:left="960" w:hanging="533"/>
        <w:spacing w:after="0" w:line="25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is a sophisticated participant in the transactions contemplated hereby and has such knowledge and experience in financial and business matters as to be capable of evaluating the merits and risks of an investment in the Notes, is experienced in investing in capital markets and is able to bear the economic risk of an investment in the Notes. The Investor and each Account is familiar with the business and financial condition and operations of the Company and its subsidiaries and has conducted its own investigation of the Company and its subsidiaries and the Notes and has consulted with its own advisors concerning such matters and shall be responsible for making its own independent investigation and appraisal of the transactions contemplated hereby. The Investor and each Account has had access to the Company’s filings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such other information concerning the Company and its subsidiaries and the Notes as it deems necessary to enable it to make an informed investment decision concerning the Subscriptions. The Investor and each Account has been offered the opportunity to ask questions of the Company and its representatives and has received answers thereto as the Investor or such Account deems necessary to enable it to make an informed investment decision concerning the Subscriptions and the Notes. Neither such inquiries nor any other due diligence investigations conducted by such Investor or its advisors, or its representatives shall modify, amend or affect such Investor’s right to rely on the Company’s representations and warranties contained herein.</w:t>
      </w:r>
    </w:p>
    <w:p>
      <w:pPr>
        <w:spacing w:after="0" w:line="102" w:lineRule="exact"/>
        <w:rPr>
          <w:rFonts w:ascii="Times New Roman" w:cs="Times New Roman" w:eastAsia="Times New Roman" w:hAnsi="Times New Roman"/>
          <w:sz w:val="18"/>
          <w:szCs w:val="18"/>
          <w:color w:val="auto"/>
        </w:rPr>
      </w:pPr>
    </w:p>
    <w:p>
      <w:pPr>
        <w:ind w:left="960" w:right="60" w:hanging="53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understands that no federal, state, local or foreign agency has passed upon the merits or risks of an investment in the Notes or made any finding or determination concerning the fairness or advisability of such investment.</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11" w:name="page12"/>
    <w:bookmarkEnd w:id="11"/>
    <w:p>
      <w:pPr>
        <w:ind w:left="960" w:hanging="533"/>
        <w:spacing w:after="0" w:line="255"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and each Account is an institutional “accredited investor” as defined in Rule 501 of Regulation D under the Securities Act [as well as a “qualified institutional buyer” as defined in Rule 144A under the Securities Act] [and the Investor and each account is not a “U.S. person” (as defined in Regulation S) or purchasing for the account or benefit of a U.S. person, other than a distributor, and the Investor and each account is purchasing the Notes in an offshore transaction in accordance with Regulation S]. The Investor, for itself and on behalf of each Account, agrees to furnish any additional information reasonably requested by the Company or any of its affiliates to assure compliance with applicable U.S. federal and state securities laws in connection with the Subscriptions.</w:t>
      </w:r>
    </w:p>
    <w:p>
      <w:pPr>
        <w:spacing w:after="0" w:line="94" w:lineRule="exact"/>
        <w:rPr>
          <w:rFonts w:ascii="Times New Roman" w:cs="Times New Roman" w:eastAsia="Times New Roman" w:hAnsi="Times New Roman"/>
          <w:sz w:val="18"/>
          <w:szCs w:val="18"/>
          <w:color w:val="auto"/>
        </w:rPr>
      </w:pPr>
    </w:p>
    <w:p>
      <w:pPr>
        <w:ind w:left="960" w:right="100" w:hanging="53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is not directly, or indirectly through one or more intermediaries, controlling or controlled by, or under direct or indirect common control with, the Company and is not, and has not been for the immediately preceding three months, an “affiliate” (within the meaning of Rule 144 under the Securities Act) of the Company.</w:t>
      </w:r>
    </w:p>
    <w:p>
      <w:pPr>
        <w:spacing w:after="0" w:line="81" w:lineRule="exact"/>
        <w:rPr>
          <w:rFonts w:ascii="Times New Roman" w:cs="Times New Roman" w:eastAsia="Times New Roman" w:hAnsi="Times New Roman"/>
          <w:sz w:val="18"/>
          <w:szCs w:val="18"/>
          <w:color w:val="auto"/>
        </w:rPr>
      </w:pPr>
    </w:p>
    <w:p>
      <w:pPr>
        <w:ind w:left="960" w:right="140" w:hanging="533"/>
        <w:spacing w:after="0" w:line="255"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is acquiring the Notes solely for the Investor’s or such Account’s own beneficial account, or for an account with respect to which the Investor or such Account exercises sole investment discretion, for investment purposes, and not with a view to, or for resale in connection with, any distribution of the Notes. The Investor and each Account understands that the offer and sale of the Notes have not been registered under the Securities Act or any state securities laws by reason of specific exemptions under the provisions thereof that depend in part upon the investment intent of the Investor or each Account and the accuracy of the other representations made by the Investor and each Account in this Subscription Agreement.</w:t>
      </w:r>
    </w:p>
    <w:p>
      <w:pPr>
        <w:spacing w:after="0" w:line="94" w:lineRule="exact"/>
        <w:rPr>
          <w:rFonts w:ascii="Times New Roman" w:cs="Times New Roman" w:eastAsia="Times New Roman" w:hAnsi="Times New Roman"/>
          <w:sz w:val="18"/>
          <w:szCs w:val="18"/>
          <w:color w:val="auto"/>
        </w:rPr>
      </w:pPr>
    </w:p>
    <w:p>
      <w:pPr>
        <w:ind w:left="960" w:right="140" w:hanging="533"/>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and each Account understands that the Company is relying upon the representations and agreements contained in this Subscription Agreement (and any supplemental information) for the purpose of determining whether the Investor’s and such Account’s participation in the Subscriptions meets the requirements for the exemptions referenced in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left="9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 In addition, the Investor and each Account acknowledges and agrees that any hedging transactions engaged in by the Investor or such Account after such Investor or Account was wall crossed and prior to the Closing in connection with the issuance and sale of the Notes have been and will be conducted in compliance with the Securities Act and the rules and regulations promulgated thereunder.</w:t>
      </w:r>
    </w:p>
    <w:p>
      <w:pPr>
        <w:spacing w:after="0" w:line="94" w:lineRule="exact"/>
        <w:rPr>
          <w:rFonts w:ascii="Times New Roman" w:cs="Times New Roman" w:eastAsia="Times New Roman" w:hAnsi="Times New Roman"/>
          <w:sz w:val="18"/>
          <w:szCs w:val="18"/>
          <w:color w:val="auto"/>
        </w:rPr>
      </w:pPr>
    </w:p>
    <w:p>
      <w:pPr>
        <w:ind w:left="960" w:right="40" w:hanging="533"/>
        <w:spacing w:after="0" w:line="254"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acknowledges that neither the Notes nor the Underlying Shares have been registered under the Securities Act. As a result, the Notes, and if converted to Underlying Shares, the Underlying Shares, may not be offered or sold within the United States or to, or for the account or benefit of, U.S. persons, except pursuant to an exemption from, or in a transaction not subject to, the registration requirements of the Securities Act as described in the Indenture (including, but not limited to, the Restricted Note Legend and the Restricted Stock Legend (each as defined in the Indenture) and</w:t>
      </w:r>
    </w:p>
    <w:p>
      <w:pPr>
        <w:spacing w:after="0" w:line="3" w:lineRule="exact"/>
        <w:rPr>
          <w:rFonts w:ascii="Times New Roman" w:cs="Times New Roman" w:eastAsia="Times New Roman" w:hAnsi="Times New Roman"/>
          <w:sz w:val="18"/>
          <w:szCs w:val="18"/>
          <w:color w:val="auto"/>
        </w:rPr>
      </w:pPr>
    </w:p>
    <w:p>
      <w:pPr>
        <w:ind w:left="9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 of the Indenture), and the Investor, for itself and on behalf of each Account, hereby agrees that neither it nor any Account will sell the Notes nor the Underlying Shares other than in compliance with such transfer restrictions. Further, the Investor and each Account acknowledges that (1) the Notes and, if converted to the Underlying Shares, the Underlying Shares, will carry a restrictive legend and (2) the Notes and, if converted to the Underlying Shares, the Underlying Shares, will be designated with a restricted CUSIP number, in each case until such time as the restrictive legend can be removed in the Company’s reasonable judgment or as otherwise required by the Indenture. [The Investor and each Account acknowledges that hedging transactions involving the Notes and the Underlying Shares may not be conducted unless in compliance with the Securities Act.]</w:t>
      </w:r>
    </w:p>
    <w:p>
      <w:pPr>
        <w:spacing w:after="0" w:line="99" w:lineRule="exact"/>
        <w:rPr>
          <w:rFonts w:ascii="Times New Roman" w:cs="Times New Roman" w:eastAsia="Times New Roman" w:hAnsi="Times New Roman"/>
          <w:sz w:val="18"/>
          <w:szCs w:val="18"/>
          <w:color w:val="auto"/>
        </w:rPr>
      </w:pPr>
    </w:p>
    <w:p>
      <w:pPr>
        <w:ind w:left="960" w:right="80" w:hanging="53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acknowledges that the terms of the Subscriptions have been mutually negotiated between the Investor (for itself and on behalf of each Account), and the Company. The Investor was given a meaningful opportunity to negotiate the terms of the Subscriptions on behalf of itself and each Account.</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40" w:top="270" w:right="439" w:bottom="1440" w:gutter="0" w:footer="0" w:header="0"/>
        </w:sectPr>
      </w:pPr>
    </w:p>
    <w:bookmarkStart w:id="12" w:name="page13"/>
    <w:bookmarkEnd w:id="12"/>
    <w:p>
      <w:pPr>
        <w:ind w:left="1540" w:hanging="533"/>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and each Account acknowledges the Company intends to pay an advisory fee to the Placement Agent.</w:t>
      </w:r>
    </w:p>
    <w:p>
      <w:pPr>
        <w:spacing w:after="0" w:line="130" w:lineRule="exact"/>
        <w:rPr>
          <w:rFonts w:ascii="Times New Roman" w:cs="Times New Roman" w:eastAsia="Times New Roman" w:hAnsi="Times New Roman"/>
          <w:sz w:val="18"/>
          <w:szCs w:val="18"/>
          <w:color w:val="auto"/>
        </w:rPr>
      </w:pPr>
    </w:p>
    <w:p>
      <w:pPr>
        <w:ind w:left="1540" w:right="380" w:hanging="533"/>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will, for itself and on behalf of each Account, upon request, execute and deliver any additional documents, information or certifications reasonably requested by the Company or the Trustee to complete the Subscriptions.</w:t>
      </w:r>
    </w:p>
    <w:p>
      <w:pPr>
        <w:spacing w:after="0" w:line="67" w:lineRule="exact"/>
        <w:rPr>
          <w:rFonts w:ascii="Times New Roman" w:cs="Times New Roman" w:eastAsia="Times New Roman" w:hAnsi="Times New Roman"/>
          <w:sz w:val="18"/>
          <w:szCs w:val="18"/>
          <w:color w:val="auto"/>
        </w:rPr>
      </w:pPr>
    </w:p>
    <w:p>
      <w:pPr>
        <w:jc w:val="both"/>
        <w:ind w:left="1540" w:right="80" w:hanging="533"/>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understands that, unless the Investor notifies the Company in writing to the contrary prior to the Closing, each of the Investor’s representations and warranties contained in this Subscription Agreement will be deemed to have been reaffirmed and confirmed as of the Closing, taking into account all information received by the Investor.</w:t>
      </w:r>
    </w:p>
    <w:p>
      <w:pPr>
        <w:spacing w:after="0" w:line="81" w:lineRule="exact"/>
        <w:rPr>
          <w:rFonts w:ascii="Times New Roman" w:cs="Times New Roman" w:eastAsia="Times New Roman" w:hAnsi="Times New Roman"/>
          <w:sz w:val="18"/>
          <w:szCs w:val="18"/>
          <w:color w:val="auto"/>
        </w:rPr>
      </w:pPr>
    </w:p>
    <w:p>
      <w:pPr>
        <w:ind w:left="1540" w:right="40" w:hanging="533"/>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and each Account had a sufficient amount of time to consider whether to participate in the Subscriptions. The Investor acknowledges that neither it nor any Account became aware of the Subscriptions through any form of general solicitation or advertising within the meaning of Rule 502 under the Securities Act.</w:t>
      </w:r>
    </w:p>
    <w:p>
      <w:pPr>
        <w:spacing w:after="0" w:line="81" w:lineRule="exact"/>
        <w:rPr>
          <w:rFonts w:ascii="Times New Roman" w:cs="Times New Roman" w:eastAsia="Times New Roman" w:hAnsi="Times New Roman"/>
          <w:sz w:val="18"/>
          <w:szCs w:val="18"/>
          <w:color w:val="auto"/>
        </w:rPr>
      </w:pPr>
    </w:p>
    <w:p>
      <w:pPr>
        <w:ind w:left="1540" w:right="80" w:hanging="533"/>
        <w:spacing w:after="0" w:line="254"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Investor and each Account have been conducted in material compliance with the rules and regulations administered or conducted by the U.S. Department of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rules and regulations of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the Anti-Money Laundering (“</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rules in the Bank Secrecy Act applicable to the Investor. The Investor has performed due diligence necessary to reasonably determine that its (or, where applicable, any Account’s) beneficial owners are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are not otherwise the subject of Sanctions and have not been found to be in violation or under suspicion of violating OFAC, FCPA or AML rules and regulations.</w:t>
      </w:r>
    </w:p>
    <w:p>
      <w:pPr>
        <w:spacing w:after="0" w:line="97" w:lineRule="exact"/>
        <w:rPr>
          <w:rFonts w:ascii="Times New Roman" w:cs="Times New Roman" w:eastAsia="Times New Roman" w:hAnsi="Times New Roman"/>
          <w:sz w:val="18"/>
          <w:szCs w:val="18"/>
          <w:color w:val="auto"/>
        </w:rPr>
      </w:pPr>
    </w:p>
    <w:p>
      <w:pPr>
        <w:ind w:left="1540" w:hanging="533"/>
        <w:spacing w:after="0" w:line="254"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acknowledges and agrees that the Placement Agent has not acted as a financial advisor or fiduciary to the Investor or such Account and that the Placement Agent and its respective directors, officers, employees, representatives and controlling persons have no responsibility for making, and have not made, any independent investigation of the information contained herein or in the Company’s SEC filings and make no representation or warranty to the Investor or such Account, express or implied, with respect to the Company or the Subscriptions or the accuracy, completeness or adequacy of the information provided to the Investor or the Account or any other publicly available information, nor will any of the foregoing persons be liable for any loss or damages of any kind resulting from the use of the information contained therein or otherwise supplied to the Investor or such Account.</w:t>
      </w:r>
    </w:p>
    <w:p>
      <w:pPr>
        <w:spacing w:after="0" w:line="97" w:lineRule="exact"/>
        <w:rPr>
          <w:rFonts w:ascii="Times New Roman" w:cs="Times New Roman" w:eastAsia="Times New Roman" w:hAnsi="Times New Roman"/>
          <w:sz w:val="18"/>
          <w:szCs w:val="18"/>
          <w:color w:val="auto"/>
        </w:rPr>
      </w:pPr>
    </w:p>
    <w:p>
      <w:pPr>
        <w:ind w:left="1540" w:right="460" w:hanging="533"/>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each Account acknowledges and agrees that no public market exists for the Notes and that there is no assurance that a public market will ever develop for the Notes.</w:t>
      </w:r>
    </w:p>
    <w:p>
      <w:pPr>
        <w:spacing w:after="0" w:line="67"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Obligations of the Investor and the Company</w:t>
      </w:r>
      <w:r>
        <w:rPr>
          <w:rFonts w:ascii="Times New Roman" w:cs="Times New Roman" w:eastAsia="Times New Roman" w:hAnsi="Times New Roman"/>
          <w:sz w:val="18"/>
          <w:szCs w:val="18"/>
          <w:color w:val="auto"/>
        </w:rPr>
        <w:t xml:space="preserve">. The obligations of the Investor to deliver, or to cause the Accounts to deliver, the Cash Purchase Price and of the Company to deliver the Notes are subject to the satisfaction at or prior to the Closing of the condition precedent that the representations and warranties of the Company on the one hand, and of the Investor on the other contained in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respectively, shall be true and correct as of the Closing in all material respects with the same effect as though such representations and warranties had been made as of the Closing.</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13" w:name="page14"/>
    <w:bookmarkEnd w:id="13"/>
    <w:p>
      <w:pPr>
        <w:ind w:left="540" w:hanging="532"/>
        <w:spacing w:after="0" w:line="254"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 and Acknowledgment of the Company</w:t>
      </w:r>
      <w:r>
        <w:rPr>
          <w:rFonts w:ascii="Times New Roman" w:cs="Times New Roman" w:eastAsia="Times New Roman" w:hAnsi="Times New Roman"/>
          <w:sz w:val="18"/>
          <w:szCs w:val="18"/>
          <w:color w:val="auto"/>
        </w:rPr>
        <w:t>. The Company hereby agrees to publicly disclose at or prior to 9:00 a.m., New York City time (the “</w:t>
      </w:r>
      <w:r>
        <w:rPr>
          <w:rFonts w:ascii="Times New Roman" w:cs="Times New Roman" w:eastAsia="Times New Roman" w:hAnsi="Times New Roman"/>
          <w:sz w:val="18"/>
          <w:szCs w:val="18"/>
          <w:b w:val="1"/>
          <w:bCs w:val="1"/>
          <w:color w:val="auto"/>
        </w:rPr>
        <w:t>Release Time</w:t>
      </w:r>
      <w:r>
        <w:rPr>
          <w:rFonts w:ascii="Times New Roman" w:cs="Times New Roman" w:eastAsia="Times New Roman" w:hAnsi="Times New Roman"/>
          <w:sz w:val="18"/>
          <w:szCs w:val="18"/>
          <w:color w:val="auto"/>
        </w:rPr>
        <w:t>”), on the first business day after the date hereof, the Subscriptions as contemplated by this Subscription Agreement in a press release or through the filing of a Current Report on Form 8-K. The Company hereby acknowledges and agrees that as of the Release Time the Company will disclose all confidential information to the extent the Company believes such confidential information constitutes material non-public information, if any, with respect to the Subscriptions or that was otherwise communicated by the Company to the Investor or any Account in connection with the Subscriptions. For the avoidance of doubt, the Company may be aware of material non-public information regarding the Company at the time of Closing that has not been communicated to the Investor or any Account. The Company will, no later than the first business day following the Closing, file a Current Report on Form 8-K publicly disclosing the closing of the Subscriptions as contemplated by this Subscription Agreement.</w:t>
      </w:r>
    </w:p>
    <w:p>
      <w:pPr>
        <w:spacing w:after="0" w:line="93"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the Investor</w:t>
      </w:r>
      <w:r>
        <w:rPr>
          <w:rFonts w:ascii="Times New Roman" w:cs="Times New Roman" w:eastAsia="Times New Roman" w:hAnsi="Times New Roman"/>
          <w:sz w:val="18"/>
          <w:szCs w:val="18"/>
          <w:color w:val="auto"/>
        </w:rPr>
        <w:t xml:space="preserve">. No later than one (1) business day after the date hereof, the Investor agrees to deliver settlement instructions for each Subscriber to the Company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67"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Neither this Subscription Agreement nor any provisions hereof shall be modified, changed, discharged or terminated except by an instrument in writing, signed by the party against whom any waiver, change, discharge or termination is sought.</w:t>
      </w:r>
    </w:p>
    <w:p>
      <w:pPr>
        <w:spacing w:after="0" w:line="67"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Neither this Subscription Agreement nor any right, remedy, obligation or liability arising hereunder or by reason hereof shall be assignable by the Company or the Investor without the prior written consent of the other party.</w:t>
      </w:r>
    </w:p>
    <w:p>
      <w:pPr>
        <w:spacing w:after="0" w:line="67"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and its agents shall be entitled to deduct and withhold from any amounts payable or deliverable pursuant to the Notes such amounts as are required (as determined in good faith by the applicable withholding agent) to be deducted or withheld under applicable law. To the extent any amounts are withheld and remitted to the appropriate taxing authority (including, for the avoidance of doubt, due to the failure or inability of an Investor (or Account(s) of such Investor, if applicable) to deliver properly completed and duly executed Internal Revenue Service Form W-9 or the appropriate series of Internal Revenue Service Form W-8 (and all required attachments) establishing an exemption from withholding and backup withholding), such amounts shall be treated for all purposes of the Notes as having been paid or delivered to the Subscriber to whom such amounts otherwise would have been paid or delivered. The Investor further acknowledges that any Subscriber may be subject to U.S. federal withholding or backup withholding (currently at rates of 30% and 24%, respectively) on certain payments or deliveries made to such Subscriber unless such Subscriber properly establishes an exemption from, or a reduced rate of, such withholding or backup withholding.</w:t>
      </w:r>
    </w:p>
    <w:p>
      <w:pPr>
        <w:spacing w:after="0" w:line="99" w:lineRule="exact"/>
        <w:rPr>
          <w:rFonts w:ascii="Times New Roman" w:cs="Times New Roman" w:eastAsia="Times New Roman" w:hAnsi="Times New Roman"/>
          <w:sz w:val="18"/>
          <w:szCs w:val="18"/>
          <w:color w:val="auto"/>
        </w:rPr>
      </w:pPr>
    </w:p>
    <w:p>
      <w:pPr>
        <w:jc w:val="both"/>
        <w:ind w:left="540" w:right="360" w:hanging="532"/>
        <w:spacing w:after="0" w:line="289" w:lineRule="auto"/>
        <w:tabs>
          <w:tab w:leader="none" w:pos="5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COMPANY AND THE INVESTOR (FOR ITSELF AND, IF APPLICABLE, ON BEHALF OF EACH ACCOUNT) IRREVOCABLY WAIVES ANY AND ALL RIGHT TO TRIAL BY JURY WITH RESPECT TO ANY LEGAL PROCEEDING ARISING OUT OF THE TRANSACTIONS CONTEMPLATED BY THIS SUBSCRIPTION AGREEMENT.</w:t>
      </w:r>
    </w:p>
    <w:p>
      <w:pPr>
        <w:spacing w:after="0" w:line="63" w:lineRule="exact"/>
        <w:rPr>
          <w:rFonts w:ascii="Times New Roman" w:cs="Times New Roman" w:eastAsia="Times New Roman" w:hAnsi="Times New Roman"/>
          <w:sz w:val="17"/>
          <w:szCs w:val="17"/>
          <w:color w:val="auto"/>
        </w:rPr>
      </w:pPr>
    </w:p>
    <w:p>
      <w:pPr>
        <w:jc w:val="both"/>
        <w:ind w:left="540" w:right="40" w:hanging="532"/>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SUBSCRIPTION AGREEMENT SHALL BE GOVERNED BY AND CONSTRUED IN ACCORDANCE WITH THE LAWS OF THE STATE OF NEW YORK WITHOUT REGARD TO CONFLICT OF LAW PRINCIPLES THAT WOULD RESULT IN THE APPLICATION OF ANY LAW OTHER THAN THE LAW OF THE STATE OF NEW YORK.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14" w:name="page15"/>
    <w:bookmarkEnd w:id="14"/>
    <w:p>
      <w:pPr>
        <w:ind w:left="540" w:right="60" w:hanging="532"/>
        <w:spacing w:after="0" w:line="273" w:lineRule="auto"/>
        <w:tabs>
          <w:tab w:leader="none" w:pos="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Times New Roman" w:cs="Times New Roman" w:eastAsia="Times New Roman" w:hAnsi="Times New Roman"/>
          <w:sz w:val="17"/>
          <w:szCs w:val="17"/>
          <w:color w:val="auto"/>
        </w:rPr>
        <w:t>. Each of the Company and the Investor (for itself and, if applicable, on behalf of each Account) (a) agrees that any legal suit, action or proceeding arising out of or relating to this Subscription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and the Investor (for itself and, if applicable, on behalf of each Account) agrees that a final judgment in any such action or proceeding shall be conclusive and may be enforced in other jurisdictions by suit on the judgment or in any other manner provided by law.</w:t>
      </w:r>
    </w:p>
    <w:p>
      <w:pPr>
        <w:spacing w:after="0" w:line="76" w:lineRule="exact"/>
        <w:rPr>
          <w:rFonts w:ascii="Times New Roman" w:cs="Times New Roman" w:eastAsia="Times New Roman" w:hAnsi="Times New Roman"/>
          <w:sz w:val="17"/>
          <w:szCs w:val="17"/>
          <w:color w:val="auto"/>
        </w:rPr>
      </w:pPr>
    </w:p>
    <w:p>
      <w:pPr>
        <w:ind w:left="540" w:hanging="532"/>
        <w:spacing w:after="0" w:line="258"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Each of the Company and the Investor (for itself and, if applicable, on behalf of each Account) irrevocably and unconditionally waives, to the fullest extent it may legally and effectively do so, any objection which it may now or hereafter have to the laying of venue of any suit, action or proceeding arising out of or relating to this Subscription Agreement in any court referred to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Each of the Company and the Investor (for itself and, if applicable, on behalf of each Account) irrevocably waives, to the fullest extent permitted by law, the defense of an inconvenient forum to the maintenance of such action or proceeding in any such court.</w:t>
      </w:r>
    </w:p>
    <w:p>
      <w:pPr>
        <w:spacing w:after="0" w:line="88" w:lineRule="exact"/>
        <w:rPr>
          <w:rFonts w:ascii="Times New Roman" w:cs="Times New Roman" w:eastAsia="Times New Roman" w:hAnsi="Times New Roman"/>
          <w:sz w:val="18"/>
          <w:szCs w:val="18"/>
          <w:color w:val="auto"/>
        </w:rPr>
      </w:pPr>
    </w:p>
    <w:p>
      <w:pPr>
        <w:ind w:left="540" w:right="80" w:hanging="532"/>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of the Company and the Investor (for itself and, if applicable, on behalf of each Account) irrevocably consents to service of process in the manner provided for notices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Nothing in this Subscription Agreement will affect the right of any party to this Subscription Agreement to serve process in any other manner permitted by law.</w:t>
      </w:r>
    </w:p>
    <w:p>
      <w:pPr>
        <w:spacing w:after="0" w:line="81"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and Other Headings</w:t>
      </w:r>
      <w:r>
        <w:rPr>
          <w:rFonts w:ascii="Times New Roman" w:cs="Times New Roman" w:eastAsia="Times New Roman" w:hAnsi="Times New Roman"/>
          <w:sz w:val="18"/>
          <w:szCs w:val="18"/>
          <w:color w:val="auto"/>
        </w:rPr>
        <w:t>. The section and other headings contained in this Subscription Agreement are for reference purposes only and shall not affect the meaning or interpretation of this Subscription Agreement.</w:t>
      </w:r>
    </w:p>
    <w:p>
      <w:pPr>
        <w:spacing w:after="0" w:line="67" w:lineRule="exact"/>
        <w:rPr>
          <w:rFonts w:ascii="Times New Roman" w:cs="Times New Roman" w:eastAsia="Times New Roman" w:hAnsi="Times New Roman"/>
          <w:sz w:val="18"/>
          <w:szCs w:val="18"/>
          <w:color w:val="auto"/>
        </w:rPr>
      </w:pPr>
    </w:p>
    <w:p>
      <w:pPr>
        <w:ind w:left="540" w:right="160" w:hanging="532"/>
        <w:spacing w:after="0" w:line="25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Subscription Agreement may be executed, either manually or by way of a digital signature provided by Docusign (or similar digital signature provider), by one or more of the parties hereto in any number of separate counterparts (including by facsimile or other electronic means, including telecopy, email or otherwise), and all of said counterparts taken together shall be deemed to constitute one and the same instrument. Delivery of an executed signature page of this Subscription Agreement (whether executed manually or by way of a digital signature as described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by facsimile or other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format) shall be effective as delivery of a manually executed counterpart hereof.</w:t>
      </w:r>
    </w:p>
    <w:p>
      <w:pPr>
        <w:spacing w:after="0" w:line="92"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to the Company provided for herein shall be in writing and shall be deemed to have been duly given if delivered personally or sent by registered or certified mail, return receipt requested, postage prepaid to the following addresses or pursuant to the following email addresses, or, in the case of the Investor or any Account, the address provided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address as either party shall have specified by notice in writing to the other):</w:t>
      </w:r>
    </w:p>
    <w:p>
      <w:pPr>
        <w:sectPr>
          <w:pgSz w:w="11900" w:h="16838" w:orient="portrait"/>
          <w:cols w:equalWidth="0" w:num="1">
            <w:col w:w="10580"/>
          </w:cols>
          <w:pgMar w:left="860" w:top="270" w:right="459" w:bottom="1440" w:gutter="0" w:footer="0" w:header="0"/>
        </w:sectPr>
      </w:pPr>
    </w:p>
    <w:p>
      <w:pPr>
        <w:spacing w:after="0" w:line="20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Syndax Pharmaceuticals,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730 Third Avenue,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720" w:space="720"/>
            <w:col w:w="7140"/>
          </w:cols>
          <w:pgMar w:left="860" w:top="270" w:right="459" w:bottom="1440" w:gutter="0" w:footer="0" w:header="0"/>
          <w:type w:val="continuous"/>
        </w:sectPr>
      </w:pPr>
    </w:p>
    <w:p>
      <w:pPr>
        <w:spacing w:after="0" w:line="47" w:lineRule="exact"/>
        <w:rPr>
          <w:sz w:val="20"/>
          <w:szCs w:val="20"/>
          <w:color w:val="auto"/>
        </w:rPr>
      </w:pPr>
    </w:p>
    <w:p>
      <w:pPr>
        <w:ind w:left="540" w:right="320" w:hanging="53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provisions of this Subscription Agreement shall be binding upon and accrue to the benefit of the parties hereto and their respective heirs, legal representatives, successors and permitted assigns.</w:t>
      </w:r>
    </w:p>
    <w:p>
      <w:pPr>
        <w:spacing w:after="0" w:line="67" w:lineRule="exact"/>
        <w:rPr>
          <w:rFonts w:ascii="Times New Roman" w:cs="Times New Roman" w:eastAsia="Times New Roman" w:hAnsi="Times New Roman"/>
          <w:sz w:val="18"/>
          <w:szCs w:val="18"/>
          <w:color w:val="auto"/>
        </w:rPr>
      </w:pPr>
    </w:p>
    <w:p>
      <w:pPr>
        <w:ind w:left="540" w:right="80" w:hanging="53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Changes</w:t>
      </w:r>
      <w:r>
        <w:rPr>
          <w:rFonts w:ascii="Times New Roman" w:cs="Times New Roman" w:eastAsia="Times New Roman" w:hAnsi="Times New Roman"/>
          <w:sz w:val="18"/>
          <w:szCs w:val="18"/>
          <w:color w:val="auto"/>
        </w:rPr>
        <w:t>. The Investor (for itself and, if applicable, on behalf of each Account) hereby covenants and agrees to notify the Company upon the occurrence of any event prior to the Closing that would cause any representation, warranty, or covenant of the Investor (and/or such Account) contained in this Subscription Agreement to be false or incorrect.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60" w:top="270" w:right="459" w:bottom="1440" w:gutter="0" w:footer="0" w:header="0"/>
          <w:type w:val="continuous"/>
        </w:sectPr>
      </w:pPr>
    </w:p>
    <w:bookmarkStart w:id="15" w:name="page16"/>
    <w:bookmarkEnd w:id="15"/>
    <w:p>
      <w:pPr>
        <w:ind w:left="540" w:hanging="532"/>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Reliance by Placement Agent</w:t>
      </w:r>
      <w:r>
        <w:rPr>
          <w:rFonts w:ascii="Times New Roman" w:cs="Times New Roman" w:eastAsia="Times New Roman" w:hAnsi="Times New Roman"/>
          <w:sz w:val="18"/>
          <w:szCs w:val="18"/>
          <w:color w:val="auto"/>
        </w:rPr>
        <w:t xml:space="preserve">. The Placement Agent may rely on each representation and warranty of the Company and the Investor made herein or pursuant to the terms hereof (including, without limitation, in any officer’s certificate delivered pursuant to the terms hereof) with the same force and effect as if such representation or warranty were made directly to the Placement Agent. The Placement Agent shall be a third party beneficiary to this Subscription Agreement to the extent provided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0" w:right="160" w:hanging="532"/>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Subscription Agreement constitutes the entire agreement between the Company and the Investor (for itself and, if applicable, on behalf of each Account) with respect to the subject matters hereof.</w:t>
      </w:r>
    </w:p>
    <w:p>
      <w:pPr>
        <w:spacing w:after="0" w:line="67" w:lineRule="exact"/>
        <w:rPr>
          <w:rFonts w:ascii="Times New Roman" w:cs="Times New Roman" w:eastAsia="Times New Roman" w:hAnsi="Times New Roman"/>
          <w:sz w:val="18"/>
          <w:szCs w:val="18"/>
          <w:color w:val="auto"/>
        </w:rPr>
      </w:pPr>
    </w:p>
    <w:p>
      <w:pPr>
        <w:ind w:left="540" w:right="300" w:hanging="532"/>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(in whole or in part) of this Subscription Agreement is invalid, illegal or unenforceable in any jurisdiction, such invalidity, illegality or unenforceability shall not affect any other term or provision of this Subscription Agreement or invalidate or render unenforceable such term or provision in any other jurisdiction.</w:t>
      </w:r>
    </w:p>
    <w:p>
      <w:pPr>
        <w:spacing w:after="0" w:line="1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60" w:top="270" w:right="45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Investor (for itself and, if applicable, on behalf of each Account) has executed this Subscription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Legal Name of Executing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Legal Name: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Syndax Pharmaceuticals,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18" w:name="page19"/>
    <w:bookmarkEnd w:id="18"/>
    <w:p>
      <w:pPr>
        <w:ind w:left="4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SUBSCRIPTION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Participating Accounts, Allocation of Aggregate Principal Amount of Notes and Cash Purchase Price:</w:t>
      </w:r>
    </w:p>
    <w:p>
      <w:pPr>
        <w:spacing w:after="0" w:line="200" w:lineRule="exact"/>
        <w:rPr>
          <w:sz w:val="20"/>
          <w:szCs w:val="20"/>
          <w:color w:val="auto"/>
        </w:rPr>
      </w:pPr>
    </w:p>
    <w:p>
      <w:pPr>
        <w:spacing w:after="0" w:line="3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Name of</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5080</wp:posOffset>
            </wp:positionV>
            <wp:extent cx="531495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287655</wp:posOffset>
            </wp:positionV>
            <wp:extent cx="53149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561975</wp:posOffset>
            </wp:positionV>
            <wp:extent cx="53149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836295</wp:posOffset>
            </wp:positionV>
            <wp:extent cx="53149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1110615</wp:posOffset>
            </wp:positionV>
            <wp:extent cx="53149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3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1085850</wp:posOffset>
            </wp:positionV>
            <wp:extent cx="122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2255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25550" cy="26035"/>
                    </a:xfrm>
                    <a:prstGeom prst="rect">
                      <a:avLst/>
                    </a:prstGeom>
                    <a:noFill/>
                  </pic:spPr>
                </pic:pic>
              </a:graphicData>
            </a:graphic>
          </wp:anchor>
        </w:drawing>
      </w:r>
    </w:p>
    <w:p>
      <w:pPr>
        <w:sectPr>
          <w:pgSz w:w="11900" w:h="16838" w:orient="portrait"/>
          <w:cols w:equalWidth="0" w:num="2">
            <w:col w:w="7340" w:space="360"/>
            <w:col w:w="2319"/>
          </w:cols>
          <w:pgMar w:left="440" w:top="266" w:right="1440"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NOTICE OF SUBSCRIPTION PROCEDURES</w:t>
      </w:r>
    </w:p>
    <w:p>
      <w:pPr>
        <w:spacing w:after="0" w:line="22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Attached are Subscription Procedures for the settlement of the subscription for Syndax Pharmaceuticals,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Convertible Senior Notes due 2031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pursuant to the Subscription Agreement, dated as of June 3, 2026, between you and the Company which is expected to occur on or about June 10, 2026. To ensure timely settlement, please follow the instructions for subscribing for Notes as set forth on the following page.</w:t>
      </w:r>
    </w:p>
    <w:p>
      <w:pPr>
        <w:spacing w:after="0" w:line="1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These instructions supersede any prior instructions you received. Your failure to comply with the attached instructions may delay your receipt of the Notes.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you have any questions, please contact David Liu.</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Thank you.</w:t>
      </w:r>
    </w:p>
    <w:p>
      <w:pPr>
        <w:sectPr>
          <w:pgSz w:w="11900" w:h="16838" w:orient="portrait"/>
          <w:cols w:equalWidth="0" w:num="1">
            <w:col w:w="10940"/>
          </w:cols>
          <w:pgMar w:left="440" w:top="266" w:right="519" w:bottom="1440" w:gutter="0" w:footer="0" w:header="0"/>
        </w:sectPr>
      </w:pPr>
    </w:p>
    <w:bookmarkStart w:id="20" w:name="page21"/>
    <w:bookmarkEnd w:id="20"/>
    <w:p>
      <w:pPr>
        <w:ind w:left="104" w:hanging="91"/>
        <w:spacing w:after="0"/>
        <w:tabs>
          <w:tab w:leader="none" w:pos="10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325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2325370"/>
                    </a:xfrm>
                    <a:prstGeom prst="rect">
                      <a:avLst/>
                    </a:prstGeom>
                    <a:noFill/>
                  </pic:spPr>
                </pic:pic>
              </a:graphicData>
            </a:graphic>
          </wp:anchor>
        </w:drawing>
        <w:t>To receive Notes</w:t>
      </w:r>
    </w:p>
    <w:p>
      <w:pPr>
        <w:spacing w:after="0" w:line="117" w:lineRule="exact"/>
        <w:rPr>
          <w:rFonts w:ascii="Times New Roman" w:cs="Times New Roman" w:eastAsia="Times New Roman" w:hAnsi="Times New Roman"/>
          <w:sz w:val="18"/>
          <w:szCs w:val="18"/>
          <w:b w:val="1"/>
          <w:bCs w:val="1"/>
          <w:color w:val="auto"/>
        </w:rPr>
      </w:pPr>
    </w:p>
    <w:p>
      <w:pPr>
        <w:ind w:left="104" w:hanging="91"/>
        <w:spacing w:after="0"/>
        <w:tabs>
          <w:tab w:leader="none" w:pos="1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must </w:t>
      </w:r>
      <w:r>
        <w:rPr>
          <w:rFonts w:ascii="Times New Roman" w:cs="Times New Roman" w:eastAsia="Times New Roman" w:hAnsi="Times New Roman"/>
          <w:sz w:val="18"/>
          <w:szCs w:val="18"/>
          <w:b w:val="1"/>
          <w:bCs w:val="1"/>
          <w:color w:val="auto"/>
        </w:rPr>
        <w:t>BOTH</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84" w:hanging="539"/>
        <w:spacing w:after="0" w:line="261" w:lineRule="auto"/>
        <w:tabs>
          <w:tab w:leader="none" w:pos="9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your eligible DTC participant through which you wish to hold a beneficial interest in the Notes to post and accept on June 10, 2026, </w:t>
      </w:r>
      <w:r>
        <w:rPr>
          <w:rFonts w:ascii="Times New Roman" w:cs="Times New Roman" w:eastAsia="Times New Roman" w:hAnsi="Times New Roman"/>
          <w:sz w:val="18"/>
          <w:szCs w:val="18"/>
          <w:b w:val="1"/>
          <w:bCs w:val="1"/>
          <w:color w:val="auto"/>
        </w:rPr>
        <w:t>no later than 9:00 a.m., New York City time</w:t>
      </w:r>
      <w:r>
        <w:rPr>
          <w:rFonts w:ascii="Times New Roman" w:cs="Times New Roman" w:eastAsia="Times New Roman" w:hAnsi="Times New Roman"/>
          <w:sz w:val="18"/>
          <w:szCs w:val="18"/>
          <w:color w:val="auto"/>
        </w:rPr>
        <w:t xml:space="preserve">, a one-sided deposit instruction through DTC via DWAC for the aggregate principal amount of Notes (CUSIP/ISIN #: [87164FAA3 / US87164FAA30]) set forth in column 2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of the Subscription Agreement.</w:t>
      </w:r>
    </w:p>
    <w:p>
      <w:pPr>
        <w:spacing w:after="0" w:line="67" w:lineRule="exact"/>
        <w:rPr>
          <w:rFonts w:ascii="Times New Roman" w:cs="Times New Roman" w:eastAsia="Times New Roman" w:hAnsi="Times New Roman"/>
          <w:sz w:val="18"/>
          <w:szCs w:val="18"/>
          <w:color w:val="auto"/>
        </w:rPr>
      </w:pPr>
    </w:p>
    <w:p>
      <w:pPr>
        <w:ind w:left="1004"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 is important that this instruction be submitted and the DWAC posted on June 10, 2026, no later than 9:00 a.m., New York City time.</w:t>
      </w:r>
    </w:p>
    <w:p>
      <w:pPr>
        <w:spacing w:after="0" w:line="46" w:lineRule="exact"/>
        <w:rPr>
          <w:rFonts w:ascii="Times New Roman" w:cs="Times New Roman" w:eastAsia="Times New Roman" w:hAnsi="Times New Roman"/>
          <w:sz w:val="18"/>
          <w:szCs w:val="18"/>
          <w:color w:val="auto"/>
        </w:rPr>
      </w:pPr>
    </w:p>
    <w:p>
      <w:pPr>
        <w:ind w:left="84" w:hanging="71"/>
        <w:spacing w:after="0"/>
        <w:tabs>
          <w:tab w:leader="none" w:pos="84"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AND</w:t>
      </w:r>
    </w:p>
    <w:p>
      <w:pPr>
        <w:spacing w:after="0" w:line="188" w:lineRule="exact"/>
        <w:rPr>
          <w:rFonts w:ascii="Times New Roman" w:cs="Times New Roman" w:eastAsia="Times New Roman" w:hAnsi="Times New Roman"/>
          <w:sz w:val="13"/>
          <w:szCs w:val="13"/>
          <w:b w:val="1"/>
          <w:bCs w:val="1"/>
          <w:color w:val="auto"/>
        </w:rPr>
      </w:pPr>
    </w:p>
    <w:p>
      <w:pPr>
        <w:ind w:left="984" w:right="320" w:hanging="539"/>
        <w:spacing w:after="0" w:line="225" w:lineRule="auto"/>
        <w:tabs>
          <w:tab w:leader="none" w:pos="9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later than </w:t>
      </w:r>
      <w:r>
        <w:rPr>
          <w:rFonts w:ascii="Times New Roman" w:cs="Times New Roman" w:eastAsia="Times New Roman" w:hAnsi="Times New Roman"/>
          <w:sz w:val="18"/>
          <w:szCs w:val="18"/>
          <w:color w:val="auto"/>
        </w:rPr>
        <w:t>11:00 a.m.</w:t>
      </w:r>
      <w:r>
        <w:rPr>
          <w:rFonts w:ascii="Times New Roman" w:cs="Times New Roman" w:eastAsia="Times New Roman" w:hAnsi="Times New Roman"/>
          <w:sz w:val="18"/>
          <w:szCs w:val="18"/>
          <w:b w:val="1"/>
          <w:bCs w:val="1"/>
          <w:color w:val="auto"/>
        </w:rPr>
        <w:t xml:space="preserve">, New York City time, on June 10, 2026, </w:t>
      </w:r>
      <w:r>
        <w:rPr>
          <w:rFonts w:ascii="Times New Roman" w:cs="Times New Roman" w:eastAsia="Times New Roman" w:hAnsi="Times New Roman"/>
          <w:sz w:val="18"/>
          <w:szCs w:val="18"/>
          <w:color w:val="auto"/>
        </w:rPr>
        <w:t>you must pay the Cash Purchase Price set forth in column 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Purchase Price</w:t>
      </w:r>
      <w:r>
        <w:rPr>
          <w:rFonts w:ascii="Times New Roman" w:cs="Times New Roman" w:eastAsia="Times New Roman" w:hAnsi="Times New Roman"/>
          <w:sz w:val="18"/>
          <w:szCs w:val="18"/>
          <w:color w:val="auto"/>
        </w:rPr>
        <w:t>”) of the Subscription Agreement by wire transfer in immediately available funds to the following account of the Company:</w:t>
      </w:r>
    </w:p>
    <w:p>
      <w:pPr>
        <w:spacing w:after="0" w:line="96"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Cash Purchase Price is the amount of cash that you must wire to the Company in connection with your purchase of Notes.</w:t>
      </w:r>
    </w:p>
    <w:p>
      <w:pPr>
        <w:sectPr>
          <w:pgSz w:w="11900" w:h="16838" w:orient="portrait"/>
          <w:cols w:equalWidth="0" w:num="1">
            <w:col w:w="10884"/>
          </w:cols>
          <w:pgMar w:left="436" w:top="428" w:right="579" w:bottom="1440" w:gutter="0" w:footer="0" w:header="0"/>
        </w:sectPr>
      </w:pPr>
    </w:p>
    <w:bookmarkStart w:id="21" w:name="page22"/>
    <w:bookmarkEnd w:id="2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TO THE SUBSCRIPTION AGREEMENT</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Subscriber Settlement Details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These settlement instructions are to be delivered to the Company for each Subscriber no later than one (1) business day after the date of the Subscription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Subscriber: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-7620</wp:posOffset>
            </wp:positionV>
            <wp:extent cx="1028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698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June 10, 2026, after the Company receives your Cash Purchase Price and your delivery instructions as set forth above, and subject to the satisfaction of the conditions to closing as set forth in your Subscription Agreement, the Company will deliver your Notes in accordance with the delivery instructions set forth above.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 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DTC Participant Information for Delivery of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 _______________________________________________________________________________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 _________________________________________________________________________________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Phone Number: 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Contact Email: 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 _______________________________________________________________________________________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 at Bank/Broker: ______________________________________________________________________________</w:t>
      </w:r>
    </w:p>
    <w:p>
      <w:pPr>
        <w:sectPr>
          <w:pgSz w:w="11900" w:h="16838" w:orient="portrait"/>
          <w:cols w:equalWidth="0" w:num="1">
            <w:col w:w="10700"/>
          </w:cols>
          <w:pgMar w:left="440" w:top="266" w:right="7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Announces Private Placement of $250.0 Million of Convertible Senior Notes</w:t>
      </w:r>
    </w:p>
    <w:p>
      <w:pPr>
        <w:spacing w:after="0" w:line="22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June 4, 2026 </w:t>
      </w:r>
      <w:r>
        <w:rPr>
          <w:rFonts w:ascii="Times New Roman" w:cs="Times New Roman" w:eastAsia="Times New Roman" w:hAnsi="Times New Roman"/>
          <w:sz w:val="18"/>
          <w:szCs w:val="18"/>
          <w:color w:val="auto"/>
        </w:rPr>
        <w:t>— Syndax Pharmaceuticals, Inc. (“Syndax”) (NASDAQ: SNDX), a commercial-stage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innovative cancer therapies, has entered into privately negotiated subscription agreements for the issuance of $250.0 million aggregate principal amount of 2.25% Convertible Senior Notes due 2031 (the “Notes”). The sale of the Notes is expected to close on June 10, 2026, subject to customary closing conditions. J. Wood Capital Advisors LLC is acting as sole placement agent in connection with the private placement of the Notes (the “private placement”).</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Syndax estimates that the net proceeds from the private placement will be approximately $243 million, after deducting the placement agent’s fees and estimated expenses payable by Syndax. Syndax expects to use the net proceeds from the private placement for general corporate purposes, including working capital, research and development expenditures, commercialization activity expenditures and business development expenditures.</w:t>
      </w:r>
    </w:p>
    <w:p>
      <w:pPr>
        <w:spacing w:after="0" w:line="17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Notes will be senior unsecured obligations of Syndax and will accrue interest payable semiannually in arrears on June 15 and December 15 of each year, beginning on December 15, 2026 at a rate of 2.25%. The Notes will mature on June 15, 2031, unless earlier converted, redeemed or repurchased.</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Noteholders may convert all or any portion of their Notes at their option at any time prior to the close of business on the business day immediately preceding March 15, 2031, only upon the occurrence of certain circumstances. On or after March 15, 2031, until the close of business on the second scheduled trading day immediately preceding the maturity date, the noteholders may convert all or any portion of their Notes at any time.</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Upon conversion, Syndax will pay or deliver, as the case may be, cash, shares of Syndax’s common stock, par value $0.0001 per share (the “common stock”), or a combination of cash and shares of common stock, at Syndax’s election. The conversion rate will initially be 40.3894 shares of common stock per $1,000 principal amount of Notes (equivalent to an initial conversion price of approximately $24.76 per share of common stock). The initial conversion price of the Notes represents a premium of approximately 35% over the last reported sale price of the common stock on the Nasdaq Global Select Market on June 3, 2026. The conversion rate will be subject to adjustment in some events but will not be adjusted for any accrued and unpaid interest. In addition, following certain corporate events that occur prior to the maturity date of the Notes or if Syndax delivers a notice of redemption, Syndax will, in certain circumstances, increase the conversion rate for a noteholder who elects to convert its Notes in connection with such a corporate event or notice of redemption, as the case may be.</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Syndax may not redeem the Notes prior to June 20, 2029. Syndax may redeem for cash all or any portion of the Notes (subject to certain limitations), at Syndax’s option, on a redemption date on or after June 20, 2029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Syndax provides notice of redemption at a redemption price equal to 100% of the principal amount of the Notes to be redeemed, plus accrued and unpaid interest to, but excluding, the redemption date.</w:t>
      </w:r>
    </w:p>
    <w:p>
      <w:pPr>
        <w:sectPr>
          <w:pgSz w:w="11900" w:h="16838" w:orient="portrait"/>
          <w:cols w:equalWidth="0" w:num="1">
            <w:col w:w="11020"/>
          </w:cols>
          <w:pgMar w:left="440" w:top="117" w:right="4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Syndax undergoes a “fundamental change” (as defined in the indenture that will govern the Notes), then, subject to certain conditions and limited exceptions, noteholders may require Syndax to repurchase for cash all or any portion of their Notes at a repurchase price equal to 100% of the principal amount of the Notes to be repurchased, plus accrued and unpaid interest to, but excluding, the fundamental change repurchase date.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Neither the Notes, nor the shares of common stock issuable upon conversion of the Notes, if any, have been registered under the Securities Act of 1933, as amended (the “Securities Act”) or any state securities laws, and unless so registered, may not be offered or sold in the United States or to, or for the account or benefit of, U.S. persons,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shall it constitute an offer, solicitation or sale of any securities in any state or jurisdiction in which such offer, solicitation or sale would be unlawful prior to the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Syndax</w:t>
      </w:r>
    </w:p>
    <w:p>
      <w:pPr>
        <w:spacing w:after="0" w:line="121"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Syndax Pharmaceuticals is a commercial-stage biopharmaceutical company advancing innovative cancer therapies. Highlights of the Company’s pipeline include Revuforj</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(revumenib), an FDA-approved menin inhibitor, and Niktimvo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(axatilimab-csfr), an FDA-approved monoclonal antibody that blocks the colony stimulating factor 1 (CSF-1) receptor. Fueled by our commitment to reimagining cancer care, Syndax is working to unlock the full potential of its pipeline and is conducting several clinical trials across the continuum of treatment. For more information, please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visit www.syndax.com/</w:t>
      </w:r>
      <w:r>
        <w:rPr>
          <w:rFonts w:ascii="Times New Roman" w:cs="Times New Roman" w:eastAsia="Times New Roman" w:hAnsi="Times New Roman"/>
          <w:sz w:val="18"/>
          <w:szCs w:val="18"/>
          <w:color w:val="auto"/>
        </w:rPr>
        <w:t xml:space="preserve"> or follow the Company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regarding, among other things, the terms of the Notes, the anticipated closing of the private placement and the anticipated use of the net proceeds from the private placement. These forward-looking statements are based on Syndax’s current assumptions, expectations and beliefs and are subject to substantial risks, uncertainties, assumptions and changes in circumstances that may cause Syndax’s actual results, performance or achievements to differ materially from those expressed or implied in any forward-looking statement. These risks include, but are not limited to market risks, trends and conditions. Other factors that may cause Syndax’s actual results to differ from those expressed or implied in the forward-looking statements in this press release are discussed in Syndax’s filings with the U.S. Securities and Exchange Commission, including the “Risk Factors” sections contained therein. Except as required by law, Syndax assumes no obligation to update any forward-looking statements contained herein to reflect any change in expectations, even as new information becomes available.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04"/>
    </w:lvl>
  </w:abstractNum>
  <w:abstractNum w:abstractNumId="3">
    <w:nsid w:val="66EF438D"/>
    <w:multiLevelType w:val="hybridMultilevel"/>
    <w:lvl w:ilvl="0">
      <w:lvlJc w:val="left"/>
      <w:lvlText w:val="%1."/>
      <w:numFmt w:val="decimal"/>
      <w:start w:val="1"/>
    </w:lvl>
    <w:lvl w:ilvl="1">
      <w:lvlJc w:val="left"/>
      <w:lvlText w:val="%2"/>
      <w:numFmt w:val="lowerLetter"/>
      <w:start w:val="1"/>
    </w:lvl>
  </w:abstractNum>
  <w:abstractNum w:abstractNumId="4">
    <w:nsid w:val="140E0F76"/>
    <w:multiLevelType w:val="hybridMultilevel"/>
    <w:lvl w:ilvl="0">
      <w:lvlJc w:val="left"/>
      <w:lvlText w:val="%1."/>
      <w:numFmt w:val="lowerLetter"/>
      <w:start w:val="2"/>
    </w:lvl>
  </w:abstractNum>
  <w:abstractNum w:abstractNumId="5">
    <w:nsid w:val="3352255A"/>
    <w:multiLevelType w:val="hybridMultilevel"/>
    <w:lvl w:ilvl="0">
      <w:lvlJc w:val="left"/>
      <w:lvlText w:val="%1."/>
      <w:numFmt w:val="decimal"/>
      <w:start w:val="4"/>
    </w:lvl>
    <w:lvl w:ilvl="1">
      <w:lvlJc w:val="left"/>
      <w:lvlText w:val="%2."/>
      <w:numFmt w:val="lowerLetter"/>
      <w:start w:val="1"/>
    </w:lvl>
  </w:abstractNum>
  <w:abstractNum w:abstractNumId="6">
    <w:nsid w:val="109CF92E"/>
    <w:multiLevelType w:val="hybridMultilevel"/>
    <w:lvl w:ilvl="0">
      <w:lvlJc w:val="left"/>
      <w:lvlText w:val="%1"/>
      <w:numFmt w:val="decimal"/>
      <w:start w:val="1"/>
    </w:lvl>
    <w:lvl w:ilvl="1">
      <w:lvlJc w:val="left"/>
      <w:lvlText w:val="%2."/>
      <w:numFmt w:val="lowerLetter"/>
      <w:start w:val="5"/>
    </w:lvl>
  </w:abstractNum>
  <w:abstractNum w:abstractNumId="7">
    <w:nsid w:val="DED7263"/>
    <w:multiLevelType w:val="hybridMultilevel"/>
    <w:lvl w:ilvl="0">
      <w:lvlJc w:val="left"/>
      <w:lvlText w:val="%1."/>
      <w:numFmt w:val="decimal"/>
      <w:start w:val="5"/>
    </w:lvl>
    <w:lvl w:ilvl="1">
      <w:lvlJc w:val="left"/>
      <w:lvlText w:val="%2."/>
      <w:numFmt w:val="lowerLetter"/>
      <w:start w:val="1"/>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Letter"/>
      <w:start w:val="8"/>
    </w:lvl>
  </w:abstractNum>
  <w:abstractNum w:abstractNumId="10">
    <w:nsid w:val="41A7C4C9"/>
    <w:multiLevelType w:val="hybridMultilevel"/>
    <w:lvl w:ilvl="0">
      <w:lvlJc w:val="left"/>
      <w:lvlText w:val="%1."/>
      <w:numFmt w:val="lowerLetter"/>
      <w:start w:val="12"/>
    </w:lvl>
  </w:abstractNum>
  <w:abstractNum w:abstractNumId="11">
    <w:nsid w:val="6B68079A"/>
    <w:multiLevelType w:val="hybridMultilevel"/>
    <w:lvl w:ilvl="0">
      <w:lvlJc w:val="left"/>
      <w:lvlText w:val="%1"/>
      <w:numFmt w:val="decimal"/>
      <w:start w:val="1"/>
    </w:lvl>
    <w:lvl w:ilvl="1">
      <w:lvlJc w:val="left"/>
      <w:lvlText w:val="%2."/>
      <w:numFmt w:val="lowerLetter"/>
      <w:start w:val="18"/>
    </w:lvl>
  </w:abstractNum>
  <w:abstractNum w:abstractNumId="12">
    <w:nsid w:val="4E6AFB66"/>
    <w:multiLevelType w:val="hybridMultilevel"/>
    <w:lvl w:ilvl="0">
      <w:lvlJc w:val="left"/>
      <w:lvlText w:val="%1."/>
      <w:numFmt w:val="decimal"/>
      <w:start w:val="6"/>
    </w:lvl>
    <w:lvl w:ilvl="1">
      <w:lvlJc w:val="left"/>
      <w:lvlText w:val="%2"/>
      <w:numFmt w:val="lowerLetter"/>
      <w:start w:val="1"/>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14"/>
    </w:lvl>
  </w:abstractNum>
  <w:abstractNum w:abstractNumId="15">
    <w:nsid w:val="431BD7B7"/>
    <w:multiLevelType w:val="hybridMultilevel"/>
    <w:lvl w:ilvl="0">
      <w:lvlJc w:val="left"/>
      <w:lvlText w:val="%1."/>
      <w:numFmt w:val="decimal"/>
      <w:start w:val="20"/>
    </w:lvl>
  </w:abstractNum>
  <w:abstractNum w:abstractNumId="16">
    <w:nsid w:val="3F2DBA31"/>
    <w:multiLevelType w:val="hybridMultilevel"/>
    <w:lvl w:ilvl="0">
      <w:lvlJc w:val="left"/>
      <w:lvlText w:val="%1."/>
      <w:numFmt w:val="decimal"/>
      <w:start w:val="22"/>
    </w:lvl>
  </w:abstractNum>
  <w:abstractNum w:abstractNumId="17">
    <w:nsid w:val="7C83E458"/>
    <w:multiLevelType w:val="hybridMultilevel"/>
    <w:lvl w:ilvl="0">
      <w:lvlJc w:val="left"/>
      <w:lvlText w:val=" "/>
      <w:numFmt w:val="bullet"/>
      <w:start w:val="1"/>
    </w:lvl>
    <w:lvl w:ilvl="1">
      <w:lvlJc w:val="left"/>
      <w:lvlText w:val="%2."/>
      <w:numFmt w:val="decimal"/>
      <w:start w:val="1"/>
    </w:lvl>
  </w:abstractNum>
  <w:abstractNum w:abstractNumId="18">
    <w:nsid w:val="257130A3"/>
    <w:multiLevelType w:val="hybridMultilevel"/>
    <w:lvl w:ilvl="0">
      <w:lvlJc w:val="left"/>
      <w:lvlText w:val=" "/>
      <w:numFmt w:val="bullet"/>
      <w:start w:val="1"/>
    </w:lvl>
    <w:lvl w:ilvl="1">
      <w:lvlJc w:val="left"/>
      <w:lvlText w:val="%2."/>
      <w:numFmt w:val="decimal"/>
      <w:start w:val="2"/>
    </w:lvl>
  </w:abstractNum>
  <w:abstractNum w:abstractNumId="19">
    <w:nsid w:val="62BBD9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2026-06-04T06:17:57Z</dcterms:created>
  <dcterms:modified xsi:type="dcterms:W3CDTF">2026-06-04T06:17:57Z</dcterms:modified>
</cp:coreProperties>
</file>