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9" w:lineRule="exact"/>
        <w:rPr>
          <w:rFonts w:ascii="MS PGothic" w:cs="MS PGothic" w:eastAsia="MS PGothic" w:hAnsi="MS PGothic"/>
          <w:sz w:val="18"/>
          <w:szCs w:val="18"/>
          <w:color w:val="auto"/>
        </w:rPr>
      </w:pPr>
    </w:p>
    <w:p>
      <w:pPr>
        <w:ind w:left="40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March 31, 2021</w:t>
      </w:r>
    </w:p>
    <w:p>
      <w:pPr>
        <w:spacing w:after="0" w:line="12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2" w:lineRule="exact"/>
        <w:rPr>
          <w:sz w:val="24"/>
          <w:szCs w:val="24"/>
          <w:color w:val="auto"/>
        </w:rPr>
      </w:pPr>
    </w:p>
    <w:p>
      <w:pPr>
        <w:ind w:left="362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3653155</wp:posOffset>
            </wp:positionH>
            <wp:positionV relativeFrom="paragraph">
              <wp:posOffset>-4445</wp:posOffset>
            </wp:positionV>
            <wp:extent cx="1191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0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Syndax Pharmaceuticals, Inc.</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tbl>
      <w:tblPr>
        <w:tblLayout w:type="fixed"/>
        <w:tblInd w:w="1800" w:type="dxa"/>
        <w:tblCellMar>
          <w:top w:w="0" w:type="dxa"/>
          <w:left w:w="0" w:type="dxa"/>
          <w:bottom w:w="0" w:type="dxa"/>
          <w:right w:w="0" w:type="dxa"/>
        </w:tblCellMar>
      </w:tblPr>
      <w:tr>
        <w:trPr>
          <w:trHeight w:val="194"/>
        </w:trPr>
        <w:tc>
          <w:tcPr>
            <w:tcW w:w="5600" w:type="dxa"/>
            <w:vAlign w:val="bottom"/>
          </w:tcPr>
          <w:p>
            <w:pPr>
              <w:jc w:val="center"/>
              <w:ind w:right="2744"/>
              <w:spacing w:after="0"/>
              <w:rPr>
                <w:sz w:val="20"/>
                <w:szCs w:val="20"/>
                <w:color w:val="auto"/>
              </w:rPr>
            </w:pPr>
            <w:r>
              <w:rPr>
                <w:rFonts w:ascii="Arial" w:cs="Arial" w:eastAsia="Arial" w:hAnsi="Arial"/>
                <w:sz w:val="16"/>
                <w:szCs w:val="16"/>
                <w:b w:val="1"/>
                <w:bCs w:val="1"/>
                <w:color w:val="auto"/>
                <w:w w:val="93"/>
              </w:rPr>
              <w:t>Delaware</w:t>
            </w:r>
          </w:p>
        </w:tc>
        <w:tc>
          <w:tcPr>
            <w:tcW w:w="1220" w:type="dxa"/>
            <w:vAlign w:val="bottom"/>
          </w:tcPr>
          <w:p>
            <w:pPr>
              <w:jc w:val="right"/>
              <w:ind w:right="104"/>
              <w:spacing w:after="0"/>
              <w:rPr>
                <w:sz w:val="20"/>
                <w:szCs w:val="20"/>
                <w:color w:val="auto"/>
              </w:rPr>
            </w:pPr>
            <w:r>
              <w:rPr>
                <w:rFonts w:ascii="Arial" w:cs="Arial" w:eastAsia="Arial" w:hAnsi="Arial"/>
                <w:sz w:val="16"/>
                <w:szCs w:val="16"/>
                <w:b w:val="1"/>
                <w:bCs w:val="1"/>
                <w:color w:val="auto"/>
              </w:rPr>
              <w:t>32-0162505</w:t>
            </w:r>
          </w:p>
        </w:tc>
      </w:tr>
      <w:tr>
        <w:trPr>
          <w:trHeight w:val="148"/>
        </w:trPr>
        <w:tc>
          <w:tcPr>
            <w:tcW w:w="5600" w:type="dxa"/>
            <w:vAlign w:val="bottom"/>
          </w:tcPr>
          <w:p>
            <w:pPr>
              <w:jc w:val="center"/>
              <w:ind w:right="274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600" w:type="dxa"/>
            <w:vAlign w:val="bottom"/>
          </w:tcPr>
          <w:p>
            <w:pPr>
              <w:jc w:val="center"/>
              <w:ind w:right="2744"/>
              <w:spacing w:after="0"/>
              <w:rPr>
                <w:sz w:val="20"/>
                <w:szCs w:val="20"/>
                <w:color w:val="auto"/>
              </w:rPr>
            </w:pPr>
            <w:r>
              <w:rPr>
                <w:rFonts w:ascii="Arial" w:cs="Arial" w:eastAsia="Arial" w:hAnsi="Arial"/>
                <w:sz w:val="14"/>
                <w:szCs w:val="14"/>
                <w:b w:val="1"/>
                <w:bCs w:val="1"/>
                <w:color w:val="auto"/>
                <w:w w:val="95"/>
              </w:rPr>
              <w:t>Incorporation or Organization)</w:t>
            </w:r>
          </w:p>
        </w:tc>
        <w:tc>
          <w:tcPr>
            <w:tcW w:w="1220" w:type="dxa"/>
            <w:vAlign w:val="bottom"/>
          </w:tcPr>
          <w:p>
            <w:pPr>
              <w:jc w:val="center"/>
              <w:ind w:left="24"/>
              <w:spacing w:after="0"/>
              <w:rPr>
                <w:sz w:val="20"/>
                <w:szCs w:val="20"/>
                <w:color w:val="auto"/>
              </w:rPr>
            </w:pPr>
            <w:r>
              <w:rPr>
                <w:rFonts w:ascii="Arial" w:cs="Arial" w:eastAsia="Arial" w:hAnsi="Arial"/>
                <w:sz w:val="14"/>
                <w:szCs w:val="14"/>
                <w:b w:val="1"/>
                <w:bCs w:val="1"/>
                <w:color w:val="auto"/>
                <w:w w:val="94"/>
              </w:rPr>
              <w:t>Identification No.)</w:t>
            </w:r>
          </w:p>
        </w:tc>
      </w:tr>
      <w:tr>
        <w:trPr>
          <w:trHeight w:val="403"/>
        </w:trPr>
        <w:tc>
          <w:tcPr>
            <w:tcW w:w="5600" w:type="dxa"/>
            <w:vAlign w:val="bottom"/>
          </w:tcPr>
          <w:p>
            <w:pPr>
              <w:jc w:val="center"/>
              <w:ind w:right="2744"/>
              <w:spacing w:after="0"/>
              <w:rPr>
                <w:sz w:val="20"/>
                <w:szCs w:val="20"/>
                <w:color w:val="auto"/>
              </w:rPr>
            </w:pPr>
            <w:r>
              <w:rPr>
                <w:rFonts w:ascii="Arial" w:cs="Arial" w:eastAsia="Arial" w:hAnsi="Arial"/>
                <w:sz w:val="16"/>
                <w:szCs w:val="16"/>
                <w:b w:val="1"/>
                <w:bCs w:val="1"/>
                <w:color w:val="auto"/>
                <w:w w:val="92"/>
              </w:rPr>
              <w:t>35 Gatehouse Drive, Building D, Floor 3</w:t>
            </w:r>
          </w:p>
        </w:tc>
        <w:tc>
          <w:tcPr>
            <w:tcW w:w="1220" w:type="dxa"/>
            <w:vAlign w:val="bottom"/>
          </w:tcPr>
          <w:p>
            <w:pPr>
              <w:spacing w:after="0"/>
              <w:rPr>
                <w:sz w:val="24"/>
                <w:szCs w:val="24"/>
                <w:color w:val="auto"/>
              </w:rPr>
            </w:pPr>
          </w:p>
        </w:tc>
      </w:tr>
      <w:tr>
        <w:trPr>
          <w:trHeight w:val="207"/>
        </w:trPr>
        <w:tc>
          <w:tcPr>
            <w:tcW w:w="5600" w:type="dxa"/>
            <w:vAlign w:val="bottom"/>
          </w:tcPr>
          <w:p>
            <w:pPr>
              <w:jc w:val="center"/>
              <w:ind w:right="2724"/>
              <w:spacing w:after="0"/>
              <w:rPr>
                <w:sz w:val="20"/>
                <w:szCs w:val="20"/>
                <w:color w:val="auto"/>
              </w:rPr>
            </w:pPr>
            <w:r>
              <w:rPr>
                <w:rFonts w:ascii="Arial" w:cs="Arial" w:eastAsia="Arial" w:hAnsi="Arial"/>
                <w:sz w:val="16"/>
                <w:szCs w:val="16"/>
                <w:b w:val="1"/>
                <w:bCs w:val="1"/>
                <w:color w:val="auto"/>
                <w:w w:val="90"/>
              </w:rPr>
              <w:t>Waltham, Massachusetts</w:t>
            </w:r>
          </w:p>
        </w:tc>
        <w:tc>
          <w:tcPr>
            <w:tcW w:w="1220" w:type="dxa"/>
            <w:vAlign w:val="bottom"/>
          </w:tcPr>
          <w:p>
            <w:pPr>
              <w:jc w:val="right"/>
              <w:ind w:right="284"/>
              <w:spacing w:after="0"/>
              <w:rPr>
                <w:sz w:val="20"/>
                <w:szCs w:val="20"/>
                <w:color w:val="auto"/>
              </w:rPr>
            </w:pPr>
            <w:r>
              <w:rPr>
                <w:rFonts w:ascii="Arial" w:cs="Arial" w:eastAsia="Arial" w:hAnsi="Arial"/>
                <w:sz w:val="16"/>
                <w:szCs w:val="16"/>
                <w:b w:val="1"/>
                <w:bCs w:val="1"/>
                <w:color w:val="auto"/>
              </w:rPr>
              <w:t>02451</w:t>
            </w:r>
          </w:p>
        </w:tc>
      </w:tr>
      <w:tr>
        <w:trPr>
          <w:trHeight w:val="186"/>
        </w:trPr>
        <w:tc>
          <w:tcPr>
            <w:tcW w:w="5600" w:type="dxa"/>
            <w:vAlign w:val="bottom"/>
          </w:tcPr>
          <w:p>
            <w:pPr>
              <w:jc w:val="center"/>
              <w:ind w:right="274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20" w:type="dxa"/>
            <w:vAlign w:val="bottom"/>
          </w:tcPr>
          <w:p>
            <w:pPr>
              <w:jc w:val="center"/>
              <w:ind w:left="4"/>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5600" w:type="dxa"/>
            <w:vAlign w:val="bottom"/>
          </w:tcPr>
          <w:p>
            <w:pPr>
              <w:jc w:val="right"/>
              <w:ind w:right="1184"/>
              <w:spacing w:after="0"/>
              <w:rPr>
                <w:sz w:val="20"/>
                <w:szCs w:val="20"/>
                <w:color w:val="auto"/>
              </w:rPr>
            </w:pPr>
            <w:r>
              <w:rPr>
                <w:rFonts w:ascii="Arial" w:cs="Arial" w:eastAsia="Arial" w:hAnsi="Arial"/>
                <w:sz w:val="16"/>
                <w:szCs w:val="16"/>
                <w:b w:val="1"/>
                <w:bCs w:val="1"/>
                <w:color w:val="auto"/>
              </w:rPr>
              <w:t>(781) 419-1400</w:t>
            </w:r>
          </w:p>
        </w:tc>
        <w:tc>
          <w:tcPr>
            <w:tcW w:w="1220" w:type="dxa"/>
            <w:vAlign w:val="bottom"/>
          </w:tcPr>
          <w:p>
            <w:pPr>
              <w:spacing w:after="0"/>
              <w:rPr>
                <w:sz w:val="23"/>
                <w:szCs w:val="23"/>
                <w:color w:val="auto"/>
              </w:rPr>
            </w:pPr>
          </w:p>
        </w:tc>
      </w:tr>
      <w:tr>
        <w:trPr>
          <w:trHeight w:val="186"/>
        </w:trPr>
        <w:tc>
          <w:tcPr>
            <w:tcW w:w="5600" w:type="dxa"/>
            <w:vAlign w:val="bottom"/>
          </w:tcPr>
          <w:p>
            <w:pPr>
              <w:jc w:val="center"/>
              <w:ind w:left="1964"/>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590" w:type="dxa"/>
        <w:tblCellMar>
          <w:top w:w="0" w:type="dxa"/>
          <w:left w:w="0" w:type="dxa"/>
          <w:bottom w:w="0" w:type="dxa"/>
          <w:right w:w="0" w:type="dxa"/>
        </w:tblCellMar>
      </w:tblPr>
      <w:tr>
        <w:trPr>
          <w:trHeight w:val="213"/>
        </w:trPr>
        <w:tc>
          <w:tcPr>
            <w:tcW w:w="3380" w:type="dxa"/>
            <w:vAlign w:val="bottom"/>
            <w:tcBorders>
              <w:top w:val="single" w:sz="8" w:color="auto"/>
              <w:left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6"/>
                <w:szCs w:val="16"/>
                <w:b w:val="1"/>
                <w:bCs w:val="1"/>
                <w:color w:val="auto"/>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9"/>
        </w:trPr>
        <w:tc>
          <w:tcPr>
            <w:tcW w:w="33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SNDX</w:t>
            </w:r>
          </w:p>
        </w:tc>
        <w:tc>
          <w:tcPr>
            <w:tcW w:w="4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The Nasdaq Stock Market, LLC</w:t>
            </w:r>
          </w:p>
        </w:tc>
      </w:tr>
    </w:tbl>
    <w:p>
      <w:pPr>
        <w:spacing w:after="0" w:line="98" w:lineRule="exact"/>
        <w:rPr>
          <w:sz w:val="24"/>
          <w:szCs w:val="24"/>
          <w:color w:val="auto"/>
        </w:rPr>
      </w:pPr>
    </w:p>
    <w:p>
      <w:pPr>
        <w:ind w:right="240" w:firstLine="382"/>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88" w:lineRule="exact"/>
        <w:rPr>
          <w:sz w:val="24"/>
          <w:szCs w:val="24"/>
          <w:color w:val="auto"/>
        </w:rPr>
      </w:pPr>
    </w:p>
    <w:p>
      <w:pPr>
        <w:ind w:firstLine="382"/>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88" w:lineRule="exact"/>
        <w:rPr>
          <w:sz w:val="24"/>
          <w:szCs w:val="24"/>
          <w:color w:val="auto"/>
        </w:rPr>
      </w:pPr>
    </w:p>
    <w:p>
      <w:pPr>
        <w:ind w:right="280" w:firstLine="382"/>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Arial" w:cs="Arial" w:eastAsia="Arial" w:hAnsi="Arial"/>
                <w:sz w:val="16"/>
                <w:szCs w:val="16"/>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Arial" w:cs="Arial" w:eastAsia="Arial" w:hAnsi="Arial"/>
                <w:sz w:val="16"/>
                <w:szCs w:val="16"/>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100" w:lineRule="exact"/>
        <w:rPr>
          <w:sz w:val="24"/>
          <w:szCs w:val="24"/>
          <w:color w:val="auto"/>
        </w:rPr>
      </w:pPr>
    </w:p>
    <w:p>
      <w:pPr>
        <w:ind w:right="180" w:firstLine="38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380" w:right="22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10, 2021, there were 48,248,559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634365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000" w:right="2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its effects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44"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1/2 clinical trial of SNDX-5613 in patients with relapsed/refractory (R/R) acute leukemia and the potential use of SNDX-5613 to treat acute leukemias;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expansion cohort from the Phase 1/2 clinical trial of axatilimab in chronic Graft Versus Host Disease (cGVHD);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pivotal Phase 2 trial, AGAVE-201, of axatilimab in cGVHD;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44"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62"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Eddingpharm Investment Company Limited, Kyowa Kirin Co., Ltd., UCB Biopharma Sprl, and Vitae Pharmaceuticals, Inc., a subsidiary of AbbVie plc;</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44"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social and economic instability, natural disasters or public health crisis, including but not limited to the COVID-19 pandemic, in countries where we or our collaborators do business.</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SELECTED RISKS</w:t>
      </w:r>
    </w:p>
    <w:p>
      <w:pPr>
        <w:spacing w:after="0" w:line="229"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discussed at length in the section titled “Risk Factors.” These risks include, among others, the following:</w:t>
      </w:r>
    </w:p>
    <w:p>
      <w:pPr>
        <w:spacing w:after="0" w:line="62" w:lineRule="exact"/>
        <w:rPr>
          <w:sz w:val="20"/>
          <w:szCs w:val="20"/>
          <w:color w:val="auto"/>
        </w:rPr>
      </w:pPr>
    </w:p>
    <w:p>
      <w:pPr>
        <w:ind w:left="5580" w:right="4400" w:hanging="4695"/>
        <w:spacing w:after="0" w:line="668" w:lineRule="auto"/>
        <w:tabs>
          <w:tab w:leader="none" w:pos="125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COVID-19 could adversely impact our business, including our clinical trials.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 w:name="page3"/>
    <w:bookmarkEnd w:id="2"/>
    <w:p>
      <w:pPr>
        <w:ind w:left="375" w:right="980" w:hanging="375"/>
        <w:spacing w:after="0" w:line="27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any of our product candidates.</w:t>
      </w:r>
    </w:p>
    <w:p>
      <w:pPr>
        <w:spacing w:after="0" w:line="156" w:lineRule="exact"/>
        <w:rPr>
          <w:rFonts w:ascii="Arial" w:cs="Arial" w:eastAsia="Arial" w:hAnsi="Arial"/>
          <w:sz w:val="18"/>
          <w:szCs w:val="18"/>
          <w:color w:val="auto"/>
        </w:rPr>
      </w:pPr>
    </w:p>
    <w:p>
      <w:pPr>
        <w:ind w:left="375" w:right="600" w:hanging="375"/>
        <w:spacing w:after="0" w:line="342" w:lineRule="auto"/>
        <w:tabs>
          <w:tab w:leader="none" w:pos="375"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110" w:lineRule="exact"/>
        <w:rPr>
          <w:rFonts w:ascii="Arial" w:cs="Arial" w:eastAsia="Arial" w:hAnsi="Arial"/>
          <w:sz w:val="16"/>
          <w:szCs w:val="16"/>
          <w:color w:val="auto"/>
        </w:rPr>
      </w:pPr>
    </w:p>
    <w:p>
      <w:pPr>
        <w:ind w:left="375" w:hanging="375"/>
        <w:spacing w:after="0" w:line="27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strategy for developing SNDX-5613 has undergone limited clinical testing and we may fail to show that the drug is well tolerated and provides sufficient clinical benefit for patients.</w:t>
      </w:r>
    </w:p>
    <w:p>
      <w:pPr>
        <w:spacing w:after="0" w:line="156" w:lineRule="exact"/>
        <w:rPr>
          <w:rFonts w:ascii="Arial" w:cs="Arial" w:eastAsia="Arial" w:hAnsi="Arial"/>
          <w:sz w:val="18"/>
          <w:szCs w:val="18"/>
          <w:color w:val="auto"/>
        </w:rPr>
      </w:pPr>
    </w:p>
    <w:p>
      <w:pPr>
        <w:ind w:left="375" w:right="100" w:hanging="375"/>
        <w:spacing w:after="0" w:line="27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strategy for developing axatilimab has undergone limited clinical testing and we may fail to show that this drug is well tolerated and provides a sufficient clinical benefit for patients.</w:t>
      </w:r>
    </w:p>
    <w:p>
      <w:pPr>
        <w:spacing w:after="0" w:line="156" w:lineRule="exact"/>
        <w:rPr>
          <w:rFonts w:ascii="Arial" w:cs="Arial" w:eastAsia="Arial" w:hAnsi="Arial"/>
          <w:sz w:val="18"/>
          <w:szCs w:val="18"/>
          <w:color w:val="auto"/>
        </w:rPr>
      </w:pPr>
    </w:p>
    <w:p>
      <w:pPr>
        <w:ind w:left="375" w:right="180" w:hanging="375"/>
        <w:spacing w:after="0" w:line="342" w:lineRule="auto"/>
        <w:tabs>
          <w:tab w:leader="none" w:pos="37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10" w:lineRule="exact"/>
        <w:rPr>
          <w:rFonts w:ascii="Arial" w:cs="Arial" w:eastAsia="Arial" w:hAnsi="Arial"/>
          <w:sz w:val="16"/>
          <w:szCs w:val="16"/>
          <w:color w:val="auto"/>
        </w:rPr>
      </w:pPr>
    </w:p>
    <w:p>
      <w:pPr>
        <w:ind w:left="375" w:right="100" w:hanging="375"/>
        <w:spacing w:after="0" w:line="27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or our collaborators are unable to enroll patients in clinical trials, these clinical trials may not be completed on a timely basis or at all.</w:t>
      </w:r>
    </w:p>
    <w:p>
      <w:pPr>
        <w:spacing w:after="0" w:line="156" w:lineRule="exact"/>
        <w:rPr>
          <w:rFonts w:ascii="Arial" w:cs="Arial" w:eastAsia="Arial" w:hAnsi="Arial"/>
          <w:sz w:val="18"/>
          <w:szCs w:val="18"/>
          <w:color w:val="auto"/>
        </w:rPr>
      </w:pPr>
    </w:p>
    <w:p>
      <w:pPr>
        <w:ind w:left="375" w:right="980" w:hanging="375"/>
        <w:spacing w:after="0" w:line="342" w:lineRule="auto"/>
        <w:tabs>
          <w:tab w:leader="none" w:pos="37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110" w:lineRule="exact"/>
        <w:rPr>
          <w:rFonts w:ascii="Arial" w:cs="Arial" w:eastAsia="Arial" w:hAnsi="Arial"/>
          <w:sz w:val="16"/>
          <w:szCs w:val="16"/>
          <w:color w:val="auto"/>
        </w:rPr>
      </w:pPr>
    </w:p>
    <w:p>
      <w:pPr>
        <w:ind w:left="375" w:right="160" w:hanging="375"/>
        <w:spacing w:after="0" w:line="286" w:lineRule="auto"/>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151" w:lineRule="exact"/>
        <w:rPr>
          <w:rFonts w:ascii="Arial" w:cs="Arial" w:eastAsia="Arial" w:hAnsi="Arial"/>
          <w:sz w:val="17"/>
          <w:szCs w:val="17"/>
          <w:color w:val="auto"/>
        </w:rPr>
      </w:pPr>
    </w:p>
    <w:p>
      <w:pPr>
        <w:ind w:left="375" w:hanging="375"/>
        <w:spacing w:after="0"/>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our product candidates receive regulatory approval, they may still face future development and regulatory difficulties.</w:t>
      </w:r>
    </w:p>
    <w:p>
      <w:pPr>
        <w:spacing w:after="0" w:line="238" w:lineRule="exact"/>
        <w:rPr>
          <w:rFonts w:ascii="Arial" w:cs="Arial" w:eastAsia="Arial" w:hAnsi="Arial"/>
          <w:sz w:val="18"/>
          <w:szCs w:val="18"/>
          <w:color w:val="auto"/>
        </w:rPr>
      </w:pPr>
    </w:p>
    <w:p>
      <w:pPr>
        <w:ind w:left="375" w:right="140" w:hanging="375"/>
        <w:spacing w:after="0" w:line="342" w:lineRule="auto"/>
        <w:tabs>
          <w:tab w:leader="none" w:pos="375"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10" w:lineRule="exact"/>
        <w:rPr>
          <w:rFonts w:ascii="Arial" w:cs="Arial" w:eastAsia="Arial" w:hAnsi="Arial"/>
          <w:sz w:val="16"/>
          <w:szCs w:val="16"/>
          <w:color w:val="auto"/>
        </w:rPr>
      </w:pPr>
    </w:p>
    <w:p>
      <w:pPr>
        <w:ind w:left="375" w:hanging="375"/>
        <w:spacing w:after="0"/>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incurred net losses since our inception and anticipate that we will continue to incur net losses for the foreseeable future.</w:t>
      </w:r>
    </w:p>
    <w:p>
      <w:pPr>
        <w:spacing w:after="0" w:line="250" w:lineRule="exact"/>
        <w:rPr>
          <w:rFonts w:ascii="Arial" w:cs="Arial" w:eastAsia="Arial" w:hAnsi="Arial"/>
          <w:sz w:val="17"/>
          <w:szCs w:val="17"/>
          <w:color w:val="auto"/>
        </w:rPr>
      </w:pPr>
    </w:p>
    <w:p>
      <w:pPr>
        <w:ind w:left="375" w:hanging="375"/>
        <w:spacing w:after="0"/>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have no source of product revenue and may never achieve or maintain profitability.</w:t>
      </w:r>
    </w:p>
    <w:p>
      <w:pPr>
        <w:spacing w:after="0" w:line="238" w:lineRule="exact"/>
        <w:rPr>
          <w:rFonts w:ascii="Arial" w:cs="Arial" w:eastAsia="Arial" w:hAnsi="Arial"/>
          <w:sz w:val="18"/>
          <w:szCs w:val="18"/>
          <w:color w:val="auto"/>
        </w:rPr>
      </w:pPr>
    </w:p>
    <w:p>
      <w:pPr>
        <w:jc w:val="both"/>
        <w:ind w:left="375" w:right="40" w:hanging="375"/>
        <w:spacing w:after="0" w:line="263"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170" w:lineRule="exact"/>
        <w:rPr>
          <w:rFonts w:ascii="Arial" w:cs="Arial" w:eastAsia="Arial" w:hAnsi="Arial"/>
          <w:sz w:val="18"/>
          <w:szCs w:val="18"/>
          <w:color w:val="auto"/>
        </w:rPr>
      </w:pPr>
    </w:p>
    <w:p>
      <w:pPr>
        <w:ind w:left="375" w:hanging="375"/>
        <w:spacing w:after="0"/>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238" w:lineRule="exact"/>
        <w:rPr>
          <w:rFonts w:ascii="Arial" w:cs="Arial" w:eastAsia="Arial" w:hAnsi="Arial"/>
          <w:sz w:val="18"/>
          <w:szCs w:val="18"/>
          <w:color w:val="auto"/>
        </w:rPr>
      </w:pPr>
    </w:p>
    <w:p>
      <w:pPr>
        <w:ind w:left="375" w:hanging="375"/>
        <w:spacing w:after="0"/>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238" w:lineRule="exact"/>
        <w:rPr>
          <w:rFonts w:ascii="Arial" w:cs="Arial" w:eastAsia="Arial" w:hAnsi="Arial"/>
          <w:sz w:val="18"/>
          <w:szCs w:val="18"/>
          <w:color w:val="auto"/>
        </w:rPr>
      </w:pPr>
    </w:p>
    <w:p>
      <w:pPr>
        <w:ind w:left="375" w:hanging="375"/>
        <w:spacing w:after="0"/>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price of our stock may be volatile and you could lose all or part of your investment.</w:t>
      </w:r>
    </w:p>
    <w:p>
      <w:pPr>
        <w:spacing w:after="0" w:line="238" w:lineRule="exact"/>
        <w:rPr>
          <w:rFonts w:ascii="Arial" w:cs="Arial" w:eastAsia="Arial" w:hAnsi="Arial"/>
          <w:sz w:val="18"/>
          <w:szCs w:val="18"/>
          <w:color w:val="auto"/>
        </w:rPr>
      </w:pPr>
    </w:p>
    <w:p>
      <w:pPr>
        <w:ind w:left="375" w:right="240" w:hanging="375"/>
        <w:spacing w:after="0" w:line="27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sell additional equity or debt securities or enter into other arrangements to fund our operations, which may result in dilution to our stockholders and impose restrictions or limitations on our business.</w:t>
      </w:r>
    </w:p>
    <w:p>
      <w:pPr>
        <w:spacing w:after="0" w:line="200" w:lineRule="exact"/>
        <w:rPr>
          <w:sz w:val="20"/>
          <w:szCs w:val="20"/>
          <w:color w:val="auto"/>
        </w:rPr>
      </w:pPr>
    </w:p>
    <w:p>
      <w:pPr>
        <w:spacing w:after="0" w:line="294" w:lineRule="exact"/>
        <w:rPr>
          <w:sz w:val="20"/>
          <w:szCs w:val="20"/>
          <w:color w:val="auto"/>
        </w:rPr>
      </w:pPr>
    </w:p>
    <w:p>
      <w:pPr>
        <w:ind w:left="4655"/>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15"/>
          </w:cols>
          <w:pgMar w:left="1205" w:top="665"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290"/>
        </w:trPr>
        <w:tc>
          <w:tcPr>
            <w:tcW w:w="30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738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Financial Statements:</w:t>
              </w:r>
            </w:hyperlink>
          </w:p>
        </w:tc>
        <w:tc>
          <w:tcPr>
            <w:tcW w:w="7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7"/>
        </w:trPr>
        <w:tc>
          <w:tcPr>
            <w:tcW w:w="1040" w:type="dxa"/>
            <w:vAlign w:val="bottom"/>
          </w:tcPr>
          <w:p>
            <w:pPr>
              <w:spacing w:after="0"/>
              <w:rPr>
                <w:sz w:val="24"/>
                <w:szCs w:val="24"/>
                <w:color w:val="auto"/>
              </w:rPr>
            </w:pPr>
          </w:p>
        </w:tc>
        <w:tc>
          <w:tcPr>
            <w:tcW w:w="62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March 31, 2021 and December 31, 2020</w:t>
              </w:r>
            </w:hyperlink>
          </w:p>
        </w:tc>
        <w:tc>
          <w:tcPr>
            <w:tcW w:w="314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040" w:type="dxa"/>
            <w:vAlign w:val="bottom"/>
          </w:tcPr>
          <w:p>
            <w:pPr>
              <w:spacing w:after="0"/>
              <w:rPr>
                <w:sz w:val="24"/>
                <w:szCs w:val="24"/>
                <w:color w:val="auto"/>
              </w:rPr>
            </w:pPr>
          </w:p>
        </w:tc>
        <w:tc>
          <w:tcPr>
            <w:tcW w:w="64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for the three months ended</w:t>
              </w:r>
            </w:hyperlink>
          </w:p>
        </w:tc>
        <w:tc>
          <w:tcPr>
            <w:tcW w:w="302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March 31, 2021 and 2020</w:t>
              </w:r>
            </w:hyperlink>
          </w:p>
        </w:tc>
        <w:tc>
          <w:tcPr>
            <w:tcW w:w="732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318"/>
        </w:trPr>
        <w:tc>
          <w:tcPr>
            <w:tcW w:w="1040" w:type="dxa"/>
            <w:vAlign w:val="bottom"/>
          </w:tcPr>
          <w:p>
            <w:pPr>
              <w:spacing w:after="0"/>
              <w:rPr>
                <w:sz w:val="24"/>
                <w:szCs w:val="24"/>
                <w:color w:val="auto"/>
              </w:rPr>
            </w:pPr>
          </w:p>
        </w:tc>
        <w:tc>
          <w:tcPr>
            <w:tcW w:w="69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months ended March 31, 2021</w:t>
              </w:r>
            </w:hyperlink>
          </w:p>
        </w:tc>
        <w:tc>
          <w:tcPr>
            <w:tcW w:w="2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and 2020</w:t>
              </w:r>
            </w:hyperlink>
          </w:p>
        </w:tc>
        <w:tc>
          <w:tcPr>
            <w:tcW w:w="850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942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296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506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0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280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766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Defaults upon Senior Securities</w:t>
              </w:r>
            </w:hyperlink>
          </w:p>
        </w:tc>
        <w:tc>
          <w:tcPr>
            <w:tcW w:w="2000" w:type="dxa"/>
            <w:vAlign w:val="bottom"/>
            <w:tcBorders>
              <w:top w:val="single" w:sz="8" w:color="0000EE"/>
            </w:tcBorders>
            <w:gridSpan w:val="2"/>
          </w:tcPr>
          <w:p>
            <w:pPr>
              <w:spacing w:after="0"/>
              <w:rPr>
                <w:sz w:val="24"/>
                <w:szCs w:val="24"/>
                <w:color w:val="auto"/>
              </w:rPr>
            </w:pPr>
          </w:p>
        </w:tc>
        <w:tc>
          <w:tcPr>
            <w:tcW w:w="508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Exhibits</w:t>
              </w:r>
            </w:hyperlink>
          </w:p>
        </w:tc>
        <w:tc>
          <w:tcPr>
            <w:tcW w:w="882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spacing w:after="0"/>
        <w:tabs>
          <w:tab w:leader="none" w:pos="100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64,386</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206,949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 net</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279,672</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6,529</w:t>
            </w:r>
          </w:p>
        </w:tc>
        <w:tc>
          <w:tcPr>
            <w:tcW w:w="180" w:type="dxa"/>
            <w:vAlign w:val="bottom"/>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Current portion of deferred revenue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right-of-use liability</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term loan</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24,568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less current portion</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Right-of-use liability, less current portion</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 payable</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26,899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Commitments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 0 shares</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March 31, 2021 and December 31, 2020</w:t>
            </w:r>
          </w:p>
        </w:tc>
        <w:tc>
          <w:tcPr>
            <w:tcW w:w="24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2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 48,248,559</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80"/>
              <w:spacing w:after="0"/>
              <w:rPr>
                <w:sz w:val="20"/>
                <w:szCs w:val="20"/>
                <w:color w:val="auto"/>
              </w:rPr>
            </w:pPr>
            <w:r>
              <w:rPr>
                <w:rFonts w:ascii="Arial" w:cs="Arial" w:eastAsia="Arial" w:hAnsi="Arial"/>
                <w:sz w:val="18"/>
                <w:szCs w:val="18"/>
                <w:color w:val="auto"/>
              </w:rPr>
              <w:t>and 47,881,223 shares issued and outstanding at March 31, 2021 and</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80"/>
              <w:spacing w:after="0"/>
              <w:rPr>
                <w:sz w:val="20"/>
                <w:szCs w:val="20"/>
                <w:color w:val="auto"/>
              </w:rPr>
            </w:pPr>
            <w:r>
              <w:rPr>
                <w:rFonts w:ascii="Arial" w:cs="Arial" w:eastAsia="Arial" w:hAnsi="Arial"/>
                <w:sz w:val="18"/>
                <w:szCs w:val="18"/>
                <w:color w:val="auto"/>
              </w:rPr>
              <w:t>December 31, 2020, respectively</w:t>
            </w: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824,542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820,815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(596,351)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(568,628)</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228,205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279,672</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39"/>
        </w:trPr>
        <w:tc>
          <w:tcPr>
            <w:tcW w:w="73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73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License fees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9"/>
                <w:szCs w:val="19"/>
                <w:color w:val="auto"/>
              </w:rPr>
            </w:pP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Other (expense) income</w:t>
            </w:r>
          </w:p>
        </w:tc>
        <w:tc>
          <w:tcPr>
            <w:tcW w:w="4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income</w:t>
            </w: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(27,723)</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(27,710)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4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FF0FC"/>
            </w:tcBorders>
            <w:vMerge w:val="continue"/>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(27,723)</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stockholders—basic</w:t>
            </w:r>
          </w:p>
        </w:tc>
        <w:tc>
          <w:tcPr>
            <w:tcW w:w="4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(0.54)</w:t>
            </w:r>
          </w:p>
        </w:tc>
        <w:tc>
          <w:tcPr>
            <w:tcW w:w="5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7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number of common shares used to compute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net loss per share attributable to common stockholders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51,499,831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34,328,640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98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(27,723)</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(15,236)</w:t>
            </w: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and accretion of investments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rPr>
              <w:t>Non-cash operating lease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7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(66,728)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(34,938)</w:t>
            </w: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and maturities of short-term investments</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Proceeds from direct stock offering, net</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debt agreement, net</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Proceeds from Employee Stock Purchase Plan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stock option exercises</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(50,857)</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115,358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64,501</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98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80" w:type="dxa"/>
            <w:vAlign w:val="bottom"/>
          </w:tcPr>
          <w:p>
            <w:pPr>
              <w:ind w:left="1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Issuance costs debt included in accounts payable and accrued expenses</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jc w:val="both"/>
        <w:ind w:right="580" w:firstLine="510"/>
        <w:spacing w:after="0" w:line="263" w:lineRule="auto"/>
        <w:rPr>
          <w:sz w:val="20"/>
          <w:szCs w:val="20"/>
          <w:color w:val="auto"/>
        </w:rPr>
      </w:pPr>
      <w:r>
        <w:rPr>
          <w:rFonts w:ascii="Arial" w:cs="Arial" w:eastAsia="Arial" w:hAnsi="Arial"/>
          <w:sz w:val="18"/>
          <w:szCs w:val="18"/>
          <w:color w:val="auto"/>
        </w:rPr>
        <w:t>Syndax Pharmaceuticals, Inc. (“we,” “us,” “our” or the “Company”) is a clinical stage biopharmaceutical company developing an innovative pipeline of cancer therapies. We were incorporated in Delaware in 2005. We base our operations in Waltham, Massachusetts and we operate in one segment.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March 31, 2021, and the results of operations and comprehensive loss and cash flows for the three months ended March 31, 2021 and 2020. The results for the three months ended March 31, 2021 are not necessarily indicative of the results to be expected for the year ending December 31, 2021, any other interim periods, or any future year or period. These interim financial statements should be read in conjunction with the audited financial statements as of and for the year ended December 31, 2020, and the notes thereto, which are included in the Company’s Annual Report on Form 10-K that was filed with the Securities and Exchange Commission (“SEC”) on March 12, 2021.</w:t>
      </w:r>
    </w:p>
    <w:p>
      <w:pPr>
        <w:spacing w:after="0" w:line="166"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In 2011, the Company established a wholly owned subsidiary in the United Kingdom. There have been no activities for this entity to date. In 2014, the Company established a wholly owned U.S. subsidiary, Syndax Securities Corporation. The condensed consolidated financial statements include the accounts of the Company and its wholly owned subsidiaries. All intercompany balances and transactions have been eliminated in consolidation.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significant accounting policies, which are disclosed in the audited consolidated financial statements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and the notes thereto are included in the Company’s Annual Report on Form 10-K that was filed with the SEC on March 12,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Since the date of that filing, there have been no material changes to the Company’s significant accounting policies except as noted below.</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Significant Risks and Uncertainties</w:t>
      </w:r>
    </w:p>
    <w:p>
      <w:pPr>
        <w:spacing w:after="0" w:line="11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We have implemented business continuity plans designed to address and mitigate the impact of the COVID-19 pandemic on our business. We anticipate that the COVID-19 pandemic could have an impact on the clinical development timelines for one or more of our clinical programs. The extent to which the COVID-19 pandemic impacts our business, our clinical development, manufacturing of clinical and commercial drug substance and drug product, and regulatory efforts, our corporate development objectives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U.S., Europe and other countries, and the effectiveness of actions taken globally to contain and treat the disease. The global economic slowdown, the overall disruption of global healthcare systems and the other risks and uncertainties associated with the pandemic could have a material adverse effect on our business, financial condition, results of operations and growth prospects.</w:t>
      </w:r>
    </w:p>
    <w:p>
      <w:pPr>
        <w:spacing w:after="0" w:line="88"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In addition,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our intellectual property rights; complying with applicable regulatory requirements. In addition, to the extent the ongoing COVID-19 pandemic adversely affects our business and results of operations, it may also have the effect of heightening many of the other risks and uncertainties discussed above.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8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anticipate that the COVID-19 pandemic will have an impact on the clinical and pre-clinical development timelines for our clinical and pre-clinical programs.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from Contracts with Customers</w:t>
      </w:r>
    </w:p>
    <w:p>
      <w:pPr>
        <w:spacing w:after="0" w:line="12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On December 19, 2014 (the “Effective Date”), the Company entered into a license agreement with Kyowa Kirin, Co., Ltd. (the KKC License Agreement), under which the Company granted KKC an exclusive license to develop and commercialize entinostat in Japan and Korea. Under the terms of the KKC License Agreement, the Company will be responsible for the manufacture and supply of the products during the development activities. In addition to the license and manufacturing obligations, the Company is obligated to provide KKC access to know-how and regulatory information the Company may develop over the life of the entinostat patent. Lastly, to the extent additional intellectual property is developed during the term of the agreement, KKC will receive the right to the intellectual property when and if available. KKC will conduct the development, regulatory approval filings, and commercialization activities of entinostat in Japan and Korea. KKC paid the Company $25.0 million upfront, which included a $7.5 million equity investment and a $17.5 million non-refundable cash payment. In addition, to the extent certain development and commercial milestones are achieved, KKC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68"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equity purchase and the up-front payment of the license fee were accounted for separately. The Company allocated the amount of consideration equal to the fair value of the shares on the Effective Date, which resulted in $7.7 million of proceeds allocated to the equity purchase and the remaining consideration of $17.3 million allocated to the up-front license fee.</w:t>
      </w:r>
    </w:p>
    <w:p>
      <w:pPr>
        <w:spacing w:after="0" w:line="184"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October 2017, the Company announced that KKC enrolled the first Japanese patient into a local pivotal study of entinostat for the treatment of hormone receptor positive, human epidermal growth factor receptor 2 negative breast cancer. In accordance with the terms of the license agreement, KKC paid the Company a $5.0 million milestone payment which the Company received in December 2017.</w:t>
      </w:r>
    </w:p>
    <w:p>
      <w:pPr>
        <w:spacing w:after="0" w:line="76"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The Company determined that the performance obligations associated with the KKC License Agreement include (i) the combined license, rights to access and use materials and data, and rights to additional intellectual property, and (ii) the clinical supply obligation. All other goods or services promised to KKC are immaterial in the context of the agreement. Under ASC 606, the identification of the clinical supply obligation as a distinct performance obligation separate and apart from the license performance obligation resulted in a change in the performance period. The start of the performance period under ASC 606 was determined to be the contract inception date, December 19, 2014. The clinical supply was identified as a separate performance obligation under ASC 606 as (i) the Company is not providing a significant service of integration whereby the clinical supply and other promises are inputs into a combined output, (ii) the clinical supply does not significantly modify or customize the other promises nor is it significantly modified or customized by them, and (iii) the clinical supply is not highly interdependent or highly interrelated with the other promises in the agreement as KKC could choose not to purchase the clinical supply from the Company without significantly affecting the other promised goods or services. The Company further concluded that the clinical supply represented an immaterial performance obligation and therefore the entire $17.3 million allocated to the upfront payment was allocated to the combined license and will be recognized ratably over the performance period, representing contract inception though 2029. In 2017, KKC achieved a development milestone, and was required to pay the Company $5.0 million. The Company is recognizing the development milestone consideration over the performance period coinciding with the license to intellectual property. As the Company determined that its performance obligations associated with the KKC Agreement at contract inception were not distinct and represented a single performance obligation, and that the obligations for goods and services provided would be completed over the performance period of the agreement, any payments received by the Company from KKC, including the upfront payment and progress-dependent development and regulatory milestone payments, are recognized as revenue using a time-based proportional performance model over the contract term (December 2014 through 2029) of the collaboration, within license fees. To date no commercial milestone payments or royalties have been achieved.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jc w:val="both"/>
        <w:ind w:right="100" w:firstLine="510"/>
        <w:spacing w:after="0" w:line="263" w:lineRule="auto"/>
        <w:rPr>
          <w:sz w:val="20"/>
          <w:szCs w:val="20"/>
          <w:color w:val="auto"/>
        </w:rPr>
      </w:pPr>
      <w:r>
        <w:rPr>
          <w:rFonts w:ascii="Arial" w:cs="Arial" w:eastAsia="Arial" w:hAnsi="Arial"/>
          <w:sz w:val="18"/>
          <w:szCs w:val="18"/>
          <w:color w:val="auto"/>
        </w:rPr>
        <w:t>Contract liabilities consisted of deferred revenue, as presented on the consolidated balance sheet, as of March 31, 2021. Deferred revenue related to the KKC License Agreement was $12.8 million as of March 31, 2021 and will be recognized over the remainder of the contract term. For the three months ended March 31, 2021 and 2020, the Company recognized $0.4 million, respectively, as revenue.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 Attributable to Common Stockholders</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67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60" w:type="dxa"/>
            <w:vAlign w:val="bottom"/>
            <w:gridSpan w:val="4"/>
          </w:tcPr>
          <w:p>
            <w:pPr>
              <w:jc w:val="center"/>
              <w:ind w:right="333"/>
              <w:spacing w:after="0" w:line="133" w:lineRule="exact"/>
              <w:rPr>
                <w:sz w:val="20"/>
                <w:szCs w:val="20"/>
                <w:color w:val="auto"/>
              </w:rPr>
            </w:pPr>
            <w:r>
              <w:rPr>
                <w:rFonts w:ascii="Arial" w:cs="Arial" w:eastAsia="Arial" w:hAnsi="Arial"/>
                <w:sz w:val="14"/>
                <w:szCs w:val="14"/>
                <w:b w:val="1"/>
                <w:bCs w:val="1"/>
                <w:color w:val="auto"/>
                <w:w w:val="91"/>
              </w:rPr>
              <w:t>(In thousands, except share and per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3"/>
          </w:tcPr>
          <w:p>
            <w:pPr>
              <w:jc w:val="center"/>
              <w:ind w:left="818"/>
              <w:spacing w:after="0"/>
              <w:rPr>
                <w:sz w:val="20"/>
                <w:szCs w:val="20"/>
                <w:color w:val="auto"/>
              </w:rPr>
            </w:pPr>
            <w:r>
              <w:rPr>
                <w:rFonts w:ascii="Arial" w:cs="Arial" w:eastAsia="Arial" w:hAnsi="Arial"/>
                <w:sz w:val="14"/>
                <w:szCs w:val="14"/>
                <w:b w:val="1"/>
                <w:bCs w:val="1"/>
                <w:color w:val="auto"/>
                <w:w w:val="90"/>
              </w:rPr>
              <w:t>share data)</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Numerator—basic and diluted:</w:t>
            </w:r>
          </w:p>
        </w:tc>
        <w:tc>
          <w:tcPr>
            <w:tcW w:w="1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(27,723)</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(15,236)</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Deemed dividend due to warrant reset</w:t>
            </w:r>
          </w:p>
        </w:tc>
        <w:tc>
          <w:tcPr>
            <w:tcW w:w="1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8"/>
                <w:szCs w:val="18"/>
                <w:color w:val="auto"/>
              </w:rPr>
              <w:t>Net loss attributable to common</w:t>
            </w:r>
          </w:p>
        </w:tc>
        <w:tc>
          <w:tcPr>
            <w:tcW w:w="1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140"/>
              <w:spacing w:after="0"/>
              <w:rPr>
                <w:sz w:val="20"/>
                <w:szCs w:val="20"/>
                <w:color w:val="auto"/>
              </w:rPr>
            </w:pPr>
            <w:r>
              <w:rPr>
                <w:rFonts w:ascii="Arial" w:cs="Arial" w:eastAsia="Arial" w:hAnsi="Arial"/>
                <w:sz w:val="18"/>
                <w:szCs w:val="18"/>
                <w:color w:val="auto"/>
              </w:rPr>
              <w:t>stockholders—basic and diluted</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(27,723)</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(19,142)</w:t>
            </w:r>
          </w:p>
        </w:tc>
        <w:tc>
          <w:tcPr>
            <w:tcW w:w="0" w:type="dxa"/>
            <w:vAlign w:val="bottom"/>
          </w:tcPr>
          <w:p>
            <w:pPr>
              <w:spacing w:after="0"/>
              <w:rPr>
                <w:sz w:val="1"/>
                <w:szCs w:val="1"/>
                <w:color w:val="auto"/>
              </w:rPr>
            </w:pPr>
          </w:p>
        </w:tc>
      </w:tr>
      <w:tr>
        <w:trPr>
          <w:trHeight w:val="196"/>
        </w:trPr>
        <w:tc>
          <w:tcPr>
            <w:tcW w:w="47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134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stockholders—basic and diluted</w:t>
            </w:r>
          </w:p>
        </w:tc>
        <w:tc>
          <w:tcPr>
            <w:tcW w:w="17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(0.54)</w:t>
            </w: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Denominator—basic and diluted:</w:t>
            </w:r>
          </w:p>
        </w:tc>
        <w:tc>
          <w:tcPr>
            <w:tcW w:w="13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w:t>
            </w: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used to compute net loss per share attributable</w:t>
            </w: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 common stockholders—basic and diluted</w:t>
            </w:r>
          </w:p>
        </w:tc>
        <w:tc>
          <w:tcPr>
            <w:tcW w:w="13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51,499,831</w:t>
            </w:r>
          </w:p>
        </w:tc>
        <w:tc>
          <w:tcPr>
            <w:tcW w:w="2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34,328,640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8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94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7,404,823</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6,897,802</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4,595,039</w:t>
            </w:r>
          </w:p>
        </w:tc>
        <w:tc>
          <w:tcPr>
            <w:tcW w:w="80" w:type="dxa"/>
            <w:vAlign w:val="bottom"/>
          </w:tcPr>
          <w:p>
            <w:pPr>
              <w:spacing w:after="0"/>
              <w:rPr>
                <w:sz w:val="19"/>
                <w:szCs w:val="19"/>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8,214</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24,214</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Non-vested restricted stock units (RSUs)</w:t>
            </w:r>
          </w:p>
        </w:tc>
        <w:tc>
          <w:tcPr>
            <w:tcW w:w="1320" w:type="dxa"/>
            <w:vAlign w:val="bottom"/>
          </w:tcPr>
          <w:p>
            <w:pPr>
              <w:jc w:val="right"/>
              <w:spacing w:after="0"/>
              <w:rPr>
                <w:sz w:val="20"/>
                <w:szCs w:val="20"/>
                <w:color w:val="auto"/>
              </w:rPr>
            </w:pPr>
            <w:r>
              <w:rPr>
                <w:rFonts w:ascii="Arial" w:cs="Arial" w:eastAsia="Arial" w:hAnsi="Arial"/>
                <w:sz w:val="18"/>
                <w:szCs w:val="18"/>
                <w:color w:val="auto"/>
              </w:rPr>
              <w:t>124,083</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20"/>
                <w:szCs w:val="20"/>
                <w:color w:val="auto"/>
              </w:rPr>
            </w:pPr>
          </w:p>
        </w:tc>
      </w:tr>
    </w:tbl>
    <w:p>
      <w:pPr>
        <w:spacing w:after="0" w:line="309"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In June 2018, the Company signed an exchange agreement with an investor under which the investor exchanged 2,000,000 shares of common stock for 2,000,000 warrants. Further, as discussed in Note 12, in March 2019, the Company sold 2,095,039 shares of common stock as well as 2,500,000 pre-funded warrants and 4,595,039 Series 1 and Series 2 warrants. The pre-funded warrants are exercisable into shares of common stock for $0.0001 per share. In January 2020, the Company sold 3,036,719 shares of common stock as well as 1,338,287 pre-funded warrants. The warrants are exercisable into shares of common stock for $0.0001 per share. The shares of common stock into which the pre-funded warrants may be exercised are considered outstanding for the purposes of computing earnings per share. All Series 1 and Series 2 warrants were exercised in 2020.</w:t>
      </w:r>
    </w:p>
    <w:p>
      <w:pPr>
        <w:spacing w:after="0" w:line="5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During the first quarter of 2021, 250,000 pre-funded warrants were exchanged for shares of common stock in a cash exercise. As of March 31, 2021, 3,307,952 pre-funded warrants were outstanding.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6. Significant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Vitae Pharmaceuticals, Inc.</w:t>
      </w:r>
    </w:p>
    <w:p>
      <w:pPr>
        <w:spacing w:after="0" w:line="121"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In October 2017, the Company entered into a license agreement (the “AbbVie License Agreement”) with Vitae Pharmaceuticals, Inc., which is now a subsidiary of AbbVie, Inc. (“AbbVie”), under which AbbVie granted the Company an exclusive, sublicensable, worldwide license to a portfolio of preclinical, orally available, small molecule inhibitors of the interaction of Menin with the Mixed Lineage Leukemia (“MLL”) protein (the “Menin Assets”). The Company made a nonrefundable upfront payment of $5.0 million to AbbVie in the fourth quarter of 2017. Additionally, subject to the achievement of certain milestone events, the Company may be required to pay AbbVie up to $99.0 million in one-time development and regulatory milestone payments over the term of the AbbVie License Agreement. In the event that the Company or any of its affiliates or sublicensees commercializes the Menin Assets, the Company will also be obligated to pay AbbVie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AbbVie. The Company is solely responsible for the development and commercialization of the Menin Assets. Each party may terminate the AbbVie License Agreement for the other party’s uncured material breach or insolvency; and the Company may terminate the AbbVie License Agreement at will at any time upon advance written notice to AbbVie. AbbVie may terminate the AbbVie License Agreement if the Company or any of its affiliates or sublicensees institutes a legal challenge to the validity, enforceability, or patentability of the licensed patent rights. Unless terminated earlier in accordance with its terms, the AbbVie License Agreement will continue on a country-by-country and product-by-product basis until the later of: (i) the expiration of all of the licensed patent rights in such country; (ii) the expiration of all regulatory exclusivity applicable to the product in such country; and</w:t>
      </w:r>
    </w:p>
    <w:p>
      <w:pPr>
        <w:jc w:val="both"/>
        <w:ind w:right="20" w:firstLine="8"/>
        <w:spacing w:after="0" w:line="295" w:lineRule="auto"/>
        <w:tabs>
          <w:tab w:leader="none" w:pos="315" w:val="left"/>
        </w:tabs>
        <w:numPr>
          <w:ilvl w:val="0"/>
          <w:numId w:val="6"/>
        </w:numPr>
        <w:rPr>
          <w:rFonts w:ascii="Arial" w:cs="Arial" w:eastAsia="Arial" w:hAnsi="Arial"/>
          <w:sz w:val="16"/>
          <w:szCs w:val="16"/>
          <w:color w:val="auto"/>
        </w:rPr>
      </w:pPr>
      <w:r>
        <w:rPr>
          <w:rFonts w:ascii="Arial" w:cs="Arial" w:eastAsia="Arial" w:hAnsi="Arial"/>
          <w:sz w:val="16"/>
          <w:szCs w:val="16"/>
          <w:color w:val="auto"/>
        </w:rPr>
        <w:t>10 years from the date of the first commercial sale of the product in such country. As of the date of the AbbVie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In June 2019, the Company achieved certain development and regulatory milestones. As a result, in June 2019, the Company recorded $4.0 million as research and development expense. The amount was paid in 2020.</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UCB Biopharma Sprl</w:t>
      </w:r>
    </w:p>
    <w:p>
      <w:pPr>
        <w:spacing w:after="0" w:line="121" w:lineRule="exact"/>
        <w:rPr>
          <w:sz w:val="20"/>
          <w:szCs w:val="20"/>
          <w:color w:val="auto"/>
        </w:rPr>
      </w:pPr>
    </w:p>
    <w:p>
      <w:pPr>
        <w:jc w:val="both"/>
        <w:ind w:right="240" w:firstLine="510"/>
        <w:spacing w:after="0" w:line="287" w:lineRule="auto"/>
        <w:rPr>
          <w:sz w:val="20"/>
          <w:szCs w:val="20"/>
          <w:color w:val="auto"/>
        </w:rPr>
      </w:pPr>
      <w:r>
        <w:rPr>
          <w:rFonts w:ascii="Arial" w:cs="Arial" w:eastAsia="Arial" w:hAnsi="Arial"/>
          <w:sz w:val="16"/>
          <w:szCs w:val="16"/>
          <w:color w:val="auto"/>
        </w:rPr>
        <w:t>In 2016, the Company entered into a license agreement (the “UCB License Agreement”) with UCB Biopharma Sprl (“UCB”), under which UCB granted to the Company a worldwide, sublicenseable, exclusive license to UCB6352, which the Company refers to as axatilimab, an investigational new drug (“IND”) ready anti-CSF-1R monoclonal antibody. The Company made a nonrefundable upfront payment of $5.0 million to UCB in</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is performing a limited set of transitional chemistry, manufacturing and control tasks related to axatilimab.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75"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In July 2020, the Company achieved certain development and regulatory milestones. As a result, in July 2020, the Company recorded $2.0 million as research and development expense, which has been fully paid. In March 2021, the Company recorded $2.0 million as research and development expense for the achievement of a certain development milestone. This amount was recorded in accounts payable as of March 31, 2021.</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Eastern Cooperative Oncology Group</w:t>
      </w:r>
    </w:p>
    <w:p>
      <w:pPr>
        <w:spacing w:after="0" w:line="12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In March 2014, the Company entered into the ECOG Agreement with Eastern Cooperative Oncology Group, a contracting entity for the Eastern Cooperative Oncology Group—American College of Radiology Imaging Network Cancer Research Group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 w:name="page12"/>
    <w:bookmarkEnd w:id="11"/>
    <w:p>
      <w:pPr>
        <w:ind w:right="60"/>
        <w:spacing w:after="0" w:line="290" w:lineRule="auto"/>
        <w:rPr>
          <w:sz w:val="20"/>
          <w:szCs w:val="20"/>
          <w:color w:val="auto"/>
        </w:rPr>
      </w:pPr>
      <w:r>
        <w:rPr>
          <w:rFonts w:ascii="Arial" w:cs="Arial" w:eastAsia="Arial" w:hAnsi="Arial"/>
          <w:sz w:val="16"/>
          <w:szCs w:val="16"/>
          <w:color w:val="auto"/>
        </w:rPr>
        <w:t>(“ECOG-ACRIN”),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is providing a fixed level of financial support for the clinical trial through an upfront payment of $0.7 million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From the second quarter of 2016 through the fourth quarter of 2018, the Company has entered into a number of amendments to the agreement to provide for additional study activities resulting in an increase of the contractual obligation of $5.3 million. The Company has agreed to provide this additional financial support to fund the additional activities required to ensure that the E2112 clinical trial will satisfy FDA registration requirements.</w:t>
      </w:r>
    </w:p>
    <w:p>
      <w:pPr>
        <w:spacing w:after="0" w:line="5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In May 2020, the Company announced that the E2112 trial did not achieve the primary endpoint of demonstrating a statistically significant overall survival benefit over hormone therapy alone. As a result, the Company has decided to deprioritize the entinostat program to focus resources on advancing the remainder of its pipeline. As of March 31, 2021, the Company’s aggregate payment obligations under this agreement are approximately $24.7 million; and its remaining payment obligations are approximately $3.2 million, which are estimated to be paid over a period of approximately one year. As of March 31, 2021, the Company has accrued $2.3 million related to the ECOG Agreement.</w:t>
      </w:r>
    </w:p>
    <w:p>
      <w:pPr>
        <w:spacing w:after="0" w:line="6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 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(unadjusted) in active markets that are accessible at the market date for identical unrestricted assets or liabilities.</w:t>
      </w:r>
    </w:p>
    <w:p>
      <w:pPr>
        <w:spacing w:after="0" w:line="129" w:lineRule="exact"/>
        <w:rPr>
          <w:sz w:val="20"/>
          <w:szCs w:val="20"/>
          <w:color w:val="auto"/>
        </w:rPr>
      </w:pPr>
    </w:p>
    <w:p>
      <w:pPr>
        <w:ind w:left="1200" w:right="260" w:hanging="688"/>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for which all significant inputs are observable or can be corroborated by observable market data for substantially the full term of the assets or liabilities.</w:t>
      </w:r>
    </w:p>
    <w:p>
      <w:pPr>
        <w:spacing w:after="0" w:line="76" w:lineRule="exact"/>
        <w:rPr>
          <w:sz w:val="20"/>
          <w:szCs w:val="20"/>
          <w:color w:val="auto"/>
        </w:rPr>
      </w:pPr>
    </w:p>
    <w:p>
      <w:pPr>
        <w:jc w:val="center"/>
        <w:ind w:right="-179"/>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jc w:val="both"/>
        <w:ind w:firstLine="510"/>
        <w:spacing w:after="0" w:line="263"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periods presented.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Fair Value Measurements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Prices</w:t>
            </w: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(unadjusted)</w:t>
            </w: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gridSpan w:val="5"/>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0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March 31, 2021</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4020" w:type="dxa"/>
            <w:vAlign w:val="bottom"/>
            <w:tcBorders>
              <w:top w:val="single" w:sz="8" w:color="CFF0FC"/>
            </w:tcBorders>
            <w:gridSpan w:val="2"/>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88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64,386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64,386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3"/>
          </w:tcPr>
          <w:p>
            <w:pPr>
              <w:ind w:left="2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206,949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206,949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271,335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64,386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3"/>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115,243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110,246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4,997</w:t>
            </w:r>
          </w:p>
        </w:tc>
        <w:tc>
          <w:tcPr>
            <w:tcW w:w="2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177,822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177,822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gridSpan w:val="3"/>
          </w:tcPr>
          <w:p>
            <w:pPr>
              <w:ind w:left="4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293,065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110,246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Cash and cash equivalents of $64.4 million and $110.2 million as of March 31, 2021 and December 31, 2020, respectively, consisted of overnight investments and money market funds and are classified within Level 1 of the fair value hierarchy because they are valued using quoted market prices in active markets. Cash equivalents of $5.0 million as of December 31, 2020, consisted of highly rated corporate bonds and commercial paper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Short-term investments of $206.9 million and $177.8 million as of March 31, 2021 and December 31, 2020, respectively, consisted of commercial paper, highly rated corporate bonds and asset backed securities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13" w:name="page14"/>
    <w:bookmarkEnd w:id="13"/>
    <w:p>
      <w:pPr>
        <w:ind w:right="40" w:firstLine="510"/>
        <w:spacing w:after="0" w:line="272" w:lineRule="auto"/>
        <w:rPr>
          <w:sz w:val="20"/>
          <w:szCs w:val="20"/>
          <w:color w:val="auto"/>
        </w:rPr>
      </w:pPr>
      <w:r>
        <w:rPr>
          <w:rFonts w:ascii="Arial" w:cs="Arial" w:eastAsia="Arial" w:hAnsi="Arial"/>
          <w:sz w:val="17"/>
          <w:szCs w:val="17"/>
          <w:color w:val="auto"/>
        </w:rPr>
        <w:t>The short-term investments are classified as available-for-sale securities. As of March 31, 2021,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 maturity of available-for-sale securities during the three months ended March 31, 2021 and 2020. As a result, the Company did not reclassify any amounts out of accumulated other comprehensive income for the same periods. The Company has a limited number of available-for-sale securities in insignificant loss positions as of March 31, 2021, which the Company does not intend to sell and has concluded it will not be required to sell before recovery of the amortized cost for the investment at maturity. The following table summarizes the available-for-sale securities: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9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Unrealized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7"/>
          </w:tcPr>
          <w:p>
            <w:pPr>
              <w:jc w:val="right"/>
              <w:ind w:right="86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20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March 31, 2021</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tcBorders>
              <w:lef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Borders>
              <w:top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gridSpan w:val="4"/>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160,222</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19</w:t>
            </w:r>
          </w:p>
        </w:tc>
        <w:tc>
          <w:tcPr>
            <w:tcW w:w="1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21,226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gridSpan w:val="4"/>
          </w:tcPr>
          <w:p>
            <w:pPr>
              <w:ind w:left="240"/>
              <w:spacing w:after="0"/>
              <w:rPr>
                <w:sz w:val="20"/>
                <w:szCs w:val="20"/>
                <w:color w:val="auto"/>
              </w:rPr>
            </w:pPr>
            <w:r>
              <w:rPr>
                <w:rFonts w:ascii="Arial" w:cs="Arial" w:eastAsia="Arial" w:hAnsi="Arial"/>
                <w:sz w:val="18"/>
                <w:szCs w:val="18"/>
                <w:color w:val="auto"/>
              </w:rPr>
              <w:t>US Treasury</w:t>
            </w: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25,492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7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206,940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right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23</w:t>
            </w:r>
          </w:p>
        </w:tc>
        <w:tc>
          <w:tcPr>
            <w:tcW w:w="120" w:type="dxa"/>
            <w:vAlign w:val="bottom"/>
            <w:tcBorders>
              <w:top w:val="single" w:sz="8" w:color="CFF0FC"/>
              <w:left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0" w:type="dxa"/>
            <w:vAlign w:val="bottom"/>
          </w:tcPr>
          <w:p>
            <w:pPr>
              <w:spacing w:after="0"/>
              <w:rPr>
                <w:sz w:val="14"/>
                <w:szCs w:val="14"/>
                <w:color w:val="auto"/>
              </w:rPr>
            </w:pPr>
          </w:p>
        </w:tc>
        <w:tc>
          <w:tcPr>
            <w:tcW w:w="52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2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154,176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13</w:t>
            </w:r>
          </w:p>
        </w:tc>
        <w:tc>
          <w:tcPr>
            <w:tcW w:w="120" w:type="dxa"/>
            <w:vAlign w:val="bottom"/>
            <w:tcBorders>
              <w:left w:val="single" w:sz="8" w:color="CFF0FC"/>
            </w:tcBorders>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00" w:type="dxa"/>
            <w:vAlign w:val="bottom"/>
            <w:gridSpan w:val="4"/>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22,617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US Treasury</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6,030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182,823</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8. Prepaid Expenses and Other Current Assets</w:t>
            </w: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78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80" w:type="dxa"/>
            <w:vAlign w:val="bottom"/>
            <w:gridSpan w:val="5"/>
          </w:tcPr>
          <w:p>
            <w:pPr>
              <w:ind w:left="520"/>
              <w:spacing w:after="0"/>
              <w:rPr>
                <w:sz w:val="20"/>
                <w:szCs w:val="20"/>
                <w:color w:val="auto"/>
              </w:rPr>
            </w:pPr>
            <w:r>
              <w:rPr>
                <w:rFonts w:ascii="Arial" w:cs="Arial" w:eastAsia="Arial" w:hAnsi="Arial"/>
                <w:sz w:val="18"/>
                <w:szCs w:val="18"/>
                <w:color w:val="auto"/>
                <w:w w:val="94"/>
              </w:rPr>
              <w:t>Prepaid expenses and other current assets consisted of the following:</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Short-term deposits</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4,840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Prepaid insurance</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receivable on investments</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Prepaid subscriptions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clinical supplies</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Reimbursable costs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120" w:type="dxa"/>
            <w:vAlign w:val="bottom"/>
            <w:tcBorders>
              <w:left w:val="single" w:sz="8" w:color="CFF0FC"/>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00" w:type="dxa"/>
            <w:vAlign w:val="bottom"/>
            <w:gridSpan w:val="4"/>
          </w:tcPr>
          <w:p>
            <w:pPr>
              <w:ind w:left="1120"/>
              <w:spacing w:after="0"/>
              <w:rPr>
                <w:sz w:val="20"/>
                <w:szCs w:val="20"/>
                <w:color w:val="auto"/>
              </w:rPr>
            </w:pPr>
            <w:r>
              <w:rPr>
                <w:rFonts w:ascii="Arial" w:cs="Arial" w:eastAsia="Arial" w:hAnsi="Arial"/>
                <w:sz w:val="18"/>
                <w:szCs w:val="18"/>
                <w:color w:val="auto"/>
              </w:rPr>
              <w:t>Total prepaid expenses and other current assets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7,612</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78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80" w:type="dxa"/>
            <w:vAlign w:val="bottom"/>
            <w:gridSpan w:val="5"/>
          </w:tcPr>
          <w:p>
            <w:pPr>
              <w:ind w:left="520"/>
              <w:spacing w:after="0"/>
              <w:rPr>
                <w:sz w:val="20"/>
                <w:szCs w:val="20"/>
                <w:color w:val="auto"/>
              </w:rPr>
            </w:pPr>
            <w:r>
              <w:rPr>
                <w:rFonts w:ascii="Arial" w:cs="Arial" w:eastAsia="Arial" w:hAnsi="Arial"/>
                <w:sz w:val="18"/>
                <w:szCs w:val="18"/>
                <w:color w:val="auto"/>
                <w:w w:val="91"/>
              </w:rPr>
              <w:t>Accrued expenses and other current liabilities consisted of the following:</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clinical costs</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8,997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7,132</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Accrued compensation and related costs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FF0FC"/>
          </w:tcPr>
          <w:p>
            <w:pPr>
              <w:spacing w:after="0"/>
              <w:rPr>
                <w:sz w:val="19"/>
                <w:szCs w:val="19"/>
                <w:color w:val="auto"/>
              </w:rPr>
            </w:pPr>
          </w:p>
        </w:tc>
        <w:tc>
          <w:tcPr>
            <w:tcW w:w="120" w:type="dxa"/>
            <w:vAlign w:val="bottom"/>
            <w:tcBorders>
              <w:left w:val="single" w:sz="8" w:color="CFF0FC"/>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00" w:type="dxa"/>
            <w:vAlign w:val="bottom"/>
            <w:gridSpan w:val="4"/>
          </w:tcPr>
          <w:p>
            <w:pPr>
              <w:ind w:left="1120"/>
              <w:spacing w:after="0"/>
              <w:rPr>
                <w:sz w:val="20"/>
                <w:szCs w:val="20"/>
                <w:color w:val="auto"/>
              </w:rPr>
            </w:pPr>
            <w:r>
              <w:rPr>
                <w:rFonts w:ascii="Arial" w:cs="Arial" w:eastAsia="Arial" w:hAnsi="Arial"/>
                <w:sz w:val="18"/>
                <w:szCs w:val="18"/>
                <w:color w:val="auto"/>
                <w:w w:val="99"/>
              </w:rPr>
              <w:t>Total accrued expenses and other current liabilities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11,414</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January 2021, the number of shares of common stock available for issuance under the 2015 Omnibus Incentive Plan (“2015 Plan”) was increased by 1,915,248 shares due to the automatic annual provision to increase shares available under the 2015 Plan. As of March 31, 2021, the total number of shares of common stock available for issuance under the 2015 Plan was 1,259,406. The Company recognized stock-based compensation expense related to the issuance of stock option awards to employees and non-employees and related to the 2015 Employee Stock Purchase Plan (“ESPP”) in the condensed consolidated statements of comprehensive loss as follows: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4" w:name="page15"/>
    <w:bookmarkEnd w:id="14"/>
    <w:tbl>
      <w:tblPr>
        <w:tblLayout w:type="fixed"/>
        <w:tblInd w:w="170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0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3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3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38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FF0FC"/>
          </w:tcPr>
          <w:p>
            <w:pPr>
              <w:spacing w:after="0"/>
              <w:rPr>
                <w:sz w:val="19"/>
                <w:szCs w:val="19"/>
                <w:color w:val="auto"/>
              </w:rPr>
            </w:pPr>
          </w:p>
        </w:tc>
      </w:tr>
      <w:tr>
        <w:trPr>
          <w:trHeight w:val="230"/>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1,864</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80" w:type="dxa"/>
            <w:vAlign w:val="bottom"/>
            <w:tcBorders>
              <w:bottom w:val="single" w:sz="8" w:color="CFF0FC"/>
            </w:tcBorders>
          </w:tcPr>
          <w:p>
            <w:pPr>
              <w:spacing w:after="0"/>
              <w:rPr>
                <w:sz w:val="19"/>
                <w:szCs w:val="19"/>
                <w:color w:val="auto"/>
              </w:rPr>
            </w:pPr>
          </w:p>
        </w:tc>
      </w:tr>
      <w:tr>
        <w:trPr>
          <w:trHeight w:val="223"/>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2,767</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Compensation expense by type of award in the three months ended March 31, 2021 and 2020 was as follows: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3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3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22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2,346</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80" w:type="dxa"/>
            <w:vAlign w:val="bottom"/>
            <w:shd w:val="clear" w:color="auto" w:fill="CFF0FC"/>
          </w:tcPr>
          <w:p>
            <w:pPr>
              <w:spacing w:after="0"/>
              <w:rPr>
                <w:sz w:val="19"/>
                <w:szCs w:val="19"/>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4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9"/>
                <w:szCs w:val="19"/>
                <w:color w:val="auto"/>
              </w:rPr>
            </w:pPr>
          </w:p>
        </w:tc>
        <w:tc>
          <w:tcPr>
            <w:tcW w:w="760" w:type="dxa"/>
            <w:vAlign w:val="bottom"/>
            <w:tcBorders>
              <w:bottom w:val="single" w:sz="8" w:color="auto"/>
            </w:tcBorders>
          </w:tcPr>
          <w:p>
            <w:pPr>
              <w:jc w:val="right"/>
              <w:ind w:right="608"/>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2,767</w:t>
            </w:r>
          </w:p>
        </w:tc>
        <w:tc>
          <w:tcPr>
            <w:tcW w:w="2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8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During the three months ended March 31, 2021, the Company granted 1,202,200 stock options to certain executives and employees having service-based vesting conditions. The grant date fair value of the options granted in the three months ended March 31, 2021, was $18.3 million, or $15.25 per share on a weighted-average basis and will be recognized as compensation expense over the requisite service period of four years.</w:t>
      </w:r>
    </w:p>
    <w:p>
      <w:pPr>
        <w:spacing w:after="0" w:line="16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2019, the Company granted 583,000 stock options to certain employees to purchase shares of common stock that contain certain performance-based vesting criteria, primarily related to the achievement of certain clinical and regulatory development milestones related to product candidates.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w:t>
      </w:r>
    </w:p>
    <w:p>
      <w:pPr>
        <w:spacing w:after="0" w:line="188"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In the fourth quarter of 2020 one of the performance milestones was achieved and of the associated 194,331 stock options, 64,777 stock options vested. The remaining options will vest in the fourth quarter of 2021 and 2022. The Company recorded approximately $64,000 and $50,000 of stock compensation expense associated with these awards for the three months ended March 31, 2021, and 2020, respectively. For the remaining milestones, the performance conditions were not met. Therefore, no expense has been recognized related to these awards for the three months ended March 31, 2021, and 388,669 options were cancelled in 2020.</w:t>
      </w:r>
    </w:p>
    <w:p>
      <w:pPr>
        <w:spacing w:after="0" w:line="18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During the three months ended March 31, 2021, 100,954 options were exercised for cash proceeds of approximately $881,000 and 51,034 options were exercised for cash proceeds of approximately $338,000 in the three months ended March 31,2020.</w:t>
      </w:r>
    </w:p>
    <w:p>
      <w:pPr>
        <w:spacing w:after="0" w:line="170"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As of March 31, 2021, there was $31.7 million of unrecognized compensation cost related to employee and non-employee unvested stock options granted under the 2015 and 2007 Plans, which is expected to be recognized over a weighted-average remaining service period of 3.08 years. Stock compensation costs have not been capitalized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During the three months ended March 31, 2021, the Company granted 109,333 shares of the Company’s restricted stock units. The shares are scheduled to vest in equal annual tranches over a four-year period on the anniversary date of the related grant. The fair value of these shares totaled $2.3 million at the grant date, representing a weighted-average grant date fair value per share of $21.36. As of March 31, 2021, 124,083 restricted stock units were unvested and outstanding with a weighted average exercise price of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Loan Payable</w:t>
      </w:r>
    </w:p>
    <w:p>
      <w:pPr>
        <w:spacing w:after="0" w:line="121"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In February 2020, the Company entered into a loan and security agreement (the “Loan Agreement”) with Hercules Capital, Inc. (“Hercules”), which provided for aggregate maximum borrowings of up to $30.0 million, consisting of (i) a term loan of up to $20.0 million, which was funded on February 7, 2020 (the “Initial Advance”), and (ii) subject to Hercules’ investment committee approval, an additional term loan of up to $10.0 million, available for borrowing from February 7, 2020 to December 15, 2020 (the “Tranche 2 Advance”). The Company elected not to draw the additional term of $10.0 million. Borrowings under the Loan Agreement bear interest at an annual rate equal to the greater of (i) 9.85% or (ii) 5.10% plus the Wall Street Journal prime rate. As of March 31, 2021, the Company’s interest rate under the Loan Agreement was 9.85%.</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5" w:name="page16"/>
    <w:bookmarkEnd w:id="15"/>
    <w:p>
      <w:pPr>
        <w:ind w:right="240" w:firstLine="510"/>
        <w:spacing w:after="0" w:line="286" w:lineRule="auto"/>
        <w:rPr>
          <w:sz w:val="20"/>
          <w:szCs w:val="20"/>
          <w:color w:val="auto"/>
        </w:rPr>
      </w:pPr>
      <w:r>
        <w:rPr>
          <w:rFonts w:ascii="Arial" w:cs="Arial" w:eastAsia="Arial" w:hAnsi="Arial"/>
          <w:sz w:val="16"/>
          <w:szCs w:val="16"/>
          <w:color w:val="auto"/>
        </w:rPr>
        <w:t>The Company is obligated to make monthly interest-only payments through October 1, 2021. After the interest-only payment period, borrowings under the Loan Agreement are repayable in equal monthly payments of principal and accrued interest until the maturity date of the loan, which is September 1, 2023. At the Company’s option, the Company may prepay all, but not less than all, of the outstanding borrowings, subject to a prepayment premium equal to (i) 2.0% of the principal amount outstanding if the prepayment occurs during the first year following the applicable loan being funded,</w:t>
      </w:r>
    </w:p>
    <w:p>
      <w:pPr>
        <w:spacing w:after="0" w:line="1" w:lineRule="exact"/>
        <w:rPr>
          <w:sz w:val="20"/>
          <w:szCs w:val="20"/>
          <w:color w:val="auto"/>
        </w:rPr>
      </w:pPr>
    </w:p>
    <w:p>
      <w:pPr>
        <w:ind w:right="20" w:firstLine="8"/>
        <w:spacing w:after="0" w:line="253"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1.5% of the principal amount outstanding if the prepayment occurs during the second year following the applicable loan being funded, and (iii) 1.0% of the principal amount outstanding at any time thereafter but prior to the Maturity Date. In addition, the Company paid a $100,000 facility charge upon closing, which is being expensed over the term of the debt. The Loan Agreement also provides for a final payment, payable upon maturity or the repayment in full of all obligations under the agreement, of up to 4.99% of the aggregate principal amount of the Term Loan Advances (as defined in the Loan Agreement). The final payment will be accrued over the term of the debt.</w:t>
      </w:r>
    </w:p>
    <w:p>
      <w:pPr>
        <w:spacing w:after="0" w:line="19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Borrowings under the Loan Agreement are collateralized by substantially all of the Company’s and its subsidiaries personal property and other assets, other than its intellectual property. The Loan Agreement includes a minimum cash covenant of $12.5 million that applies commencing on October 1, 2020, subject to reduction upon satisfaction of certain conditions as set forth in the Loan Agreement. As of March 31, 2021, the conditions set forth in the Loan Agreement were met. The cash covenant of $12.5 million was deferred.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The Loan Agreement also includes customary events of default, including payment defaults, breaches of covenants following any applicable cure period, the occurrence of certain events that could reasonably be expected to have a “material adverse effect” as set forth in the Loan Agreement, cross acceleration to third-party indebtedness and certain events relating to bankruptcy or insolvency. Upon the occurrence of an event of default, a default interest rate of an additional 5.0% may be applied to the outstanding principal balance, and Hercules may declare all outstanding obligations immediately due and payable and take such other actions as set forth in the Loan Agreement.</w:t>
      </w:r>
    </w:p>
    <w:p>
      <w:pPr>
        <w:spacing w:after="0" w:line="179"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In connection with the Loan Agreement, the Company was required to enter into separate deposit account control agreements with the lender in order to perfect the lender’s security interest in the cash collateral in the Company’s operating accounts. In the event of a default under the Loan Agreement, the lender would have the right to take control of the operating accounts and restrict the Company’s access to the operating accounts and the funds therein.</w:t>
      </w:r>
    </w:p>
    <w:p>
      <w:pPr>
        <w:spacing w:after="0" w:line="18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During the three months ended March 31, 2021 and 2020, the Company recognized $0.6 million and $0.4 million, respectively, of interest expense related to the Initial Advance pursuant to the Loan Agreement.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the Company’s maturities of principal obligations under its long-term debt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Amount</w:t>
            </w:r>
          </w:p>
        </w:tc>
        <w:tc>
          <w:tcPr>
            <w:tcW w:w="1120" w:type="dxa"/>
            <w:vAlign w:val="bottom"/>
          </w:tcPr>
          <w:p>
            <w:pPr>
              <w:spacing w:after="0"/>
              <w:rPr>
                <w:sz w:val="20"/>
                <w:szCs w:val="20"/>
                <w:color w:val="auto"/>
              </w:rPr>
            </w:pPr>
          </w:p>
        </w:tc>
      </w:tr>
      <w:tr>
        <w:trPr>
          <w:trHeight w:val="230"/>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360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2022</w:t>
            </w:r>
          </w:p>
        </w:tc>
        <w:tc>
          <w:tcPr>
            <w:tcW w:w="3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9,727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1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7,988</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Total principal outstanding</w:t>
            </w:r>
          </w:p>
        </w:tc>
        <w:tc>
          <w:tcPr>
            <w:tcW w:w="3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Amortized final fee</w:t>
            </w:r>
          </w:p>
        </w:tc>
        <w:tc>
          <w:tcPr>
            <w:tcW w:w="3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3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3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1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20,234</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Term loan, current portion</w:t>
            </w:r>
          </w:p>
        </w:tc>
        <w:tc>
          <w:tcPr>
            <w:tcW w:w="3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Term loan, less current portion</w:t>
            </w:r>
          </w:p>
        </w:tc>
        <w:tc>
          <w:tcPr>
            <w:tcW w:w="31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864"/>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20" w:type="dxa"/>
            <w:vAlign w:val="bottom"/>
          </w:tcPr>
          <w:p>
            <w:pPr>
              <w:jc w:val="right"/>
              <w:ind w:right="183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12. Stockholders’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months ended March 31, 2021: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5"/>
            <w:vMerge w:val="restart"/>
          </w:tcPr>
          <w:p>
            <w:pPr>
              <w:jc w:val="center"/>
              <w:ind w:left="76"/>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restart"/>
          </w:tcPr>
          <w:p>
            <w:pPr>
              <w:jc w:val="center"/>
              <w:ind w:right="9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900" w:type="dxa"/>
            <w:vAlign w:val="bottom"/>
            <w:gridSpan w:val="6"/>
          </w:tcPr>
          <w:p>
            <w:pPr>
              <w:jc w:val="center"/>
              <w:ind w:left="94"/>
              <w:spacing w:after="0" w:line="149" w:lineRule="exact"/>
              <w:rPr>
                <w:sz w:val="20"/>
                <w:szCs w:val="20"/>
                <w:color w:val="auto"/>
              </w:rPr>
            </w:pPr>
            <w:r>
              <w:rPr>
                <w:rFonts w:ascii="Arial" w:cs="Arial" w:eastAsia="Arial" w:hAnsi="Arial"/>
                <w:sz w:val="14"/>
                <w:szCs w:val="14"/>
                <w:b w:val="1"/>
                <w:bCs w:val="1"/>
                <w:color w:val="auto"/>
                <w:w w:val="94"/>
              </w:rPr>
              <w:t>$0.0001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2"/>
                <w:szCs w:val="12"/>
                <w:color w:val="auto"/>
              </w:rPr>
            </w:pPr>
          </w:p>
        </w:tc>
        <w:tc>
          <w:tcPr>
            <w:tcW w:w="11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5"/>
          </w:tcPr>
          <w:p>
            <w:pPr>
              <w:jc w:val="center"/>
              <w:ind w:left="76"/>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1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Income / (Loss)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47,881,223</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820,815</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gridSpan w:val="3"/>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CFF0FC"/>
            </w:tcBorders>
            <w:gridSpan w:val="3"/>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(568,628)</w:t>
            </w:r>
          </w:p>
        </w:tc>
        <w:tc>
          <w:tcPr>
            <w:tcW w:w="260" w:type="dxa"/>
            <w:vAlign w:val="bottom"/>
            <w:tcBorders>
              <w:top w:val="single" w:sz="8" w:color="CFF0FC"/>
            </w:tcBorders>
            <w:gridSpan w:val="3"/>
            <w:shd w:val="clear" w:color="auto" w:fill="CFF0FC"/>
          </w:tcPr>
          <w:p>
            <w:pPr>
              <w:jc w:val="right"/>
              <w:ind w:right="22"/>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252,188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Stock purchase under ESPP</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16,382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Unrealized gains on short-term investments</w:t>
            </w:r>
          </w:p>
        </w:tc>
        <w:tc>
          <w:tcPr>
            <w:tcW w:w="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Prefunded warrant exchange</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Employee withholdings ESPP</w:t>
            </w:r>
          </w:p>
        </w:tc>
        <w:tc>
          <w:tcPr>
            <w:tcW w:w="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100,954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(27,723)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(27,723)</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2021</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48,248,559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824,542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ind w:right="58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(596,351</w:t>
            </w:r>
          </w:p>
        </w:tc>
        <w:tc>
          <w:tcPr>
            <w:tcW w:w="1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2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228,205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40" w:type="dxa"/>
            <w:vAlign w:val="bottom"/>
            <w:gridSpan w:val="18"/>
          </w:tcPr>
          <w:p>
            <w:pPr>
              <w:ind w:left="520"/>
              <w:spacing w:after="0"/>
              <w:rPr>
                <w:sz w:val="20"/>
                <w:szCs w:val="20"/>
                <w:color w:val="auto"/>
              </w:rPr>
            </w:pPr>
            <w:r>
              <w:rPr>
                <w:rFonts w:ascii="Arial" w:cs="Arial" w:eastAsia="Arial" w:hAnsi="Arial"/>
                <w:sz w:val="18"/>
                <w:szCs w:val="18"/>
                <w:color w:val="auto"/>
                <w:w w:val="92"/>
              </w:rPr>
              <w:t>The following table presents the changes in stockholders’ equity for the three months ended March 31, 2020: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80" w:type="dxa"/>
            <w:vAlign w:val="bottom"/>
            <w:gridSpan w:val="5"/>
            <w:vMerge w:val="restart"/>
          </w:tcPr>
          <w:p>
            <w:pPr>
              <w:jc w:val="center"/>
              <w:ind w:left="96"/>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restart"/>
          </w:tcPr>
          <w:p>
            <w:pPr>
              <w:jc w:val="center"/>
              <w:ind w:right="5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900" w:type="dxa"/>
            <w:vAlign w:val="bottom"/>
            <w:gridSpan w:val="6"/>
          </w:tcPr>
          <w:p>
            <w:pPr>
              <w:jc w:val="center"/>
              <w:ind w:left="114"/>
              <w:spacing w:after="0" w:line="149" w:lineRule="exact"/>
              <w:rPr>
                <w:sz w:val="20"/>
                <w:szCs w:val="20"/>
                <w:color w:val="auto"/>
              </w:rPr>
            </w:pPr>
            <w:r>
              <w:rPr>
                <w:rFonts w:ascii="Arial" w:cs="Arial" w:eastAsia="Arial" w:hAnsi="Arial"/>
                <w:sz w:val="14"/>
                <w:szCs w:val="14"/>
                <w:b w:val="1"/>
                <w:bCs w:val="1"/>
                <w:color w:val="auto"/>
                <w:w w:val="90"/>
              </w:rPr>
              <w:t>$0.0001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5"/>
          </w:tcPr>
          <w:p>
            <w:pPr>
              <w:jc w:val="center"/>
              <w:ind w:left="116"/>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23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5"/>
        </w:trPr>
        <w:tc>
          <w:tcPr>
            <w:tcW w:w="43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8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27,140,484</w:t>
            </w:r>
          </w:p>
        </w:tc>
        <w:tc>
          <w:tcPr>
            <w:tcW w:w="220" w:type="dxa"/>
            <w:vAlign w:val="bottom"/>
            <w:gridSpan w:val="2"/>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527,067</w:t>
            </w:r>
          </w:p>
        </w:tc>
        <w:tc>
          <w:tcPr>
            <w:tcW w:w="12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(495,470)</w:t>
            </w:r>
          </w:p>
        </w:tc>
        <w:tc>
          <w:tcPr>
            <w:tcW w:w="260" w:type="dxa"/>
            <w:vAlign w:val="bottom"/>
            <w:gridSpan w:val="3"/>
            <w:shd w:val="clear" w:color="auto" w:fill="CFF0FC"/>
          </w:tcPr>
          <w:p>
            <w:pPr>
              <w:jc w:val="right"/>
              <w:ind w:right="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Stock purchase under ESPP</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12,601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Proceeds from direct offering, net of $93</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offering expenses</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3,036,719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24,201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pre-funded common stock</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warrant from direct offering, net of $41</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offering expenses</w:t>
            </w:r>
          </w:p>
        </w:tc>
        <w:tc>
          <w:tcPr>
            <w:tcW w:w="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10,665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Deemed dividend from repricing Series 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and 2 warrants</w:t>
            </w:r>
          </w:p>
        </w:tc>
        <w:tc>
          <w:tcPr>
            <w:tcW w:w="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Repricing Series 1 and 2 warrants</w:t>
            </w:r>
          </w:p>
        </w:tc>
        <w:tc>
          <w:tcPr>
            <w:tcW w:w="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(3,906)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51,034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short-term investments</w:t>
            </w:r>
          </w:p>
        </w:tc>
        <w:tc>
          <w:tcPr>
            <w:tcW w:w="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Employee withholdings ESPP</w:t>
            </w:r>
          </w:p>
        </w:tc>
        <w:tc>
          <w:tcPr>
            <w:tcW w:w="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(15,236)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(15,236)</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Balance as of March 31, 2020</w:t>
            </w:r>
          </w:p>
        </w:tc>
        <w:tc>
          <w:tcPr>
            <w:tcW w:w="2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30,240,838</w:t>
            </w:r>
          </w:p>
        </w:tc>
        <w:tc>
          <w:tcPr>
            <w:tcW w:w="220" w:type="dxa"/>
            <w:vAlign w:val="bottom"/>
            <w:gridSpan w:val="2"/>
          </w:tcPr>
          <w:p>
            <w:pPr>
              <w:spacing w:after="0"/>
              <w:rPr>
                <w:sz w:val="19"/>
                <w:szCs w:val="19"/>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2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564,164</w:t>
            </w: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7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48</w:t>
            </w: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(510,706</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In March 2021, the Company entered into a new sales agreement with Cowen and Company, LLC (“Cowen”) under which the Company may issue and sell shares of its common stock having aggregate sales proceeds of up to $75.0 million from time to time through Cowen, acting as agent, in a series of one or more ATM equity offerings (the “2021 ATM Program”). Cowen is not required to sell any specific amount, but acts as the Company’s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The Company’s common stock will be sold at prevailing market prices at the time of the sale; and as a result, prices may vary. In the first quarter, the Company sold no additional shares of common stock under the 2021 ATM Program.</w:t>
      </w:r>
    </w:p>
    <w:p>
      <w:pPr>
        <w:spacing w:after="0" w:line="177" w:lineRule="exact"/>
        <w:rPr>
          <w:sz w:val="20"/>
          <w:szCs w:val="20"/>
          <w:color w:val="auto"/>
        </w:rPr>
      </w:pPr>
    </w:p>
    <w:p>
      <w:pPr>
        <w:jc w:val="both"/>
        <w:ind w:right="100" w:firstLine="510"/>
        <w:spacing w:after="0" w:line="286" w:lineRule="auto"/>
        <w:rPr>
          <w:sz w:val="20"/>
          <w:szCs w:val="20"/>
          <w:color w:val="auto"/>
        </w:rPr>
      </w:pPr>
      <w:r>
        <w:rPr>
          <w:rFonts w:ascii="Arial" w:cs="Arial" w:eastAsia="Arial" w:hAnsi="Arial"/>
          <w:sz w:val="17"/>
          <w:szCs w:val="17"/>
          <w:color w:val="auto"/>
        </w:rPr>
        <w:t>In August 2019, the Company entered into a sales agreement with Cowen under which the Company may issue and sell shares of its common stock having aggregate sales proceeds of up to $50.0 million from time to time through Cowen, acting as agent, in a series of one or more ATM equity offerings (the “2019 ATM Program”). In conjunction with the December 2020 offering, the 2019 ATM Program was cancelled.</w:t>
      </w:r>
    </w:p>
    <w:p>
      <w:pPr>
        <w:spacing w:after="0" w:line="16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March 2019, the Company issued 2,095,039 shares of its common stock and pre-funded warrants to purchase 2,500,000 shares of common stock to certain investors in a registered direct offering. The pre-funded warrants are exercisable immediately upon issuance at an exercise price of $0.0001 per share and have a term of 20 years. The Company sold the shares of common stock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ind w:right="120"/>
        <w:spacing w:after="0" w:line="301" w:lineRule="auto"/>
        <w:rPr>
          <w:sz w:val="20"/>
          <w:szCs w:val="20"/>
          <w:color w:val="auto"/>
        </w:rPr>
      </w:pPr>
      <w:r>
        <w:rPr>
          <w:rFonts w:ascii="Arial" w:cs="Arial" w:eastAsia="Arial" w:hAnsi="Arial"/>
          <w:sz w:val="16"/>
          <w:szCs w:val="16"/>
          <w:color w:val="auto"/>
        </w:rPr>
        <w:t>pre-funded warrants together with two series of warrants, Series 1 Warrants and Series 2 Warrants, to purchase an aggregate of 4,595,039 shares of the Company’s common stock (collectively, the “Series Warrants”). The offering price for the securities was $6.00 per share (or $5.9999 for each pre-funded warrant). The aggregate gross proceeds to the Company from this offering were $27.6 million, excluding any proceeds the Company may receive upon exercise of the pre-funded warrants and Series Warrants and offering costs of $0.2 million. No underwriter or placement agent participated in the offering.</w:t>
      </w:r>
    </w:p>
    <w:p>
      <w:pPr>
        <w:spacing w:after="0" w:line="15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Series Warrants were immediately exercisable. Each Series 1 Warrant had an initial exercise price of $12.00 per share of common stock and each Series 2 Warrant had an initial exercise price of $18.00 per share of common stock, in each case subject to certain adjustments. The Series Warrants were to expire on the earlier of (i) 90 days following the Company’s confirmation to holders of the Company’s release of positive data confirming the achievement of the specified primary endpoint of overall survival benefit in the E2112 clinical trial in breast cancer patients, or (ii) December 31, 2020. All Series 1 and Series 2 warrants were exercised in 2020.</w:t>
      </w:r>
    </w:p>
    <w:p>
      <w:pPr>
        <w:spacing w:after="0" w:line="188" w:lineRule="exact"/>
        <w:rPr>
          <w:sz w:val="20"/>
          <w:szCs w:val="20"/>
          <w:color w:val="auto"/>
        </w:rPr>
      </w:pPr>
    </w:p>
    <w:p>
      <w:pPr>
        <w:jc w:val="both"/>
        <w:ind w:right="200" w:firstLine="510"/>
        <w:spacing w:after="0" w:line="279" w:lineRule="auto"/>
        <w:rPr>
          <w:sz w:val="20"/>
          <w:szCs w:val="20"/>
          <w:color w:val="auto"/>
        </w:rPr>
      </w:pPr>
      <w:r>
        <w:rPr>
          <w:rFonts w:ascii="Arial" w:cs="Arial" w:eastAsia="Arial" w:hAnsi="Arial"/>
          <w:sz w:val="17"/>
          <w:szCs w:val="17"/>
          <w:color w:val="auto"/>
        </w:rPr>
        <w:t>The pre-funded warrants may not be exercised by the holder to the extent that the holder, together with its affiliates, would beneficially own, after such exercise more than 9.99% of the shares of the Company’s common stock then outstanding (subject to the right of the holder to increase or decrease such beneficial ownership limitation upon notice to the Company, provided that such limitation cannot exceed 19.99%) and provided that any increase in the beneficial ownership limitation shall not be effective until 61 days after such notice is delivered.</w:t>
      </w:r>
    </w:p>
    <w:p>
      <w:pPr>
        <w:spacing w:after="0" w:line="171"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Series Warrants were classified as a component of permanent equity and were recorded at the issuance date using a relative fair value allocation method. The Series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shares of common stock upon exercise. In addition, such warrants do not provide any guarantee of value or return</w:t>
      </w:r>
      <w:r>
        <w:rPr>
          <w:rFonts w:ascii="Arial" w:cs="Arial" w:eastAsia="Arial" w:hAnsi="Arial"/>
          <w:sz w:val="21"/>
          <w:szCs w:val="21"/>
          <w:color w:val="auto"/>
        </w:rPr>
        <w:t>.</w:t>
      </w:r>
      <w:r>
        <w:rPr>
          <w:rFonts w:ascii="Arial" w:cs="Arial" w:eastAsia="Arial" w:hAnsi="Arial"/>
          <w:sz w:val="18"/>
          <w:szCs w:val="18"/>
          <w:color w:val="auto"/>
        </w:rPr>
        <w:t xml:space="preserve"> The Company valued the Series Warrants at issuance in March 2019 using the Black Scholes option pricing model and determined the fair value of the 4,595,039 Series Warrants at $3.4 million. The key inputs to the valuation model included the weighted average volatility of 89.1% and the weighted-average expected term of 1.4 years.</w:t>
      </w:r>
    </w:p>
    <w:p>
      <w:pPr>
        <w:spacing w:after="0" w:line="191"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In January 2020, the Company sold 3,036,719 shares of common stock, and pre-funded warrants to purchase 1,338,287 shares of common stock. The offering price for the securities was $8.00 per share of common stock or $7.9999 for each pre-funded warrant. As a result of this offering, the exercise price of Series 1 Warrants and Series 2 Warrants outstanding reset from $12.00 per share to $10.00 per share and from $18.00 per share to $13.00, respectively. The Company recorded $3.9 million as a deemed dividend which represents the value transferred to the warrant holders due to the Series Warrant adjustment mechanism being triggered. The deemed dividend was recorded as both an increase and a decrease in Additional Paid-in-Capital and reduced net income available to common stockholders by the same amount. The key inputs to the valuation model included the weighted average volatility of 96.74% and the weighted average expected term of 0.4 years.</w:t>
      </w:r>
    </w:p>
    <w:p>
      <w:pPr>
        <w:spacing w:after="0" w:line="17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exercise of stock options, and the employee stock purchase plan:</w:t>
      </w:r>
    </w:p>
    <w:p>
      <w:pPr>
        <w:spacing w:after="0" w:line="9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March 31, 2021</w:t>
            </w:r>
          </w:p>
        </w:tc>
      </w:tr>
      <w:tr>
        <w:trPr>
          <w:trHeight w:val="223"/>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 issuable under pre-funded warrants</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3,307,952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2020" w:type="dxa"/>
            <w:vAlign w:val="bottom"/>
          </w:tcPr>
          <w:p>
            <w:pPr>
              <w:jc w:val="right"/>
              <w:spacing w:after="0"/>
              <w:rPr>
                <w:sz w:val="20"/>
                <w:szCs w:val="20"/>
                <w:color w:val="auto"/>
              </w:rPr>
            </w:pPr>
            <w:r>
              <w:rPr>
                <w:rFonts w:ascii="Arial" w:cs="Arial" w:eastAsia="Arial" w:hAnsi="Arial"/>
                <w:sz w:val="18"/>
                <w:szCs w:val="18"/>
                <w:color w:val="auto"/>
              </w:rPr>
              <w:t>1,259,406</w:t>
            </w: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1,298,692</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12,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are a clinical-stage biopharmaceutical company developing an innovative pipeline of cancer therapies. Our two lead product candidates are, SNDX-5613 and SNDX-6352, or axatilimab. We are developing SNDX-5613, targeting the binding interaction of menin with the mixed lineage leukemia 1 (MLL1) protein for the treatment of MLL-rearranged, or MLLr, acute leukemias and nucleophosmin 1, or NPM1, mutant acute myeloid leukemia (AML), as well as axatilimab, a monoclonal antibody that blocks the colony stimulating factor 1, or CSF-1 receptor. We have deprioritized the development of entinostat, our once-weekly, oral, small molecule, Class I HDAC inhibitor, to focus resources on advancing the remainder of our pipeline. We plan to continue to leverage the technical and business expertise of our management team and scientific collaborators to license, acquire and develop additional therapeutics to expand our pipeline.</w:t>
      </w:r>
    </w:p>
    <w:p>
      <w:pPr>
        <w:spacing w:after="0" w:line="8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three months ended March 31, 2021 and 2020, we reported a net loss of $27.7 million and $15.2 million, respectively. We reported a net loss attributable to stockholders of $27.7 million and $19.1 million for the three months ended March 31, 2021 and 2020, respectively. As of March 31, 2021, we had an accumulated deficit of $596.4 million, which included non-cash charges for stock-based compensation, preferred stock accretion and extinguishment charges. As of March 31, 2021, we had cash, cash equivalents and short-term investments of $271.3 million.</w:t>
      </w:r>
    </w:p>
    <w:p>
      <w:pPr>
        <w:spacing w:after="0" w:line="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continue to monitor our daily operations and program timelines during the evolving coronavirus 2019 (COVID-19) pandemic. The health and safety of our employees as well as the patients and people participating in and operating our clinical trials are of paramount importance. COVID-19 has not impacted our financial guidance or changed our timelines for clinical data in 2020, to date.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SNDX-5613</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announced new data from the ongoing Phase 1 dose escalation portion of the Phase 1/2 AUGMENT-101 trial of SNDX-5613, a highly selective oral menin inhibitor, in patients with mixed lineage leukemia rearranged (MLLr) and nucleophosmin (NPM1c) mutant relapsed/refractory (R/R) acute leukemias. The new data reported, which were obtained following the recent April 20, 2021 data presentation, showed two prior responders have improved from CRp to CR with no evidence of minimal residual disease (MRD-). With the addition of these two patients, a total of 7/31 patients (23%) have achieved CR/CRh.</w:t>
      </w:r>
    </w:p>
    <w:p>
      <w:pPr>
        <w:spacing w:after="0" w:line="80"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previously announced positive data from the Phase 1 portion of the AUGMENT-101 trial in April 2021. As of the data cutoff date, the overall response rate (ORR) among evaluable patients was 48% (n=15), with 67% (n=10) of these responders achieving MRD- status, and four proceeding to receive stem cell transplant. The ORR in evaluable patients harboring an MLL-rearrangement (n=24), was 54% (n=13), and in evaluable patients harboring an NPM1c mutation (n=7), was 29% (n=2). Across all patients enrolled in the trial as of the data cutoff date (n=43), SNDX-5613 was generally well-tolerated, with no discontinuations due to treatment-related adverse events observed in heavily pretreated patients.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remain on track to initiate our pivotal Phase 2 portion of the trial this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Axatilimab</w:t>
      </w:r>
    </w:p>
    <w:p>
      <w:pPr>
        <w:spacing w:after="0" w:line="11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Enrollment is now complete in the Phase 2 expansion portion of the Phase 1/2 trial of axatilimab, our anti-CSF-1R monoclonal antibody, in patients with cGVHD. We anticipate reporting updated results later this year for 40 patients including the 17 in the Phase 1 portion and 23 from the Phase 2 expansion portion, which evaluated 1 mg/kg of axatilimab every two weeks. We reported preliminary data from the Phase 1 portion of the trial, as an oral presentation at the American Society of Hematology Annual Meeting in December 2020, which highlighted the tolerability and high response rate of axatilimab in cGVHD patients refractory to multiple therapeutic agents.</w:t>
      </w:r>
    </w:p>
    <w:p>
      <w:pPr>
        <w:spacing w:after="0" w:line="80"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The pivotal Phase 2 AGAVE-201 trial of axatilimab in patients with cGVHD is ongoing, with topline data expected in 2023. The trial will evaluate the safety and efficacy of three doses and schedules of axatilimab. The primary endpoint will assess objective response rate based on the 2014 NIH consensus criteria for cGVHD, with key secondary endpoints including duration of response and improvement in modified Lee Symptom Scale score.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ind w:right="180" w:firstLine="510"/>
        <w:spacing w:after="0" w:line="277" w:lineRule="auto"/>
        <w:rPr>
          <w:sz w:val="20"/>
          <w:szCs w:val="20"/>
          <w:color w:val="auto"/>
        </w:rPr>
      </w:pPr>
      <w:r>
        <w:rPr>
          <w:rFonts w:ascii="Arial" w:cs="Arial" w:eastAsia="Arial" w:hAnsi="Arial"/>
          <w:sz w:val="18"/>
          <w:szCs w:val="18"/>
          <w:color w:val="auto"/>
        </w:rPr>
        <w:t>We previously announced that the U.S. Food and Drug Administration (FDA) granted Orphan Drug Designation to axatilimab for the treatment of patients with cGVHD and idiopathic pulmonary fibrosis.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have implemented business continuity plans designed to address and mitigate the impact of the ongoing COVID-19 pandemic on our employees and our business. While we are not experiencing financial impacts at this time, given the global economic slowdown, the overall disruption of global healthcare systems and the other risks and uncertainties associated with the pandemic, our business, financial condition, results of operations and growth prospects could be materially adversely affected. We continue to closely monitor the COVID-19 situation as we evolve our business continuity plans and response strategy. In March 2020, our workforce transitioned to working remotely. We are currently considering plans to reopen our offices to allow employees to return to the office, which will be based on an approach that is principles-based and local in design, with a focus on employee safety and optimal work environment.</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Supply Chain</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are working closely our third-party manufacturers, distributors and other partners to manage our supply chain activities and mitigate potential disruptions to our product supplies as a result of the COVID-19 pandemic. We currently expect to have adequate supplies of SNDX-5613 and axatilimab. If the COVID-19 pandemic continues to persist for an extended period of time and begins to impact essential distribution systems such as FedEx and postal delivery or if it results in facility closures for cleaning and/or insufficient staff, we could experience disruptions to our supply chain and operations, and associated delays in the manufacturing and supply of our products, and to our clinical trial operations.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With respect to clinical development, we have taken measures to implement remote and virtual approaches, including remote patient monitoring where possible, to maintain patient safety and trial continuity and to preserve study integrity. We have, and may continue to experience, disruptions and/or delays in our ability to initiate trial sites and enroll and assess patients. As the COVID-19 pandemic continues, we anticipate an ongoing slight impact on our ability to maintain patient enrollment in the AUGMENT-101 and AGAVE trials.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COVID-19 pandemic. If the COVID-19 pandemic continues and persists for an extended period of time, we could experience significant disruptions to our clinical development timelines, which would adversely affect our business, financial condition, results of operations and growth prospects.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Corporate Development</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With our strong cash balance, we anticipate having sufficient liquidity to make planned investments in our business this year in support of our long-term growth strategy. We believe that our cash, cash equivalents and marketable securities as of March 31, 2021 will fund our current operating plans through at least the next 12 months. However, our operating plan may change as a result of many factors currently unknown to us, and we may need to seek additional funds sooner than planned, through public or private equity or debt financings, third-party funding, marketing and distribution arrangements, as well as other collaborations, strategic alliances and licensing arrangements, or any combination of these approaches. However, 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Financial and Corporate Impacts</w:t>
      </w:r>
    </w:p>
    <w:p>
      <w:pPr>
        <w:spacing w:after="0" w:line="117" w:lineRule="exact"/>
        <w:rPr>
          <w:sz w:val="20"/>
          <w:szCs w:val="20"/>
          <w:color w:val="auto"/>
        </w:rPr>
      </w:pPr>
    </w:p>
    <w:p>
      <w:pPr>
        <w:ind w:right="360" w:firstLine="510"/>
        <w:spacing w:after="0" w:line="293" w:lineRule="auto"/>
        <w:rPr>
          <w:sz w:val="20"/>
          <w:szCs w:val="20"/>
          <w:color w:val="auto"/>
        </w:rPr>
      </w:pPr>
      <w:r>
        <w:rPr>
          <w:rFonts w:ascii="Arial" w:cs="Arial" w:eastAsia="Arial" w:hAnsi="Arial"/>
          <w:sz w:val="16"/>
          <w:szCs w:val="16"/>
          <w:color w:val="auto"/>
        </w:rPr>
        <w:t>While we continue to evaluate whether the COVID-19 pandemic will adversely affect our business operations and financial results, our clinical development and regulatory efforts, our corporate development objectives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United States, Europe and other countries, and the effectiveness of actions taken globally to contain and treat the disease. For example, if remote work policies for certain portions of our business, or that of our business partners, are extended longer than we currently expect, we may need to reassess our priorities and our corporate objectives for the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To date, we have not generated any product revenues. Our ability to generate revenue and become profitable depends upon our ability to obtain marketing approval of and successfully commercialize our product candidates. Our revenues for the three months ended March 31, 2021 and 2020 have been solely derived from our license, development and commercialization agreement with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spacing w:after="0" w:line="301" w:lineRule="auto"/>
        <w:rPr>
          <w:sz w:val="20"/>
          <w:szCs w:val="20"/>
          <w:color w:val="auto"/>
        </w:rPr>
      </w:pPr>
      <w:r>
        <w:rPr>
          <w:rFonts w:ascii="Arial" w:cs="Arial" w:eastAsia="Arial" w:hAnsi="Arial"/>
          <w:sz w:val="16"/>
          <w:szCs w:val="16"/>
          <w:color w:val="auto"/>
        </w:rPr>
        <w:t>Kyowa Kirin Co., Ltd., or KKC, under which we granted KKC an exclusive license to develop and commercialize entinostat in Japan and Korea, or the KKC license agreement. In 2015, we received a $25.0 million upfront payment from KKC, inclusive of an equity investment. We allocated $17.3 million of the upfront payment to the license fee, and such fee is being recognized as revenue ratably over our expected performance period (currently expected to be through 2029). The balance of the upfront payment of $7.7 million was allocated to KKC’s purchase of shares of our convertible preferred stock.</w:t>
      </w:r>
    </w:p>
    <w:p>
      <w:pPr>
        <w:spacing w:after="0" w:line="49"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In October 2017, KKC enrolled the first Japanese patient into a local pivotal study of entinostat for the treatment of hormone receptor positive, human epidermal growth factor 2 negative breast cancer. In accordance with the terms of the KKC License Agreement, in December 2017 we received a $5.0 million milestone payment from KKC for achievement of the development milestone.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2" w:lineRule="exact"/>
        <w:rPr>
          <w:sz w:val="20"/>
          <w:szCs w:val="20"/>
          <w:color w:val="auto"/>
        </w:rPr>
      </w:pPr>
    </w:p>
    <w:p>
      <w:pPr>
        <w:ind w:left="1000" w:right="104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52"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8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March 31, 2021, we have incurred $327.1 million in research and development expenses.</w:t>
      </w:r>
    </w:p>
    <w:p>
      <w:pPr>
        <w:spacing w:after="0" w:line="19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6"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20" w:firstLine="510"/>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primarily of interest expense on our term loan, operational and capital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income earned on our cash, cash equivalents and short-term investment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7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described in the “Management’s Discussion and Analysis of Financial Condition and Results of Operations” contained in our Annual Report.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Three Months Ended March 31,</w:t>
            </w:r>
          </w:p>
        </w:tc>
        <w:tc>
          <w:tcPr>
            <w:tcW w:w="440" w:type="dxa"/>
            <w:vAlign w:val="bottom"/>
          </w:tcPr>
          <w:p>
            <w:pPr>
              <w:spacing w:after="0"/>
              <w:rPr>
                <w:sz w:val="14"/>
                <w:szCs w:val="1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b w:val="1"/>
                <w:bCs w:val="1"/>
                <w:color w:val="auto"/>
                <w:w w:val="90"/>
              </w:rPr>
              <w:t>Increase (Decrease)</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right"/>
              <w:ind w:right="47"/>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480"/>
              <w:spacing w:after="0"/>
              <w:rPr>
                <w:sz w:val="20"/>
                <w:szCs w:val="20"/>
                <w:color w:val="auto"/>
              </w:rPr>
            </w:pPr>
            <w:r>
              <w:rPr>
                <w:rFonts w:ascii="Arial" w:cs="Arial" w:eastAsia="Arial" w:hAnsi="Arial"/>
                <w:sz w:val="18"/>
                <w:szCs w:val="18"/>
                <w:color w:val="auto"/>
              </w:rPr>
              <w:t>License fees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9"/>
                <w:szCs w:val="19"/>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9,562</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12,308</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5,672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5,917</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15,479</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12,063</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(27,163)</w:t>
            </w:r>
          </w:p>
        </w:tc>
        <w:tc>
          <w:tcPr>
            <w:tcW w:w="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(15,100)</w:t>
            </w:r>
          </w:p>
        </w:tc>
        <w:tc>
          <w:tcPr>
            <w:tcW w:w="2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12,063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(623)</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(213)</w:t>
            </w: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2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(27,723)</w:t>
            </w:r>
          </w:p>
        </w:tc>
        <w:tc>
          <w:tcPr>
            <w:tcW w:w="22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(15,236)</w:t>
            </w:r>
          </w:p>
        </w:tc>
        <w:tc>
          <w:tcPr>
            <w:tcW w:w="220" w:type="dxa"/>
            <w:vAlign w:val="bottom"/>
            <w:vMerge w:val="continue"/>
          </w:tcPr>
          <w:p>
            <w:pPr>
              <w:spacing w:after="0"/>
              <w:rPr>
                <w:sz w:val="19"/>
                <w:szCs w:val="19"/>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12,487</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For the three months ended March 31, 2021 and 2020, we recognized license fees of $0.4 million and $0.4 million respectively, derived from the KKC license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For the three months ended March 31, 2021, our total research and development expenses increased $12.3 million, or 129%, to $21.9 million from $9.6 million for the comparable quarter in the prior year. The increase in research and development expenses was primarily due to increases in clinical activities of $11.2 million, an increase in employee related expenses of $0.9 million, and increase in professional fees and other expenses of $0.2 million. The increase in clinical expenses was due to SNDX-6352 batch production of $2.7 million, increased clinical study activity related to SNDX-6352 of $2.4 million, increased clinical study activities related to SNDX-5613 of $2.0 million, and in SNDX-5613 CMC activities of $2.1 million. We also recognized a $2.0 million expense upon the achievement of a certain milestone in connection with the SNDX-6352 program. The increase in employee-related expenses is primarily due to an increase in headcount as well as a general year over year increase in salary. We expect research and development expenses to fluctuate from quarter to quarter depending on the timing of clinical trial activities, clinical manufacturing, and other development activities.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4"/>
                <w:szCs w:val="14"/>
                <w:color w:val="auto"/>
              </w:rPr>
            </w:pPr>
          </w:p>
        </w:tc>
        <w:tc>
          <w:tcPr>
            <w:tcW w:w="22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17,605</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6,146</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11,459</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3,416</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849</w:t>
            </w: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21,870</w:t>
            </w:r>
          </w:p>
        </w:tc>
        <w:tc>
          <w:tcPr>
            <w:tcW w:w="2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9,562</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12,308</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0" w:firstLine="510"/>
        <w:spacing w:after="0" w:line="286" w:lineRule="auto"/>
        <w:rPr>
          <w:sz w:val="20"/>
          <w:szCs w:val="20"/>
          <w:color w:val="auto"/>
        </w:rPr>
      </w:pPr>
      <w:r>
        <w:rPr>
          <w:rFonts w:ascii="Arial" w:cs="Arial" w:eastAsia="Arial" w:hAnsi="Arial"/>
          <w:sz w:val="17"/>
          <w:szCs w:val="17"/>
          <w:color w:val="auto"/>
        </w:rPr>
        <w:t>For the three months ended March 31, 2021, our total general and administrative expenses decreased $0.2 million, or 4%, to $5.7 million from $5.9 million for the comparable period in the prior year. The decrease in general and administrative expenses was primarily due to decreased pre-commercialization activities of $0.7 million partially offset by increased employee expenses of $0.5 million.</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For the three months ended March 31, 2021, interest expense increased from the comparable period in the prior year primarily due to the interest expense on the loan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For the three months ended March 31, 2021, interest income decreased from the comparable period in the prior year primarily due lower interest rates partially offset by an increased average balance on cash equivalents and short-term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As of March 31, 2021, we had cash, cash equivalents and short-term investments totaling $271.3 million. Our operations have been primarily financed by net proceeds from our initial public offering, our follow-on stock offerings and proceeds from our license agreements. We believe that our present cash, cash equivalents and short-term investments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December 2020, we sold 6,250,000 shares of common stock at a price per share of $23.00 for net proceeds of approximately $135.0 million.</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May 2020, we sold 6,388,889 shares of our common stock at a price per share of $18.00 for net proceeds of approximately $107.9 million.</w:t>
      </w:r>
    </w:p>
    <w:p>
      <w:pPr>
        <w:spacing w:after="0" w:line="129"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January 2020, we sold 3,036,719 shares of our common stock at a price per share of $8.00 and pre-funded warrants to purchase 1,338,287 shares of our common stock for gross proceeds of approximately $35.0 million. Upon the completion of the January 2020 offering, we had 5,838,287 pre-funded warrant shares outstanding. The pre-funded warrants are exercisable into shares of common stock for $0.0001 per share. The pre-funded warrants enable the holder to make a cash investment in our common stock without increasing their beneficial ownership in our common stock because the shares of common stock underlying the pre-funded warrant are not issued or issuable until the warrant is actually exercised or becomes exercisable without exceeding the ownership limitations set forth in the pre-funded warrant.</w:t>
      </w:r>
    </w:p>
    <w:p>
      <w:pPr>
        <w:spacing w:after="0" w:line="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March 2019, we issued to certain investors an aggregate of 2,095,039 shares of our common stock and 2,500,000 pre-funded warrants to purchase shares of our common stock, at a price of $6.00 per share of common stock and $5.9999 for each pre-funded warrant. We sold the shares of common stock and pre-funded warrants together with two series of warrants, Series 1 warrants and Series 2 warrants, to purchase an aggregate of 4,595,039 shares of our common stock. The pre-funded warrants are exercisable into shares of common stock for $0.0001 per share. Each Series 1 warrant had an initial exercise price of $12.00 per share of common stock and each Series 2 warrant had an initial exercise price of $18.00 per share of common stock, in each case subject to certain downward adjustments. As a result of the January 2020 offering, the initial exercise price of the Series 1 warrants was reduced to $10.00 per share and the initial exercise price of the Series 2 warrants was reduced to $13.00 per share. All Series 1 and Series 2 warrants were exercised by December 31, 2020.</w:t>
      </w:r>
    </w:p>
    <w:p>
      <w:pPr>
        <w:spacing w:after="0" w:line="84"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On February 7, 2020, we entered into a loan and security agreement, or the Loan Agreement, with Hercules Capital, Inc., or Hercules, which provides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which we refer to as the Tranche 2 Advance. We did not request the available additional borrowings by the due date. Borrowings under the Loan Agreement are repayable in monthly interest-only payments through October 1, 2021. After the interest-only payment period, borrowings under the Loan Agreement are repayable in equal monthly payments of principal and accrued interest until the maturity date of the loan, which is September 1, 2023. Borrowings under the Loan Agreement bear interest at an annual rate equal to the greater of (i) 9.85% or (ii) 5.10% plus the Wall Street Journal prime rate. The Wall Street Journal prime rate as of March 31, 2021, was 3.25%. At our option, we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ind w:right="100"/>
        <w:spacing w:after="0" w:line="311" w:lineRule="auto"/>
        <w:rPr>
          <w:sz w:val="20"/>
          <w:szCs w:val="20"/>
          <w:color w:val="auto"/>
        </w:rPr>
      </w:pPr>
      <w:r>
        <w:rPr>
          <w:rFonts w:ascii="Arial" w:cs="Arial" w:eastAsia="Arial" w:hAnsi="Arial"/>
          <w:sz w:val="16"/>
          <w:szCs w:val="16"/>
          <w:color w:val="auto"/>
        </w:rPr>
        <w:t>may prepay all, but not less than all, of the outstanding borrowings, subject to a prepayment premium. Borrowings under the Loan Agreement are collateralized by substantially all of our and our subsidiaries personal property and other assets, other than our intellectual property. For additional information regarding the Loan Agreement with Hercules, see Note 11 to our condensed consolidated financial statements located elsewhere in this report.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22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In March 2021, we entered into a new sales agreement with Cowen and Company, LLC, or Cowen, under which we may issue and sell shares of our common stock having aggregate sales proceeds of up to $75.0 million from time to time through Cowen, acting as agent, in a series of one or more ATM equity offerings (the “2021 ATM Program”). Cowen is not required to sell any specific amount but acts as our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Our common stock will be sold at prevailing market prices at the time of the sale; and as a result, prices may vary.</w:t>
      </w:r>
    </w:p>
    <w:p>
      <w:pPr>
        <w:spacing w:after="0" w:line="178"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In August 2019, we entered into a sales agreement with Cowen, under which we may issue and sell shares of our common stock having aggregate sales proceeds of up to $50.0 million from time to time pursuant to the ATM program, or the 2019 ATM Program. In the fourth quarter of 2020, the 2019 ATM Program was cancelled in connection with the public offering in December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76"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76"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drug candidates;</w:t>
      </w:r>
    </w:p>
    <w:p>
      <w:pPr>
        <w:spacing w:after="0" w:line="144"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62" w:lineRule="exact"/>
        <w:rPr>
          <w:rFonts w:ascii="Arial" w:cs="Arial" w:eastAsia="Arial" w:hAnsi="Arial"/>
          <w:sz w:val="18"/>
          <w:szCs w:val="18"/>
          <w:color w:val="auto"/>
        </w:rPr>
      </w:pPr>
    </w:p>
    <w:p>
      <w:pPr>
        <w:jc w:val="both"/>
        <w:ind w:left="1000" w:right="30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our drug candidates;</w:t>
      </w:r>
    </w:p>
    <w:p>
      <w:pPr>
        <w:spacing w:after="0" w:line="144"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55" w:lineRule="exact"/>
        <w:rPr>
          <w:rFonts w:ascii="Arial" w:cs="Arial" w:eastAsia="Arial" w:hAnsi="Arial"/>
          <w:sz w:val="17"/>
          <w:szCs w:val="17"/>
          <w:color w:val="auto"/>
        </w:rPr>
      </w:pPr>
    </w:p>
    <w:p>
      <w:pPr>
        <w:ind w:left="1000" w:right="16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44" w:lineRule="exact"/>
        <w:rPr>
          <w:rFonts w:ascii="Arial" w:cs="Arial" w:eastAsia="Arial" w:hAnsi="Arial"/>
          <w:sz w:val="18"/>
          <w:szCs w:val="18"/>
          <w:color w:val="auto"/>
        </w:rPr>
      </w:pPr>
    </w:p>
    <w:p>
      <w:pPr>
        <w:ind w:left="1000" w:right="220" w:hanging="493"/>
        <w:spacing w:after="0" w:line="308"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38" w:lineRule="exact"/>
        <w:rPr>
          <w:rFonts w:ascii="Arial" w:cs="Arial" w:eastAsia="Arial" w:hAnsi="Arial"/>
          <w:sz w:val="17"/>
          <w:szCs w:val="17"/>
          <w:color w:val="auto"/>
        </w:rPr>
      </w:pPr>
    </w:p>
    <w:p>
      <w:pPr>
        <w:ind w:left="1000" w:right="64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75" w:lineRule="exact"/>
        <w:rPr>
          <w:rFonts w:ascii="Arial" w:cs="Arial" w:eastAsia="Arial" w:hAnsi="Arial"/>
          <w:sz w:val="18"/>
          <w:szCs w:val="18"/>
          <w:color w:val="auto"/>
        </w:rPr>
      </w:pPr>
    </w:p>
    <w:p>
      <w:pPr>
        <w:ind w:left="1000" w:right="2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cost of disruptions to our supply chain and operations, and associated delays in the manufacturing and supply of our products, which would adversely impact our ability to generate sales of and revenues from entinostat, if approved, and to continue our clinical trial operations.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44"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meet our requirements as a public company.</w:t>
      </w:r>
    </w:p>
    <w:p>
      <w:pPr>
        <w:spacing w:after="0" w:line="170"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5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have incurred losses and cumulative negative cash flows from operations since our inception; and as of March 31, 2021, we had an accumulated deficit of $596.4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flows:</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5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gridSpan w:val="4"/>
          </w:tcPr>
          <w:p>
            <w:pPr>
              <w:jc w:val="right"/>
              <w:ind w:right="527"/>
              <w:spacing w:after="0" w:line="155"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82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5"/>
              </w:rPr>
              <w:t>(22,589)</w:t>
            </w:r>
          </w:p>
        </w:tc>
        <w:tc>
          <w:tcPr>
            <w:tcW w:w="920" w:type="dxa"/>
            <w:vAlign w:val="bottom"/>
            <w:gridSpan w:val="2"/>
            <w:shd w:val="clear" w:color="auto" w:fill="CFF0FC"/>
          </w:tcPr>
          <w:p>
            <w:pPr>
              <w:jc w:val="right"/>
              <w:ind w:right="747"/>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2"/>
              </w:rPr>
              <w:t>(15,925)</w:t>
            </w: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(29,228)</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(19,053)</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54,998</w:t>
            </w:r>
          </w:p>
        </w:tc>
        <w:tc>
          <w:tcPr>
            <w:tcW w:w="120" w:type="dxa"/>
            <w:vAlign w:val="bottom"/>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40" w:type="dxa"/>
            <w:vAlign w:val="bottom"/>
          </w:tcPr>
          <w:p>
            <w:pPr>
              <w:spacing w:after="0"/>
              <w:rPr>
                <w:sz w:val="19"/>
                <w:szCs w:val="19"/>
                <w:color w:val="auto"/>
              </w:rPr>
            </w:pPr>
          </w:p>
        </w:tc>
        <w:tc>
          <w:tcPr>
            <w:tcW w:w="880" w:type="dxa"/>
            <w:vAlign w:val="bottom"/>
            <w:tcBorders>
              <w:bottom w:val="single" w:sz="8" w:color="auto"/>
            </w:tcBorders>
          </w:tcPr>
          <w:p>
            <w:pPr>
              <w:jc w:val="right"/>
              <w:ind w:right="72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(50,857)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20,020</w:t>
            </w:r>
          </w:p>
        </w:tc>
        <w:tc>
          <w:tcPr>
            <w:tcW w:w="12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Net cash used in operating activities for the three months ended March 31, 2021, was $22.6 million and primarily consisted of our net loss of $27.7 million adjusted for non-cash items, including stock-based compensation of $2.8 million, a net increase in operating assets and liabilities of $2.0 million, an investment amortization of $0.2 million, and non-cash interest expense associated with the term loan of $0.1 million. The increase in our net loss was primarily due to the increase in our clinical trial activities and CMC expenses. The net increase in operating assets and liabilities primarily consisted of increased accounts payable of $3.0 million, offset by decreased prepayments and deposits of $0.6 million, and decreased deferred revenue of $0.4 million.</w:t>
      </w:r>
    </w:p>
    <w:p>
      <w:pPr>
        <w:spacing w:after="0" w:line="53"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Net cash used in operating activities for the three months ended March 31, 2020, was $15.9 million and primarily consisted of our net loss of $15.2 million adjusted for non-cash items, including stock-based compensation of $1.8 million, a net decrease in operating assets and liabilities of $2.9 million, an investment amortization of $0.1 million and non-cash interest expense associated with the term loan of $0.1 million. The increased net loss is primarily due to increased pre-commercialization expenses, offset by decreased clinical trial activities and CMC expenses. The net decrease in operating assets and liabilities primarily consisted of increased accounts payable of $2.8 million, offset by decreased prepayments and deposits of $2.5 million, decreased accrued expenses and other liabilities of $2.5 million and decreased deferred revenue of $0.4 million.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Net cash used in investing activities for the three months ended March 31, 2021, was $29.2 million and was primarily due to the purchase of $66.7 million of available-for-sale marketable securities offset by $37.5 million in proceeds from the maturities of available-for-sale marketable securities.</w:t>
      </w:r>
    </w:p>
    <w:p>
      <w:pPr>
        <w:spacing w:after="0" w:line="16"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2020, was $19.1 million and was primarily due to the purchase of $34.9 million of available-for-sale marketable securities from the proceeds of the direct offering partially offset by $15.8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million of proceeds from the maturities of available-for-sale securities, which will primarily be used to fund the next period’s operating activities.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2021, of $1.0 million was primarily due to the proceeds from stock option exercises of $0.9 million and employee participation in our Employee Stock Purchase Plan of $0.1 million.</w:t>
      </w:r>
    </w:p>
    <w:p>
      <w:pPr>
        <w:spacing w:after="0" w:line="62"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Net cash provided by financing activities for the three months ended March 31, 2020, of $55.0 million was primarily due to the proceeds from our direct placement, net of fees, of $34.9 million, proceeds from our term loan of $19.7 million, proceeds from stock option exercises of $0.3 million and employee participation in our Employee Stock Purchase Plan of $0.1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that was filed with the SEC on March 12,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March 31, 2021, we had cash and cash equivalents of $64.4 million, consisting of overnight investments, interest-bearing money market funds, commercial papers and short-term corporate bonds, and short-term investments of $206.9 million, consisting of commercial paper, highly rated corporate bonds and credit card asset backed securities.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w:t>
      </w:r>
    </w:p>
    <w:p>
      <w:pPr>
        <w:spacing w:after="0" w:line="73"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We also have exposure to market risk on our Loan Agreement with Hercules. Our Loan Agreement accrues interest from its date of issue at a variable interest rate equal to greater of (i) 9.85% and (ii) 5.10% plus the Wall Street Journal prime rate. As of March 31, 2021, $20.0 million was outstanding under the Loan Agreement. The effect of a 100 basis points adverse change in market interest rates on our 2020 Loan Payable, in excess of applicable minimum floors, on our interest expense would be approximately $0.5 million.</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inflation and changing prices had a significant impact on our results of operations for any periods presented herein.</w:t>
      </w:r>
    </w:p>
    <w:p>
      <w:pPr>
        <w:spacing w:after="0" w:line="34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ind w:right="60" w:firstLine="510"/>
        <w:spacing w:after="0" w:line="273" w:lineRule="auto"/>
        <w:rPr>
          <w:sz w:val="20"/>
          <w:szCs w:val="20"/>
          <w:color w:val="auto"/>
        </w:rPr>
      </w:pPr>
      <w:r>
        <w:rPr>
          <w:rFonts w:ascii="Arial" w:cs="Arial" w:eastAsia="Arial" w:hAnsi="Arial"/>
          <w:sz w:val="17"/>
          <w:szCs w:val="17"/>
          <w:color w:val="auto"/>
        </w:rPr>
        <w:t>As of March 31, 2021,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2021, our disclosure controls and procedures were effective at the reasonable assurance level.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There was no change in our internal control over financial reporting that occurred during our most recent fiscal quarter that materially affected, or is reasonably likely to materially affect, our internal control over financial reporting. We have not experienced any material impact to our internal controls over financial reporting despite the fact that our employees are working remotely due to the COVID-19 pandemic. We are continually monitoring and assessing the COVID-19 situation on our internal controls to minimize the impact on their design and operating effectiveness.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March 31, 2021, we were not party to any material legal or arbitration proceedings. No governmental proceedings are pending or, to our knowledge, contemplated against us.</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16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could adversely impact our business, including our clinical trials.</w:t>
      </w:r>
    </w:p>
    <w:p>
      <w:pPr>
        <w:spacing w:after="0" w:line="11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ongoing COVID-19 pandemic has resulted in travel and other restrictions in order to reduce the spread of the disease, including state and local orders across the United States and other countries worldwide, which, among other things, direct individuals to shelter at their places of residence, direct businesses and governmental agencies to cease non-essential operations at physical locations, prohibit certain non-essential gatherings, and order cessation of non-essential travel. In response to these public health directives and orders, we have implemented work-from-home policies for our employees. The effects of executive orders may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58"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While COVID-19 has not yet had a material impact on our business operations, quarantines and various government orders related to COVID-19 may adversely impact our business operations and the business operations of our contract research organizations conducting our clinical trials and our third-party manufacturing facilities in the United States and other countries. In particular, if the COVID-19 pandemic persists for an extended period of time and begins to impact essential distribution systems such as FedEx and postal delivery or if it results in facility closures facility closures for cleaning and/or insufficient staff, we could experience disruptions to our supply chain and operations, and associated delays in the manufacturing and supply of our products, which would adversely impact our ability to continue our clinical trial operations.</w:t>
      </w:r>
    </w:p>
    <w:p>
      <w:pPr>
        <w:spacing w:after="0" w:line="70"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addition, our clinical trials may be affected by the COVID-19 pandemic. For example, we have experienced minor delays in clinical site initiation and patient enrollment due to prioritization of hospital resources toward the COVID-19 pandemic.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could be limited, which in turn could adversely impact our clinical trial operations. As a result, we may face delays in meeting our anticipated timelines for our ongoing and planned clinical trials.</w:t>
      </w:r>
    </w:p>
    <w:p>
      <w:pPr>
        <w:spacing w:after="0" w:line="53"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63"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extent to which the COVID-19 pandemic impacts our business, our clinical development and regulatory efforts will depend on future developments that are highly uncertain and cannot be predicted with confidence, such as the duration of the outbreak, travel restrictions, quarantines, social distancing requirements, business closures in the United States and other countries, and the effectiveness of actions taken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9" w:name="page30"/>
    <w:bookmarkEnd w:id="29"/>
    <w:p>
      <w:pPr>
        <w:ind w:right="240" w:firstLine="51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sz w:val="20"/>
          <w:szCs w:val="20"/>
          <w:color w:val="auto"/>
        </w:rPr>
      </w:pPr>
    </w:p>
    <w:p>
      <w:pPr>
        <w:ind w:right="520" w:firstLine="578"/>
        <w:spacing w:after="0" w:line="311" w:lineRule="auto"/>
        <w:rPr>
          <w:sz w:val="20"/>
          <w:szCs w:val="20"/>
          <w:color w:val="auto"/>
        </w:rPr>
      </w:pPr>
      <w:r>
        <w:rPr>
          <w:rFonts w:ascii="Arial" w:cs="Arial" w:eastAsia="Arial" w:hAnsi="Arial"/>
          <w:sz w:val="16"/>
          <w:szCs w:val="16"/>
          <w:color w:val="auto"/>
        </w:rPr>
        <w:t>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41" w:lineRule="exact"/>
        <w:rPr>
          <w:sz w:val="20"/>
          <w:szCs w:val="20"/>
          <w:color w:val="auto"/>
        </w:rPr>
      </w:pPr>
    </w:p>
    <w:p>
      <w:pPr>
        <w:ind w:left="1000" w:right="16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and indirect effects of the ongoing COVID-19 pandemic on various aspects and stages of the clinical development process, including the impact to expected site initiation, enrollment and participation in our clinical trials;</w:t>
      </w:r>
    </w:p>
    <w:p>
      <w:pPr>
        <w:spacing w:after="0" w:line="62" w:lineRule="exact"/>
        <w:rPr>
          <w:rFonts w:ascii="Arial" w:cs="Arial" w:eastAsia="Arial" w:hAnsi="Arial"/>
          <w:sz w:val="18"/>
          <w:szCs w:val="18"/>
          <w:color w:val="auto"/>
        </w:rPr>
      </w:pPr>
    </w:p>
    <w:p>
      <w:pPr>
        <w:jc w:val="both"/>
        <w:ind w:left="1000" w:hanging="493"/>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significant reprioritization and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timely completion of the Phase 1/2 clinical trial of SNDX-5613 in patients with relapsed/refractory MLLr and NPM1c acute leukemia;</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completion of the pivotal Phase 2 clinical trial of axatilimab in patients with chronic Graft Versus Host Disease, or cGVHD;</w:t>
      </w:r>
    </w:p>
    <w:p>
      <w:pPr>
        <w:spacing w:after="0" w:line="144"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completion of any future clinical trials of SNDX-5613 and axatilimab as well as the potential use of our product candidates to treat various cancer indications and fibrotic diseases;</w:t>
      </w:r>
    </w:p>
    <w:p>
      <w:pPr>
        <w:spacing w:after="0" w:line="62"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adverse drug reactions in any of our clinical trials;</w:t>
      </w:r>
    </w:p>
    <w:p>
      <w:pPr>
        <w:spacing w:after="0" w:line="144"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meeting the endpoints in the clinical trials of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44"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2"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and to develop, validate and maintain a commercially viable manufacturing process that is compliant with cGMP;</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our product candidates.</w:t>
      </w:r>
    </w:p>
    <w:p>
      <w:pPr>
        <w:spacing w:after="0" w:line="144" w:lineRule="exact"/>
        <w:rPr>
          <w:sz w:val="20"/>
          <w:szCs w:val="20"/>
          <w:color w:val="auto"/>
        </w:rPr>
      </w:pPr>
    </w:p>
    <w:p>
      <w:pPr>
        <w:ind w:firstLine="578"/>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strategy for developing SNDX-5613 has undergone limited clinical testing and we may fail to show that the drug is well tolerated and provides sufficient clinical benefit for patients</w:t>
      </w:r>
      <w:r>
        <w:rPr>
          <w:rFonts w:ascii="Arial" w:cs="Arial" w:eastAsia="Arial" w:hAnsi="Arial"/>
          <w:sz w:val="18"/>
          <w:szCs w:val="18"/>
          <w:i w:val="1"/>
          <w:iCs w:val="1"/>
          <w:color w:val="auto"/>
        </w:rPr>
        <w:t>.</w:t>
      </w:r>
    </w:p>
    <w:p>
      <w:pPr>
        <w:spacing w:after="0" w:line="62" w:lineRule="exact"/>
        <w:rPr>
          <w:sz w:val="20"/>
          <w:szCs w:val="20"/>
          <w:color w:val="auto"/>
        </w:rPr>
      </w:pPr>
    </w:p>
    <w:p>
      <w:pPr>
        <w:ind w:right="80" w:firstLine="584"/>
        <w:spacing w:after="0" w:line="257" w:lineRule="auto"/>
        <w:rPr>
          <w:sz w:val="20"/>
          <w:szCs w:val="20"/>
          <w:color w:val="auto"/>
        </w:rPr>
      </w:pPr>
      <w:r>
        <w:rPr>
          <w:rFonts w:ascii="Arial" w:cs="Arial" w:eastAsia="Arial" w:hAnsi="Arial"/>
          <w:sz w:val="18"/>
          <w:szCs w:val="18"/>
          <w:color w:val="auto"/>
        </w:rPr>
        <w:t>Research suggests that certain acute leukemias, such as mixed lineage leukemia-rearranged, or MLLr, leukemias and nucleophosmin 1, or NPM1, mutant acute myeloid leukemia, or AML, are driven by the interaction of menin, a nuclear protein involved in transcription, with the N-terminus of MLL1 protein, a histone methyl transferase. In NMP1 mutant AML the interaction with menin occurs via the wild type MLL1 protein, and in MLLr acute leukemias, the interaction occurs via a mutant form of MLL1, a fusion protein known as MLLr. MLLr results from a rare, spontaneous fusion between the N-terminus of the mixed lineage leukemia</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0" w:name="page31"/>
    <w:bookmarkEnd w:id="30"/>
    <w:p>
      <w:pPr>
        <w:ind w:right="20"/>
        <w:spacing w:after="0" w:line="269" w:lineRule="auto"/>
        <w:rPr>
          <w:sz w:val="20"/>
          <w:szCs w:val="20"/>
          <w:color w:val="auto"/>
        </w:rPr>
      </w:pPr>
      <w:r>
        <w:rPr>
          <w:rFonts w:ascii="Arial" w:cs="Arial" w:eastAsia="Arial" w:hAnsi="Arial"/>
          <w:sz w:val="17"/>
          <w:szCs w:val="17"/>
          <w:color w:val="auto"/>
        </w:rPr>
        <w:t>protein-1, or MLL1, and a host of signaling molecules and nuclear transcription factors. This fusion produces an aberrant transcription program that drives leukemic transformation. In pre-clinical animal models, small molecule inhibitors of the menin-MLL-r interaction, such as SNDX-5613, which bind to, and block the interaction of menin with either MLLr or MLL1, have demonstrated deep and durable single agent treatment effects in multiple leukemic xenograft models harboring MLL fusions or NPM1 mutations. Our strategy for developing SNDX-5613 is to conduct a Phase 1/2 clinical trial in relapsed/refractory patients with MLL-r and NPM1 mutant acute leukemias and determine if the observed clinical efficacy supports further development. The Phase 1 portion of the trial is assessing the safety, tolerability and pharmacokinetics of SNDX-5613,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will evaluate efficacy of SNDX-5613 across three expansion cohorts enrolling pediatric and adult patients with MLL-r acute lymphoblastic leukemia, or ALL, MLL-r acute myeloid leukemia, or AML, and NPM1 mutant AML. While we believe that we have established sufficient efficacy to warrant continued development in these indications, we have not yet sufficiently demonstrated a favorable risk-benefit of SNDX-5613 in patients.</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strategy for developing axatilimab has undergone limited clinical testing and we may fail to show that this drug is well tolerated and provides a clinical benefit for patients.</w:t>
      </w:r>
    </w:p>
    <w:p>
      <w:pPr>
        <w:spacing w:after="0" w:line="62" w:lineRule="exact"/>
        <w:rPr>
          <w:sz w:val="20"/>
          <w:szCs w:val="20"/>
          <w:color w:val="auto"/>
        </w:rPr>
      </w:pPr>
    </w:p>
    <w:p>
      <w:pPr>
        <w:ind w:right="60" w:firstLine="584"/>
        <w:spacing w:after="0" w:line="271" w:lineRule="auto"/>
        <w:rPr>
          <w:sz w:val="20"/>
          <w:szCs w:val="20"/>
          <w:color w:val="auto"/>
        </w:rPr>
      </w:pPr>
      <w:r>
        <w:rPr>
          <w:rFonts w:ascii="Arial" w:cs="Arial" w:eastAsia="Arial" w:hAnsi="Arial"/>
          <w:sz w:val="17"/>
          <w:szCs w:val="17"/>
          <w:color w:val="auto"/>
        </w:rPr>
        <w:t>Preclinical studies suggest that CSF-1/CSF-1R signaling may be the key regulatory pathway involved in the expansion and infiltration of donor derived macrophages that mediate the disease processes involved in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Our approach is to conduct a Phase 1/2 clinical trial with axatilimab in subjects with active cGVHD who have failed at least two prior lines of therapy. While we believe that we have established sufficient efficacy to warrant continued development in this indication, we have not yet sufficiently demonstrated a favorable risk-benefit of axatilimab in patients.</w:t>
      </w:r>
    </w:p>
    <w:p>
      <w:pPr>
        <w:spacing w:after="0" w:line="17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From time to time, we may publish interim top-line or preliminary data from our clinical trials. For example, in April 2021, we announced interim data from our Phase 1/2 clinical trial of SNDX-5613.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any of our product candidates.</w:t>
      </w:r>
    </w:p>
    <w:p>
      <w:pPr>
        <w:spacing w:after="0" w:line="62" w:lineRule="exact"/>
        <w:rPr>
          <w:sz w:val="20"/>
          <w:szCs w:val="20"/>
          <w:color w:val="auto"/>
        </w:rPr>
      </w:pPr>
    </w:p>
    <w:p>
      <w:pPr>
        <w:ind w:right="20" w:firstLine="578"/>
        <w:spacing w:after="0" w:line="253" w:lineRule="auto"/>
        <w:rPr>
          <w:sz w:val="20"/>
          <w:szCs w:val="20"/>
          <w:color w:val="auto"/>
        </w:rPr>
      </w:pPr>
      <w:r>
        <w:rPr>
          <w:rFonts w:ascii="Arial" w:cs="Arial" w:eastAsia="Arial" w:hAnsi="Arial"/>
          <w:sz w:val="18"/>
          <w:szCs w:val="18"/>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in May 2020, we announced that ECOG-ACRIN advised us that the E2112 trial did not achieve the primary endpoint of demonstrating a statistically significant overall survival benefit over hormone therapy alone in the Phase 3 clinical trial and we decided to deprioritize the entinostat program to focus resources on advancing the remainder of our pipeline. A number of companies in the pharmaceutical and biotechnology industries have suffered significant setbacks in advanced trials due to lack of efficacy or unacceptable safety profiles, notwithstanding promising results in earlier trials.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and indirect effects of the ongoing COVID-19 pandemic;</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and nature of the patient population, especially in the case of an orphan indication such as MLL-r acute leukemia;</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obtain and maintain patient consent;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a result of the above factors, there is a risk that our or our collaborators’ clinical trials may not be completed on a timely basis or at all.</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44" w:lineRule="exact"/>
        <w:rPr>
          <w:rFonts w:ascii="Arial" w:cs="Arial" w:eastAsia="Arial" w:hAnsi="Arial"/>
          <w:sz w:val="18"/>
          <w:szCs w:val="18"/>
          <w:color w:val="auto"/>
        </w:rPr>
      </w:pPr>
    </w:p>
    <w:p>
      <w:pPr>
        <w:ind w:left="1000" w:right="11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62"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44"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right="140" w:firstLine="578"/>
        <w:spacing w:after="0" w:line="277"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ind w:right="40"/>
        <w:spacing w:after="0" w:line="259" w:lineRule="auto"/>
        <w:rPr>
          <w:sz w:val="20"/>
          <w:szCs w:val="20"/>
          <w:color w:val="auto"/>
        </w:rPr>
      </w:pPr>
      <w:r>
        <w:rPr>
          <w:rFonts w:ascii="Arial" w:cs="Arial" w:eastAsia="Arial" w:hAnsi="Arial"/>
          <w:sz w:val="18"/>
          <w:szCs w:val="18"/>
          <w:color w:val="auto"/>
        </w:rPr>
        <w:t>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sz w:val="20"/>
          <w:szCs w:val="20"/>
          <w:color w:val="auto"/>
        </w:rPr>
      </w:pPr>
    </w:p>
    <w:p>
      <w:pPr>
        <w:ind w:right="40" w:firstLine="578"/>
        <w:spacing w:after="0" w:line="296"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53" w:lineRule="exact"/>
        <w:rPr>
          <w:sz w:val="20"/>
          <w:szCs w:val="20"/>
          <w:color w:val="auto"/>
        </w:rPr>
      </w:pPr>
    </w:p>
    <w:p>
      <w:pPr>
        <w:ind w:right="60" w:firstLine="578"/>
        <w:spacing w:after="0" w:line="296" w:lineRule="auto"/>
        <w:rPr>
          <w:sz w:val="20"/>
          <w:szCs w:val="20"/>
          <w:color w:val="auto"/>
        </w:rPr>
      </w:pPr>
      <w:r>
        <w:rPr>
          <w:rFonts w:ascii="Arial" w:cs="Arial" w:eastAsia="Arial" w:hAnsi="Arial"/>
          <w:sz w:val="16"/>
          <w:szCs w:val="16"/>
          <w:color w:val="auto"/>
        </w:rPr>
        <w:t>Due to the ongoing COVID-19 pandemic, it is possible that we could experience delays in the timing of our interactions with regulatory authorities due to absenteeism by governmental employees, inability to conduct planned physical inspections related to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In addition, our product candidates could fail to receive regulatory approval from the FDA or foreign regulatory authorities for other reasons, including but not limited to:</w:t>
      </w:r>
    </w:p>
    <w:p>
      <w:pPr>
        <w:spacing w:after="0" w:line="53"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44"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44" w:lineRule="exact"/>
        <w:rPr>
          <w:sz w:val="20"/>
          <w:szCs w:val="20"/>
          <w:color w:val="auto"/>
        </w:rPr>
      </w:pPr>
    </w:p>
    <w:p>
      <w:pPr>
        <w:ind w:firstLine="578"/>
        <w:spacing w:after="0" w:line="271" w:lineRule="auto"/>
        <w:rPr>
          <w:sz w:val="20"/>
          <w:szCs w:val="20"/>
          <w:color w:val="auto"/>
        </w:rPr>
      </w:pPr>
      <w:r>
        <w:rPr>
          <w:rFonts w:ascii="Arial" w:cs="Arial" w:eastAsia="Arial" w:hAnsi="Arial"/>
          <w:sz w:val="17"/>
          <w:szCs w:val="17"/>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w:t>
      </w:r>
    </w:p>
    <w:p>
      <w:pPr>
        <w:spacing w:after="0" w:line="17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r>
        <w:rPr>
          <w:rFonts w:ascii="Arial" w:cs="Arial" w:eastAsia="Arial" w:hAnsi="Arial"/>
          <w:sz w:val="18"/>
          <w:szCs w:val="18"/>
          <w:i w:val="1"/>
          <w:iCs w:val="1"/>
          <w:color w:val="auto"/>
        </w:rPr>
        <w:t>.</w:t>
      </w:r>
    </w:p>
    <w:p>
      <w:pPr>
        <w:spacing w:after="0" w:line="62" w:lineRule="exact"/>
        <w:rPr>
          <w:sz w:val="20"/>
          <w:szCs w:val="20"/>
          <w:color w:val="auto"/>
        </w:rPr>
      </w:pPr>
    </w:p>
    <w:p>
      <w:pPr>
        <w:ind w:right="120" w:firstLine="578"/>
        <w:spacing w:after="0" w:line="301" w:lineRule="auto"/>
        <w:rPr>
          <w:sz w:val="20"/>
          <w:szCs w:val="20"/>
          <w:color w:val="auto"/>
        </w:rPr>
      </w:pPr>
      <w:r>
        <w:rPr>
          <w:rFonts w:ascii="Arial" w:cs="Arial" w:eastAsia="Arial" w:hAnsi="Arial"/>
          <w:sz w:val="16"/>
          <w:szCs w:val="16"/>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49"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sales and marketing;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144" w:lineRule="exact"/>
        <w:rPr>
          <w:sz w:val="20"/>
          <w:szCs w:val="20"/>
          <w:color w:val="auto"/>
        </w:rPr>
      </w:pPr>
    </w:p>
    <w:p>
      <w:pPr>
        <w:jc w:val="both"/>
        <w:ind w:right="120" w:firstLine="578"/>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6" w:lineRule="exact"/>
        <w:rPr>
          <w:sz w:val="20"/>
          <w:szCs w:val="20"/>
          <w:color w:val="auto"/>
        </w:rPr>
      </w:pPr>
    </w:p>
    <w:p>
      <w:pPr>
        <w:ind w:right="60" w:firstLine="578"/>
        <w:spacing w:after="0" w:line="296"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In additional, public health epidemics, such as the worldwide COVID-19 pandemic, may impact the ability of our existing or future manufacturers to perform their obligations to us.</w:t>
      </w:r>
    </w:p>
    <w:p>
      <w:pPr>
        <w:spacing w:after="0" w:line="53" w:lineRule="exact"/>
        <w:rPr>
          <w:sz w:val="20"/>
          <w:szCs w:val="20"/>
          <w:color w:val="auto"/>
        </w:rPr>
      </w:pPr>
    </w:p>
    <w:p>
      <w:pPr>
        <w:ind w:firstLine="578"/>
        <w:spacing w:after="0" w:line="269" w:lineRule="auto"/>
        <w:rPr>
          <w:sz w:val="20"/>
          <w:szCs w:val="20"/>
          <w:color w:val="auto"/>
        </w:rPr>
      </w:pPr>
      <w:r>
        <w:rPr>
          <w:rFonts w:ascii="Arial" w:cs="Arial" w:eastAsia="Arial" w:hAnsi="Arial"/>
          <w:sz w:val="17"/>
          <w:szCs w:val="17"/>
          <w:color w:val="auto"/>
        </w:rPr>
        <w:t>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right="40" w:firstLine="578"/>
        <w:spacing w:after="0" w:line="254" w:lineRule="auto"/>
        <w:rPr>
          <w:sz w:val="20"/>
          <w:szCs w:val="20"/>
          <w:color w:val="auto"/>
        </w:rPr>
      </w:pPr>
      <w:r>
        <w:rPr>
          <w:rFonts w:ascii="Arial" w:cs="Arial" w:eastAsia="Arial" w:hAnsi="Arial"/>
          <w:sz w:val="18"/>
          <w:szCs w:val="18"/>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8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84"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44"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44" w:lineRule="exact"/>
        <w:rPr>
          <w:sz w:val="20"/>
          <w:szCs w:val="20"/>
          <w:color w:val="auto"/>
        </w:rPr>
      </w:pPr>
    </w:p>
    <w:p>
      <w:pPr>
        <w:ind w:right="40" w:firstLine="578"/>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62" w:lineRule="exact"/>
        <w:rPr>
          <w:sz w:val="20"/>
          <w:szCs w:val="20"/>
          <w:color w:val="auto"/>
        </w:rPr>
      </w:pPr>
    </w:p>
    <w:p>
      <w:pPr>
        <w:ind w:right="40" w:firstLine="578"/>
        <w:spacing w:after="0" w:line="253"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88" w:lineRule="exact"/>
        <w:rPr>
          <w:sz w:val="20"/>
          <w:szCs w:val="20"/>
          <w:color w:val="auto"/>
        </w:rPr>
      </w:pPr>
    </w:p>
    <w:p>
      <w:pPr>
        <w:ind w:right="60" w:firstLine="578"/>
        <w:spacing w:after="0" w:line="286"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17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84"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2"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44"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2" w:lineRule="exact"/>
        <w:rPr>
          <w:rFonts w:ascii="Arial" w:cs="Arial" w:eastAsia="Arial" w:hAnsi="Arial"/>
          <w:sz w:val="18"/>
          <w:szCs w:val="18"/>
          <w:color w:val="auto"/>
        </w:rPr>
      </w:pPr>
    </w:p>
    <w:p>
      <w:pPr>
        <w:ind w:left="1000" w:right="64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ind w:right="120" w:firstLine="578"/>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right="20" w:firstLine="578"/>
        <w:spacing w:after="0" w:line="268" w:lineRule="auto"/>
        <w:rPr>
          <w:sz w:val="20"/>
          <w:szCs w:val="20"/>
          <w:color w:val="auto"/>
        </w:rPr>
      </w:pPr>
      <w:r>
        <w:rPr>
          <w:rFonts w:ascii="Arial" w:cs="Arial" w:eastAsia="Arial" w:hAnsi="Arial"/>
          <w:sz w:val="17"/>
          <w:szCs w:val="17"/>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Even if any of our product candidates received regulatory approval, such product candidates would face competition from other therapies 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relevant indication. For example, chronic graft versus host disease has historically been managed by off-label treatments. However, in 2017 ibrutinib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Imbruvica®</w:t>
      </w:r>
      <w:r>
        <w:rPr>
          <w:rFonts w:ascii="Arial" w:cs="Arial" w:eastAsia="Arial" w:hAnsi="Arial"/>
          <w:sz w:val="16"/>
          <w:szCs w:val="16"/>
          <w:color w:val="auto"/>
        </w:rPr>
        <w:t>) became the first drug approved for use patients with cGVHD after failure of one or more lines of systemic therapy. KD-025 and Ruxolitinib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Jakafi</w:t>
      </w:r>
      <w:r>
        <w:rPr>
          <w:rFonts w:ascii="Arial" w:cs="Arial" w:eastAsia="Arial" w:hAnsi="Arial"/>
          <w:sz w:val="16"/>
          <w:szCs w:val="16"/>
          <w:color w:val="auto"/>
        </w:rPr>
        <w:t>®), have recently shared positive results on registration-directed trials to treat steroid refractory cGVHD patients and, if approved, may also compete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axatilimab.</w:t>
      </w:r>
    </w:p>
    <w:p>
      <w:pPr>
        <w:spacing w:after="0" w:line="103" w:lineRule="exact"/>
        <w:rPr>
          <w:sz w:val="20"/>
          <w:szCs w:val="20"/>
          <w:color w:val="auto"/>
        </w:rPr>
      </w:pPr>
    </w:p>
    <w:p>
      <w:pPr>
        <w:ind w:right="80" w:firstLine="578"/>
        <w:spacing w:after="0" w:line="259" w:lineRule="auto"/>
        <w:rPr>
          <w:sz w:val="20"/>
          <w:szCs w:val="20"/>
          <w:color w:val="auto"/>
        </w:rPr>
      </w:pPr>
      <w:r>
        <w:rPr>
          <w:rFonts w:ascii="Arial" w:cs="Arial" w:eastAsia="Arial" w:hAnsi="Arial"/>
          <w:sz w:val="18"/>
          <w:szCs w:val="18"/>
          <w:color w:val="auto"/>
        </w:rPr>
        <w:t>SNDX-5613 is being developed for the treatment of adult and pediatric patients with MLL-r ALL,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SNDX-5613 has the potential to be the first defined therapy for patients with MLLr ALL, MLLr AML and/or NPM1 mutant AML.</w:t>
      </w:r>
    </w:p>
    <w:p>
      <w:pPr>
        <w:spacing w:after="0" w:line="79" w:lineRule="exact"/>
        <w:rPr>
          <w:sz w:val="20"/>
          <w:szCs w:val="20"/>
          <w:color w:val="auto"/>
        </w:rPr>
      </w:pPr>
    </w:p>
    <w:p>
      <w:pPr>
        <w:ind w:right="220" w:firstLine="578"/>
        <w:spacing w:after="0" w:line="291"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ind w:left="1000" w:hanging="493"/>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44"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w:t>
      </w:r>
    </w:p>
    <w:p>
      <w:pPr>
        <w:spacing w:after="0" w:line="144" w:lineRule="exact"/>
        <w:rPr>
          <w:sz w:val="20"/>
          <w:szCs w:val="20"/>
          <w:color w:val="auto"/>
        </w:rPr>
      </w:pPr>
    </w:p>
    <w:p>
      <w:pPr>
        <w:ind w:right="40" w:firstLine="578"/>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actions of Kyowa Kirin Co., Ltd., or KKC, Eddingpharm Investment Company Limited, or Eddingpharm, and any other current or future sublicensees could adversely affect our business.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currently sublicense entinostat to third parties for development and commercialization in certain foreign jurisdictions. Specifically, we have a sublicense agreement with KKC under which we granted KKC an exclusive sublicense to develop and commercialize entinostat in Japan and Korea as well as a sublicense agreement with Eddingpharm under which we granted Eddingpharm an exclusive sublicense to develop and commercialize entinostat in China and select Asian countries. It is possible that any clinical trials conducted by KKC, Eddingpharm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Biopharma Sprl, or UCB, to comply with the terms of our license agreement for axatilimab.</w:t>
      </w:r>
    </w:p>
    <w:p>
      <w:pPr>
        <w:spacing w:after="0" w:line="117" w:lineRule="exact"/>
        <w:rPr>
          <w:sz w:val="20"/>
          <w:szCs w:val="20"/>
          <w:color w:val="auto"/>
        </w:rPr>
      </w:pPr>
    </w:p>
    <w:p>
      <w:pPr>
        <w:ind w:right="60" w:firstLine="578"/>
        <w:spacing w:after="0" w:line="254" w:lineRule="auto"/>
        <w:rPr>
          <w:sz w:val="20"/>
          <w:szCs w:val="20"/>
          <w:color w:val="auto"/>
        </w:rPr>
      </w:pPr>
      <w:r>
        <w:rPr>
          <w:rFonts w:ascii="Arial" w:cs="Arial" w:eastAsia="Arial" w:hAnsi="Arial"/>
          <w:sz w:val="18"/>
          <w:szCs w:val="18"/>
          <w:color w:val="auto"/>
        </w:rPr>
        <w:t>Our commercial success also depends upon our ability to develop, manufacture, market and sell axatilimab. In July 2016, we entered into the UCB license agreement pursuant to which we obtained a worldwide, sublicenseable, exclusive license to axatilimab, an IND-ready anti-CSF-1R monoclonal antibody.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1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2" w:lineRule="exact"/>
        <w:rPr>
          <w:sz w:val="20"/>
          <w:szCs w:val="20"/>
          <w:color w:val="auto"/>
        </w:rPr>
      </w:pPr>
    </w:p>
    <w:p>
      <w:pPr>
        <w:ind w:right="20" w:firstLine="578"/>
        <w:spacing w:after="0" w:line="285"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ind w:right="280"/>
        <w:spacing w:after="0" w:line="277" w:lineRule="auto"/>
        <w:rPr>
          <w:sz w:val="20"/>
          <w:szCs w:val="20"/>
          <w:color w:val="auto"/>
        </w:rPr>
      </w:pPr>
      <w:r>
        <w:rPr>
          <w:rFonts w:ascii="Arial" w:cs="Arial" w:eastAsia="Arial" w:hAnsi="Arial"/>
          <w:sz w:val="18"/>
          <w:szCs w:val="18"/>
          <w:color w:val="auto"/>
        </w:rPr>
        <w:t>investigations, we could incur substantial costs, including legal fees, and divert the attention of management in defending ourselves against any of these claims or investigations.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84" w:lineRule="exact"/>
        <w:rPr>
          <w:sz w:val="20"/>
          <w:szCs w:val="20"/>
          <w:color w:val="auto"/>
        </w:rPr>
      </w:pPr>
    </w:p>
    <w:p>
      <w:pPr>
        <w:ind w:right="80" w:firstLine="578"/>
        <w:spacing w:after="0" w:line="301"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right="120" w:firstLine="578"/>
        <w:spacing w:after="0" w:line="273" w:lineRule="auto"/>
        <w:rPr>
          <w:sz w:val="20"/>
          <w:szCs w:val="20"/>
          <w:color w:val="auto"/>
        </w:rPr>
      </w:pPr>
      <w:r>
        <w:rPr>
          <w:rFonts w:ascii="Arial" w:cs="Arial" w:eastAsia="Arial" w:hAnsi="Arial"/>
          <w:sz w:val="17"/>
          <w:szCs w:val="17"/>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70" w:lineRule="exact"/>
        <w:rPr>
          <w:sz w:val="20"/>
          <w:szCs w:val="20"/>
          <w:color w:val="auto"/>
        </w:rPr>
      </w:pPr>
    </w:p>
    <w:p>
      <w:pPr>
        <w:ind w:right="280" w:firstLine="578"/>
        <w:spacing w:after="0" w:line="263"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76" w:lineRule="exact"/>
        <w:rPr>
          <w:sz w:val="20"/>
          <w:szCs w:val="20"/>
          <w:color w:val="auto"/>
        </w:rPr>
      </w:pPr>
    </w:p>
    <w:p>
      <w:pPr>
        <w:ind w:right="60" w:firstLine="578"/>
        <w:spacing w:after="0" w:line="271"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70" w:lineRule="exact"/>
        <w:rPr>
          <w:sz w:val="20"/>
          <w:szCs w:val="20"/>
          <w:color w:val="auto"/>
        </w:rPr>
      </w:pPr>
    </w:p>
    <w:p>
      <w:pPr>
        <w:ind w:right="40" w:firstLine="578"/>
        <w:spacing w:after="0" w:line="272" w:lineRule="auto"/>
        <w:rPr>
          <w:sz w:val="20"/>
          <w:szCs w:val="20"/>
          <w:color w:val="auto"/>
        </w:rPr>
      </w:pPr>
      <w:r>
        <w:rPr>
          <w:rFonts w:ascii="Arial" w:cs="Arial" w:eastAsia="Arial" w:hAnsi="Arial"/>
          <w:sz w:val="17"/>
          <w:szCs w:val="17"/>
          <w:color w:val="auto"/>
        </w:rPr>
        <w:t>Private payors often follow decisions by the Centers for Medicare &amp; Medicaid Services, or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69" w:lineRule="exact"/>
        <w:rPr>
          <w:sz w:val="20"/>
          <w:szCs w:val="20"/>
          <w:color w:val="auto"/>
        </w:rPr>
      </w:pPr>
    </w:p>
    <w:p>
      <w:pPr>
        <w:ind w:right="20" w:firstLine="578"/>
        <w:spacing w:after="0" w:line="271" w:lineRule="auto"/>
        <w:rPr>
          <w:sz w:val="20"/>
          <w:szCs w:val="20"/>
          <w:color w:val="auto"/>
        </w:rPr>
      </w:pPr>
      <w:r>
        <w:rPr>
          <w:rFonts w:ascii="Arial" w:cs="Arial" w:eastAsia="Arial" w:hAnsi="Arial"/>
          <w:sz w:val="17"/>
          <w:szCs w:val="17"/>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ind w:right="220" w:firstLine="57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2" w:lineRule="exact"/>
        <w:rPr>
          <w:sz w:val="20"/>
          <w:szCs w:val="20"/>
          <w:color w:val="auto"/>
        </w:rPr>
      </w:pPr>
    </w:p>
    <w:p>
      <w:pPr>
        <w:ind w:right="20" w:firstLine="578"/>
        <w:spacing w:after="0" w:line="284"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have been executive, judicial and Congressional challenges to certain aspects of the Affordable Care Act. 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Additionally, the 2020 federal spending package permanently eliminated, effective January 1, 2020, the Affordable Care Act’s mandated “Cadillac” tax on high-cost employer-sponsored health coverage and medical device tax and, effective January 1, 2021, also eliminated the health insurer tax. Further, the Bipartisan Budget Act of 2018, or the BBA, among other things, amended the Affordable Care Act, effective January 1, 2019, to increase from 50% to 70% the point-of-sale discount that is owed by pharmaceutical manufacturers who participate in Medicare Part D and to close the coverage gap in most Medicare drug plans, commonly referred to as the “donut hole.” On December 14, 2018, a Texas U.S. District Court Judge ruled that the Affordable Care Act is unconstitutional in its entirety because the “individual mandate” was repealed by the U.S. Congress as part of the Tax Cuts and Jobs Act of 2017 Act. Additionally,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The U.S. Supreme Court is currently reviewing the case, although it is unknown when a decision will be made. Further, although the U.S. Supreme Court has not yet ruled on the constitutionality of the Affordable Care Act, on January 28, 2021, President Biden issued an executive order that initiated a special enrollment period for purposes of obtaining health insurance coverage through the Affordable Care Act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Additionally, on February 10, 2021, the Biden administration withdrew the federal government’s support for overturning the Affordable Care Act. It is unclear how the Supreme Court ruling, other such litigation, and the healthcare reform measures of the Biden administration will impact the Affordable Care Act and our business.</w:t>
      </w:r>
    </w:p>
    <w:p>
      <w:pPr>
        <w:spacing w:after="0" w:line="63"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legislation’s automatic reduction to several government programs. This included aggregate reductions to Medicare payments to providers of up to 2% per fiscal year, effective as of 2013. Further legislation, including the BBA, has extended the 2% reduction to 2030 with the exception of a temporary suspension from May 1, 2020 through December 31, 2021 due to the COVID-19 pandemic, unless additional congressional action is taken.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73" w:lineRule="exact"/>
        <w:rPr>
          <w:sz w:val="20"/>
          <w:szCs w:val="20"/>
          <w:color w:val="auto"/>
        </w:rPr>
      </w:pPr>
    </w:p>
    <w:p>
      <w:pPr>
        <w:ind w:right="60" w:firstLine="578"/>
        <w:spacing w:after="0" w:line="271" w:lineRule="auto"/>
        <w:rPr>
          <w:sz w:val="20"/>
          <w:szCs w:val="20"/>
          <w:color w:val="auto"/>
        </w:rPr>
      </w:pPr>
      <w:r>
        <w:rPr>
          <w:rFonts w:ascii="Arial" w:cs="Arial" w:eastAsia="Arial" w:hAnsi="Arial"/>
          <w:sz w:val="17"/>
          <w:szCs w:val="17"/>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sought to implement several of the administration’s proposals. As a result, the FDA released a final rule on September 24, 2020, effective November 30, 2020, providing guidance for states to build and submit importation plans for drugs from Canada. Further, 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line="286" w:lineRule="auto"/>
        <w:rPr>
          <w:sz w:val="20"/>
          <w:szCs w:val="20"/>
          <w:color w:val="auto"/>
        </w:rPr>
      </w:pPr>
      <w:r>
        <w:rPr>
          <w:rFonts w:ascii="Arial" w:cs="Arial" w:eastAsia="Arial" w:hAnsi="Arial"/>
          <w:sz w:val="16"/>
          <w:szCs w:val="16"/>
          <w:color w:val="auto"/>
        </w:rPr>
        <w:t>November 20, 2020, the U.S. Department of Health &amp; 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 On November 20, 2020, the Centers for Medicare &amp; Medicaid Services, or CMS, issued an interim final rule implementing the Trump administration’s Most Favored Nation executive order, which would tie Medicare Part B payments for certain physician-administered drugs to the lowest price paid in other economically advanced countries. The Most Favored Nation regulations mandate participation by identified Medicare Part B providers and will apply in all U.S. states and territories for a seven-year period beginning January 1, 2021, and ending December 31, 2027.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3" w:lineRule="exact"/>
        <w:rPr>
          <w:sz w:val="20"/>
          <w:szCs w:val="20"/>
          <w:color w:val="auto"/>
        </w:rPr>
      </w:pPr>
    </w:p>
    <w:p>
      <w:pPr>
        <w:ind w:right="40" w:firstLine="578"/>
        <w:spacing w:after="0" w:line="273" w:lineRule="auto"/>
        <w:rPr>
          <w:sz w:val="20"/>
          <w:szCs w:val="20"/>
          <w:color w:val="auto"/>
        </w:rPr>
      </w:pPr>
      <w:r>
        <w:rPr>
          <w:rFonts w:ascii="Arial" w:cs="Arial" w:eastAsia="Arial" w:hAnsi="Arial"/>
          <w:sz w:val="17"/>
          <w:szCs w:val="17"/>
          <w:color w:val="auto"/>
        </w:rPr>
        <w:t>It is also possible that additional governmental action is taken in response to the COVID-19 pandemic. We cannot predict the likelihood, nature or extent of government regulations that may arise from future legislation, administrative or executive action. 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17" w:lineRule="exact"/>
        <w:rPr>
          <w:sz w:val="20"/>
          <w:szCs w:val="20"/>
          <w:color w:val="auto"/>
        </w:rPr>
      </w:pPr>
    </w:p>
    <w:p>
      <w:pPr>
        <w:ind w:right="80" w:firstLine="578"/>
        <w:spacing w:after="0" w:line="301" w:lineRule="auto"/>
        <w:rPr>
          <w:sz w:val="20"/>
          <w:szCs w:val="20"/>
          <w:color w:val="auto"/>
        </w:rPr>
      </w:pPr>
      <w:r>
        <w:rPr>
          <w:rFonts w:ascii="Arial" w:cs="Arial" w:eastAsia="Arial" w:hAnsi="Arial"/>
          <w:sz w:val="16"/>
          <w:szCs w:val="16"/>
          <w:color w:val="auto"/>
        </w:rPr>
        <w:t>In order to market any approved product candidate in the future, we must build our sales, marketing, managerial and other non-technical capabilities or make arrangements with third parties to perform these services, as we do not presently have all of these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49"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attract and build an effective marketing or sales force;</w:t>
      </w:r>
    </w:p>
    <w:p>
      <w:pPr>
        <w:spacing w:after="0" w:line="144"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44"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76" w:lineRule="exact"/>
        <w:rPr>
          <w:sz w:val="20"/>
          <w:szCs w:val="20"/>
          <w:color w:val="auto"/>
        </w:rPr>
      </w:pPr>
    </w:p>
    <w:p>
      <w:pPr>
        <w:ind w:right="200" w:firstLine="578"/>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our product candidates.</w:t>
      </w:r>
    </w:p>
    <w:p>
      <w:pPr>
        <w:spacing w:after="0" w:line="140" w:lineRule="exact"/>
        <w:rPr>
          <w:sz w:val="20"/>
          <w:szCs w:val="20"/>
          <w:color w:val="auto"/>
        </w:rPr>
      </w:pPr>
    </w:p>
    <w:p>
      <w:pPr>
        <w:ind w:right="180" w:firstLine="57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80"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44" w:lineRule="exact"/>
        <w:rPr>
          <w:sz w:val="20"/>
          <w:szCs w:val="20"/>
          <w:color w:val="auto"/>
        </w:rPr>
      </w:pPr>
    </w:p>
    <w:p>
      <w:pPr>
        <w:ind w:right="60" w:firstLine="578"/>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63" w:lineRule="exact"/>
        <w:rPr>
          <w:sz w:val="20"/>
          <w:szCs w:val="20"/>
          <w:color w:val="auto"/>
        </w:rPr>
      </w:pPr>
    </w:p>
    <w:p>
      <w:pPr>
        <w:ind w:right="60" w:firstLine="578"/>
        <w:spacing w:after="0" w:line="275" w:lineRule="auto"/>
        <w:rPr>
          <w:sz w:val="20"/>
          <w:szCs w:val="20"/>
          <w:color w:val="auto"/>
        </w:rPr>
      </w:pPr>
      <w:r>
        <w:rPr>
          <w:rFonts w:ascii="Arial" w:cs="Arial" w:eastAsia="Arial" w:hAnsi="Arial"/>
          <w:sz w:val="17"/>
          <w:szCs w:val="17"/>
          <w:color w:val="auto"/>
        </w:rPr>
        <w:t>Healthcare providers, including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8" w:lineRule="exact"/>
        <w:rPr>
          <w:sz w:val="20"/>
          <w:szCs w:val="20"/>
          <w:color w:val="auto"/>
        </w:rPr>
      </w:pPr>
    </w:p>
    <w:p>
      <w:pPr>
        <w:ind w:left="1000" w:right="160" w:hanging="493"/>
        <w:spacing w:after="0" w:line="279"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63" w:lineRule="exact"/>
        <w:rPr>
          <w:rFonts w:ascii="Arial" w:cs="Arial" w:eastAsia="Arial" w:hAnsi="Arial"/>
          <w:sz w:val="17"/>
          <w:szCs w:val="17"/>
          <w:color w:val="auto"/>
        </w:rPr>
      </w:pPr>
    </w:p>
    <w:p>
      <w:pPr>
        <w:ind w:left="1000" w:right="80" w:hanging="493"/>
        <w:spacing w:after="0" w:line="25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00" w:right="100" w:hanging="493"/>
        <w:spacing w:after="0" w:line="254"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86" w:lineRule="exact"/>
        <w:rPr>
          <w:rFonts w:ascii="Arial" w:cs="Arial" w:eastAsia="Arial" w:hAnsi="Arial"/>
          <w:sz w:val="18"/>
          <w:szCs w:val="18"/>
          <w:color w:val="auto"/>
        </w:rPr>
      </w:pPr>
    </w:p>
    <w:p>
      <w:pPr>
        <w:ind w:left="1000" w:right="60" w:hanging="493"/>
        <w:spacing w:after="0" w:line="25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spacing w:after="0" w:line="79" w:lineRule="exact"/>
        <w:rPr>
          <w:rFonts w:ascii="Arial" w:cs="Arial" w:eastAsia="Arial" w:hAnsi="Arial"/>
          <w:sz w:val="18"/>
          <w:szCs w:val="18"/>
          <w:color w:val="auto"/>
        </w:rPr>
      </w:pPr>
    </w:p>
    <w:p>
      <w:pPr>
        <w:ind w:left="1000" w:hanging="493"/>
        <w:spacing w:after="0" w:line="255"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(as defined above) and their immediate family members. Beginning in 2022, applicable manufacturers also will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ind w:left="1000" w:right="180"/>
        <w:spacing w:after="0" w:line="342" w:lineRule="auto"/>
        <w:rPr>
          <w:sz w:val="20"/>
          <w:szCs w:val="20"/>
          <w:color w:val="auto"/>
        </w:rPr>
      </w:pPr>
      <w:r>
        <w:rPr>
          <w:rFonts w:ascii="Arial" w:cs="Arial" w:eastAsia="Arial" w:hAnsi="Arial"/>
          <w:sz w:val="16"/>
          <w:szCs w:val="16"/>
          <w:color w:val="auto"/>
        </w:rPr>
        <w:t>be required to report information regarding payments and transfers of value provided during the previous year to physician assistants, nurse practitioners, clinical nurse specialists, certified nurse anesthetists, anesthesiologist assistants and certified nurse-midwives; and</w:t>
      </w:r>
    </w:p>
    <w:p>
      <w:pPr>
        <w:spacing w:after="0" w:line="16" w:lineRule="exact"/>
        <w:rPr>
          <w:sz w:val="20"/>
          <w:szCs w:val="20"/>
          <w:color w:val="auto"/>
        </w:rPr>
      </w:pPr>
    </w:p>
    <w:p>
      <w:pPr>
        <w:ind w:left="1000" w:right="20" w:hanging="493"/>
        <w:spacing w:after="0" w:line="269"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71" w:lineRule="exact"/>
        <w:rPr>
          <w:sz w:val="20"/>
          <w:szCs w:val="20"/>
          <w:color w:val="auto"/>
        </w:rPr>
      </w:pPr>
    </w:p>
    <w:p>
      <w:pPr>
        <w:ind w:right="60" w:firstLine="578"/>
        <w:spacing w:after="0" w:line="287" w:lineRule="auto"/>
        <w:rPr>
          <w:sz w:val="20"/>
          <w:szCs w:val="20"/>
          <w:color w:val="auto"/>
        </w:rPr>
      </w:pPr>
      <w:r>
        <w:rPr>
          <w:rFonts w:ascii="Arial" w:cs="Arial" w:eastAsia="Arial" w:hAnsi="Arial"/>
          <w:sz w:val="16"/>
          <w:szCs w:val="16"/>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17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2" w:lineRule="exact"/>
        <w:rPr>
          <w:sz w:val="20"/>
          <w:szCs w:val="20"/>
          <w:color w:val="auto"/>
        </w:rPr>
      </w:pPr>
    </w:p>
    <w:p>
      <w:pPr>
        <w:ind w:firstLine="578"/>
        <w:spacing w:after="0" w:line="267"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due to the COVID-19 pandemic, we have enabled substantially all our employees to work remotely,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83" w:lineRule="exact"/>
        <w:rPr>
          <w:sz w:val="20"/>
          <w:szCs w:val="20"/>
          <w:color w:val="auto"/>
        </w:rPr>
      </w:pPr>
    </w:p>
    <w:p>
      <w:pPr>
        <w:ind w:right="180" w:firstLine="578"/>
        <w:spacing w:after="0" w:line="257"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160"/>
        <w:spacing w:after="0" w:line="342" w:lineRule="auto"/>
        <w:rPr>
          <w:sz w:val="20"/>
          <w:szCs w:val="20"/>
          <w:color w:val="auto"/>
        </w:rPr>
      </w:pPr>
      <w:r>
        <w:rPr>
          <w:rFonts w:ascii="Arial" w:cs="Arial" w:eastAsia="Arial" w:hAnsi="Arial"/>
          <w:sz w:val="16"/>
          <w:szCs w:val="16"/>
          <w:color w:val="auto"/>
        </w:rPr>
        <w:t>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16" w:lineRule="exact"/>
        <w:rPr>
          <w:sz w:val="20"/>
          <w:szCs w:val="20"/>
          <w:color w:val="auto"/>
        </w:rPr>
      </w:pPr>
    </w:p>
    <w:p>
      <w:pPr>
        <w:ind w:firstLine="578"/>
        <w:spacing w:after="0" w:line="267" w:lineRule="auto"/>
        <w:rPr>
          <w:sz w:val="20"/>
          <w:szCs w:val="20"/>
          <w:color w:val="auto"/>
        </w:rPr>
      </w:pPr>
      <w:r>
        <w:rPr>
          <w:rFonts w:ascii="Arial" w:cs="Arial" w:eastAsia="Arial" w:hAnsi="Arial"/>
          <w:sz w:val="17"/>
          <w:szCs w:val="17"/>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1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w:t>
      </w:r>
    </w:p>
    <w:p>
      <w:pPr>
        <w:spacing w:after="0" w:line="84"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For the quarter ended March 31, 2021, we reported a net loss attributable to stockholders of $27.7 million. As of March 31, 2021, we had an accumulated deficit of $596.4 million, which included non-cash charges for stock-based compensation, preferred stock accretion and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jc w:val="both"/>
        <w:ind w:right="100" w:firstLine="578"/>
        <w:spacing w:after="0" w:line="263"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6"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44"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144" w:lineRule="exact"/>
        <w:rPr>
          <w:sz w:val="20"/>
          <w:szCs w:val="20"/>
          <w:color w:val="auto"/>
        </w:rPr>
      </w:pPr>
    </w:p>
    <w:p>
      <w:pPr>
        <w:ind w:right="160" w:firstLine="578"/>
        <w:spacing w:after="0" w:line="275" w:lineRule="auto"/>
        <w:rPr>
          <w:sz w:val="20"/>
          <w:szCs w:val="20"/>
          <w:color w:val="auto"/>
        </w:rPr>
      </w:pPr>
      <w:r>
        <w:rPr>
          <w:rFonts w:ascii="Arial" w:cs="Arial" w:eastAsia="Arial" w:hAnsi="Arial"/>
          <w:sz w:val="17"/>
          <w:szCs w:val="17"/>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68" w:lineRule="exact"/>
        <w:rPr>
          <w:sz w:val="20"/>
          <w:szCs w:val="20"/>
          <w:color w:val="auto"/>
        </w:rPr>
      </w:pPr>
    </w:p>
    <w:p>
      <w:pPr>
        <w:ind w:right="100" w:firstLine="584"/>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6"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COVID-19 pandemic. For example, we may discover that we need to conduct additional activities that exceed our current budget to achieve appropriate rates of patient enrollment, which would increase our development costs.</w:t>
      </w:r>
    </w:p>
    <w:p>
      <w:pPr>
        <w:spacing w:after="0" w:line="84" w:lineRule="exact"/>
        <w:rPr>
          <w:sz w:val="20"/>
          <w:szCs w:val="20"/>
          <w:color w:val="auto"/>
        </w:rPr>
      </w:pPr>
    </w:p>
    <w:p>
      <w:pPr>
        <w:ind w:right="60" w:firstLine="578"/>
        <w:spacing w:after="0" w:line="255"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The COVID-19 pandemic has already resulted in a significant disruption of global financial markets. If the disruption persists and deepens, we could experience an inability to access additional capital. We cannot guarantee that future financing will be available in sufficient amounts or on terms acceptable to us, if at all. If we do not raise additional capital when required or on acceptable terms, we may need to:</w:t>
      </w:r>
    </w:p>
    <w:p>
      <w:pPr>
        <w:spacing w:after="0" w:line="84"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 scale back or discontinue the development or commercialization of our product candidates or cease operations altogether;</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44"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62" w:lineRule="exact"/>
        <w:rPr>
          <w:sz w:val="20"/>
          <w:szCs w:val="20"/>
          <w:color w:val="auto"/>
        </w:rPr>
      </w:pPr>
    </w:p>
    <w:p>
      <w:pPr>
        <w:ind w:right="100" w:firstLine="578"/>
        <w:spacing w:after="0" w:line="308"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44"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62" w:lineRule="exact"/>
        <w:rPr>
          <w:rFonts w:ascii="Arial" w:cs="Arial" w:eastAsia="Arial" w:hAnsi="Arial"/>
          <w:sz w:val="18"/>
          <w:szCs w:val="18"/>
          <w:color w:val="auto"/>
        </w:rPr>
      </w:pPr>
    </w:p>
    <w:p>
      <w:pPr>
        <w:jc w:val="both"/>
        <w:ind w:left="1000" w:right="280" w:hanging="493"/>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44"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and timing for obtaining pricing, and coverage and reimbursement by third-party payors, which may require additional trials to address pharmacoeconomic benefit;</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44"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as we grow our company; and</w:t>
      </w:r>
    </w:p>
    <w:p>
      <w:pPr>
        <w:spacing w:after="0" w:line="62" w:lineRule="exact"/>
        <w:rPr>
          <w:rFonts w:ascii="Arial" w:cs="Arial" w:eastAsia="Arial" w:hAnsi="Arial"/>
          <w:sz w:val="18"/>
          <w:szCs w:val="18"/>
          <w:color w:val="auto"/>
        </w:rPr>
      </w:pPr>
    </w:p>
    <w:p>
      <w:pPr>
        <w:ind w:left="1000" w:right="100" w:hanging="493"/>
        <w:spacing w:after="0" w:line="308"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business interruptions resulting from pandemics and public health emergencies, including those related to the ongoing COVID-19 pandemic, geopolitical actions, including war and terrorism or natural disasters including earthquakes, typhoons, floods and fires.</w:t>
      </w:r>
    </w:p>
    <w:p>
      <w:pPr>
        <w:spacing w:after="0" w:line="38"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terms of our loan and security agreements place restrictions on our operating and financial flexibility. If we raise additional capital through debt financing, the terms of any new debt could further restrict our ability to operate our business.</w:t>
      </w:r>
    </w:p>
    <w:p>
      <w:pPr>
        <w:spacing w:after="0" w:line="62" w:lineRule="exact"/>
        <w:rPr>
          <w:sz w:val="20"/>
          <w:szCs w:val="20"/>
          <w:color w:val="auto"/>
        </w:rPr>
      </w:pPr>
    </w:p>
    <w:p>
      <w:pPr>
        <w:ind w:right="300" w:firstLine="578"/>
        <w:spacing w:after="0" w:line="301" w:lineRule="auto"/>
        <w:rPr>
          <w:sz w:val="20"/>
          <w:szCs w:val="20"/>
          <w:color w:val="auto"/>
        </w:rPr>
      </w:pPr>
      <w:r>
        <w:rPr>
          <w:rFonts w:ascii="Arial" w:cs="Arial" w:eastAsia="Arial" w:hAnsi="Arial"/>
          <w:sz w:val="16"/>
          <w:szCs w:val="16"/>
          <w:color w:val="auto"/>
        </w:rPr>
        <w:t>Our loan and security agreement, or the Loan Agreement, with Hercules Capital, Inc., or Hercules, for aggregate maximum borrowings of up to $30.0 million, or the Credit Facility, is collateralized by substantially all of our and our subsidiaries personal property and other assets, other than our intellectual property. As of March 31, 2021, the outstanding principal balance under the Credit Facility was $20.0 million. The Credit Facility contains customary representations, warranties, affirmative and negative covenants and events of default applicable to us and our subsidiaries.</w:t>
      </w:r>
    </w:p>
    <w:p>
      <w:pPr>
        <w:spacing w:after="0" w:line="49" w:lineRule="exact"/>
        <w:rPr>
          <w:sz w:val="20"/>
          <w:szCs w:val="20"/>
          <w:color w:val="auto"/>
        </w:rPr>
      </w:pPr>
    </w:p>
    <w:p>
      <w:pPr>
        <w:ind w:right="40" w:firstLine="578"/>
        <w:spacing w:after="0" w:line="254" w:lineRule="auto"/>
        <w:rPr>
          <w:sz w:val="20"/>
          <w:szCs w:val="20"/>
          <w:color w:val="auto"/>
        </w:rPr>
      </w:pPr>
      <w:r>
        <w:rPr>
          <w:rFonts w:ascii="Arial" w:cs="Arial" w:eastAsia="Arial" w:hAnsi="Arial"/>
          <w:sz w:val="18"/>
          <w:szCs w:val="18"/>
          <w:color w:val="auto"/>
        </w:rPr>
        <w:t>If we default under the Credit Facility, Hercules may accelerate all of our repayment obligations and exercise all of their rights and remedies under the Credit Facility and applicable law, potentially requiring us to renegotiate our agreement on terms less favorable to us. Further, if we are liquidated, the lenders’ right to repayment would be senior to the rights of the holders of our common stock to receive any proceeds from the liquidation. Hercules could declare a default upon the occurrence of any event, among others, that they interpret as a material adverse effect or a change of control as delineated under the Credit Facility, payment defaults, or breaches of covenants thereby requiring us to repay the loan immediately or to attempt to reverse the declaration of default through negotiation or litigation. Any declaration by the lender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117"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78"/>
        <w:spacing w:after="0" w:line="257" w:lineRule="auto"/>
        <w:rPr>
          <w:sz w:val="20"/>
          <w:szCs w:val="20"/>
          <w:color w:val="auto"/>
        </w:rPr>
      </w:pPr>
      <w:r>
        <w:rPr>
          <w:rFonts w:ascii="Arial" w:cs="Arial" w:eastAsia="Arial" w:hAnsi="Arial"/>
          <w:sz w:val="18"/>
          <w:szCs w:val="18"/>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20"/>
        <w:spacing w:after="0" w:line="275" w:lineRule="auto"/>
        <w:rPr>
          <w:sz w:val="20"/>
          <w:szCs w:val="20"/>
          <w:color w:val="auto"/>
        </w:rPr>
      </w:pPr>
      <w:r>
        <w:rPr>
          <w:rFonts w:ascii="Arial" w:cs="Arial" w:eastAsia="Arial" w:hAnsi="Arial"/>
          <w:sz w:val="17"/>
          <w:szCs w:val="17"/>
          <w:color w:val="auto"/>
        </w:rPr>
        <w:t>taxes may be limited. We completed an analysis through December 31, 2020 and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20" w:firstLine="578"/>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80"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73" w:lineRule="exact"/>
        <w:rPr>
          <w:sz w:val="20"/>
          <w:szCs w:val="20"/>
          <w:color w:val="auto"/>
        </w:rPr>
      </w:pPr>
    </w:p>
    <w:p>
      <w:pPr>
        <w:ind w:firstLine="578"/>
        <w:spacing w:after="0" w:line="285"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61" w:lineRule="exact"/>
        <w:rPr>
          <w:sz w:val="20"/>
          <w:szCs w:val="20"/>
          <w:color w:val="auto"/>
        </w:rPr>
      </w:pPr>
    </w:p>
    <w:p>
      <w:pPr>
        <w:ind w:right="100" w:firstLine="578"/>
        <w:spacing w:after="0" w:line="257"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80" w:lineRule="exact"/>
        <w:rPr>
          <w:sz w:val="20"/>
          <w:szCs w:val="20"/>
          <w:color w:val="auto"/>
        </w:rPr>
      </w:pPr>
    </w:p>
    <w:p>
      <w:pPr>
        <w:ind w:right="240" w:firstLine="578"/>
        <w:spacing w:after="0" w:line="263" w:lineRule="auto"/>
        <w:rPr>
          <w:sz w:val="20"/>
          <w:szCs w:val="20"/>
          <w:color w:val="auto"/>
        </w:rPr>
      </w:pPr>
      <w:r>
        <w:rPr>
          <w:rFonts w:ascii="Arial" w:cs="Arial" w:eastAsia="Arial" w:hAnsi="Arial"/>
          <w:sz w:val="18"/>
          <w:szCs w:val="18"/>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40"/>
        <w:spacing w:after="0" w:line="253" w:lineRule="auto"/>
        <w:rPr>
          <w:sz w:val="20"/>
          <w:szCs w:val="20"/>
          <w:color w:val="auto"/>
        </w:rPr>
      </w:pPr>
      <w:r>
        <w:rPr>
          <w:rFonts w:ascii="Arial" w:cs="Arial" w:eastAsia="Arial" w:hAnsi="Arial"/>
          <w:sz w:val="18"/>
          <w:szCs w:val="18"/>
          <w:color w:val="auto"/>
        </w:rPr>
        <w:t>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88" w:lineRule="exact"/>
        <w:rPr>
          <w:sz w:val="20"/>
          <w:szCs w:val="20"/>
          <w:color w:val="auto"/>
        </w:rPr>
      </w:pPr>
    </w:p>
    <w:p>
      <w:pPr>
        <w:ind w:firstLine="578"/>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70" w:lineRule="exact"/>
        <w:rPr>
          <w:sz w:val="20"/>
          <w:szCs w:val="20"/>
          <w:color w:val="auto"/>
        </w:rPr>
      </w:pPr>
    </w:p>
    <w:p>
      <w:pPr>
        <w:ind w:right="60" w:firstLine="578"/>
        <w:spacing w:after="0" w:line="254" w:lineRule="auto"/>
        <w:rPr>
          <w:sz w:val="20"/>
          <w:szCs w:val="20"/>
          <w:color w:val="auto"/>
        </w:rPr>
      </w:pPr>
      <w:r>
        <w:rPr>
          <w:rFonts w:ascii="Arial" w:cs="Arial" w:eastAsia="Arial" w:hAnsi="Arial"/>
          <w:sz w:val="18"/>
          <w:szCs w:val="18"/>
          <w:color w:val="auto"/>
        </w:rPr>
        <w:t>The portfolio that we licensed from UCB includes granted patents and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or methods of using axatilimab. Based on the priority date and filing date of the applications in the portfolio we licensed from UCB, we expect that additional patents, if any, granted based on the currently pending applications would expire in 2034. The actual term of any patents granted based on the pending applications we licensed from UCB can only be determined after such patents are actually granted.</w:t>
      </w:r>
    </w:p>
    <w:p>
      <w:pPr>
        <w:spacing w:after="0" w:line="87"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The portfolio that we licensed from Vitae Pharmaceuticals, which is now a subsidiary of AbbVie Inc.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The actual term of any patents granted based on the pending applications that we licensed from AbbVie can only be determined after such patents are actually granted.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40" w:firstLine="578"/>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73" w:lineRule="exact"/>
        <w:rPr>
          <w:sz w:val="20"/>
          <w:szCs w:val="20"/>
          <w:color w:val="auto"/>
        </w:rPr>
      </w:pPr>
    </w:p>
    <w:p>
      <w:pPr>
        <w:ind w:right="40" w:firstLine="578"/>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right="20" w:firstLine="578"/>
        <w:spacing w:after="0" w:line="269"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62" w:lineRule="exact"/>
        <w:rPr>
          <w:sz w:val="20"/>
          <w:szCs w:val="20"/>
          <w:color w:val="auto"/>
        </w:rPr>
      </w:pPr>
    </w:p>
    <w:p>
      <w:pPr>
        <w:ind w:right="160" w:firstLine="578"/>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70" w:lineRule="exact"/>
        <w:rPr>
          <w:sz w:val="20"/>
          <w:szCs w:val="20"/>
          <w:color w:val="auto"/>
        </w:rPr>
      </w:pPr>
    </w:p>
    <w:p>
      <w:pPr>
        <w:ind w:right="80" w:firstLine="578"/>
        <w:spacing w:after="0" w:line="275"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68" w:lineRule="exact"/>
        <w:rPr>
          <w:sz w:val="20"/>
          <w:szCs w:val="20"/>
          <w:color w:val="auto"/>
        </w:rPr>
      </w:pPr>
    </w:p>
    <w:p>
      <w:pPr>
        <w:ind w:right="40" w:firstLine="578"/>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80" w:lineRule="exact"/>
        <w:rPr>
          <w:sz w:val="20"/>
          <w:szCs w:val="20"/>
          <w:color w:val="auto"/>
        </w:rPr>
      </w:pPr>
    </w:p>
    <w:p>
      <w:pPr>
        <w:ind w:right="20" w:firstLine="578"/>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axatilimab and would need to negotiate a new or reinstated agreement, which may not be available to us on equally favorable terms, or at all.</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 related to SNDX-5613 or if the license agreement is otherwise terminated, we could lose the ability to continue the development and commercialization of SNDX-5613.</w:t>
      </w:r>
    </w:p>
    <w:p>
      <w:pPr>
        <w:spacing w:after="0" w:line="62"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Our commercial success depends upon our ability to develop, manufacture, market and sell SNDX-5613. Subject to the achievement of certain milestone events, we may be required to pay Vitae, which is now a subsidiary of AbbVie, up to $99 million in one-time development and regulatory milestone payments over the term of the AbbVie license agreement. In the event that we or any of our affiliates or sublicensees commercializes SNDX-5613, we will also be obligated to pay AbbVie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AbbVie. In June 2019, we achieved certain development and regulatory milestones. As a result, in June 2019, we recorded $4.0 million as research and development expense. The amount was paid in 2020.</w:t>
      </w:r>
    </w:p>
    <w:p>
      <w:pPr>
        <w:spacing w:after="0" w:line="84" w:lineRule="exact"/>
        <w:rPr>
          <w:sz w:val="20"/>
          <w:szCs w:val="20"/>
          <w:color w:val="auto"/>
        </w:rPr>
      </w:pPr>
    </w:p>
    <w:p>
      <w:pPr>
        <w:ind w:firstLine="578"/>
        <w:spacing w:after="0" w:line="257" w:lineRule="auto"/>
        <w:rPr>
          <w:sz w:val="20"/>
          <w:szCs w:val="20"/>
          <w:color w:val="auto"/>
        </w:rPr>
      </w:pPr>
      <w:r>
        <w:rPr>
          <w:rFonts w:ascii="Arial" w:cs="Arial" w:eastAsia="Arial" w:hAnsi="Arial"/>
          <w:sz w:val="18"/>
          <w:szCs w:val="18"/>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w:t>
      </w:r>
    </w:p>
    <w:p>
      <w:pPr>
        <w:spacing w:after="0" w:line="80" w:lineRule="exact"/>
        <w:rPr>
          <w:sz w:val="20"/>
          <w:szCs w:val="20"/>
          <w:color w:val="auto"/>
        </w:rPr>
      </w:pPr>
    </w:p>
    <w:p>
      <w:pPr>
        <w:ind w:right="180" w:firstLine="578"/>
        <w:spacing w:after="0" w:line="277"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ind w:right="80"/>
        <w:spacing w:after="0" w:line="263" w:lineRule="auto"/>
        <w:rPr>
          <w:sz w:val="20"/>
          <w:szCs w:val="20"/>
          <w:color w:val="auto"/>
        </w:rPr>
      </w:pPr>
      <w:r>
        <w:rPr>
          <w:rFonts w:ascii="Arial" w:cs="Arial" w:eastAsia="Arial" w:hAnsi="Arial"/>
          <w:sz w:val="18"/>
          <w:szCs w:val="18"/>
          <w:color w:val="auto"/>
        </w:rPr>
        <w:t>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SNDX-5613 have occurred and the last-to-expire relevant patent covering SNDX-5613 in a given country may change in the future.</w:t>
      </w:r>
    </w:p>
    <w:p>
      <w:pPr>
        <w:spacing w:after="0" w:line="76" w:lineRule="exact"/>
        <w:rPr>
          <w:sz w:val="20"/>
          <w:szCs w:val="20"/>
          <w:color w:val="auto"/>
        </w:rPr>
      </w:pPr>
    </w:p>
    <w:p>
      <w:pPr>
        <w:ind w:right="280" w:firstLine="578"/>
        <w:spacing w:after="0" w:line="277" w:lineRule="auto"/>
        <w:rPr>
          <w:sz w:val="20"/>
          <w:szCs w:val="20"/>
          <w:color w:val="auto"/>
        </w:rPr>
      </w:pPr>
      <w:r>
        <w:rPr>
          <w:rFonts w:ascii="Arial" w:cs="Arial" w:eastAsia="Arial" w:hAnsi="Arial"/>
          <w:sz w:val="18"/>
          <w:szCs w:val="18"/>
          <w:color w:val="auto"/>
        </w:rPr>
        <w:t>If the license agreement is terminated, we would not be able to develop, manufacture, market or sell SNDX-5613 and would need to negotiate a new or reinstated agreement, which may not be available to us on equally favorable terms, or at all.</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140" w:firstLine="578"/>
        <w:spacing w:after="0" w:line="257" w:lineRule="auto"/>
        <w:rPr>
          <w:sz w:val="20"/>
          <w:szCs w:val="20"/>
          <w:color w:val="auto"/>
        </w:rPr>
      </w:pPr>
      <w:r>
        <w:rPr>
          <w:rFonts w:ascii="Arial" w:cs="Arial" w:eastAsia="Arial" w:hAnsi="Arial"/>
          <w:sz w:val="18"/>
          <w:szCs w:val="18"/>
          <w:color w:val="auto"/>
        </w:rPr>
        <w:t>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80" w:lineRule="exact"/>
        <w:rPr>
          <w:sz w:val="20"/>
          <w:szCs w:val="20"/>
          <w:color w:val="auto"/>
        </w:rPr>
      </w:pPr>
    </w:p>
    <w:p>
      <w:pPr>
        <w:ind w:right="40" w:firstLine="578"/>
        <w:spacing w:after="0" w:line="291"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58" w:lineRule="exact"/>
        <w:rPr>
          <w:sz w:val="20"/>
          <w:szCs w:val="20"/>
          <w:color w:val="auto"/>
        </w:rPr>
      </w:pPr>
    </w:p>
    <w:p>
      <w:pPr>
        <w:ind w:right="60" w:firstLine="578"/>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70" w:lineRule="exact"/>
        <w:rPr>
          <w:sz w:val="20"/>
          <w:szCs w:val="20"/>
          <w:color w:val="auto"/>
        </w:rPr>
      </w:pPr>
    </w:p>
    <w:p>
      <w:pPr>
        <w:ind w:right="20" w:firstLine="578"/>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129" w:lineRule="exact"/>
        <w:rPr>
          <w:sz w:val="20"/>
          <w:szCs w:val="20"/>
          <w:color w:val="auto"/>
        </w:rPr>
      </w:pPr>
    </w:p>
    <w:p>
      <w:pPr>
        <w:ind w:right="100" w:firstLine="578"/>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74"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18"/>
          <w:szCs w:val="18"/>
          <w:color w:val="auto"/>
        </w:rPr>
        <w:t>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8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78"/>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ind w:right="100" w:firstLine="578"/>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71" w:lineRule="exact"/>
        <w:rPr>
          <w:sz w:val="20"/>
          <w:szCs w:val="20"/>
          <w:color w:val="auto"/>
        </w:rPr>
      </w:pPr>
    </w:p>
    <w:p>
      <w:pPr>
        <w:ind w:right="60" w:firstLine="578"/>
        <w:spacing w:after="0" w:line="269" w:lineRule="auto"/>
        <w:rPr>
          <w:sz w:val="20"/>
          <w:szCs w:val="20"/>
          <w:color w:val="auto"/>
        </w:rPr>
      </w:pPr>
      <w:r>
        <w:rPr>
          <w:rFonts w:ascii="Arial" w:cs="Arial" w:eastAsia="Arial" w:hAnsi="Arial"/>
          <w:sz w:val="17"/>
          <w:szCs w:val="17"/>
          <w:color w:val="auto"/>
        </w:rPr>
        <w:t xml:space="preserve">Third-party preissuance submission of prior art to the USPTO, or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74" w:lineRule="exact"/>
        <w:rPr>
          <w:sz w:val="20"/>
          <w:szCs w:val="20"/>
          <w:color w:val="auto"/>
        </w:rPr>
      </w:pPr>
    </w:p>
    <w:p>
      <w:pPr>
        <w:ind w:right="40" w:firstLine="57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6" w:lineRule="exact"/>
        <w:rPr>
          <w:sz w:val="20"/>
          <w:szCs w:val="20"/>
          <w:color w:val="auto"/>
        </w:rPr>
      </w:pPr>
    </w:p>
    <w:p>
      <w:pPr>
        <w:ind w:right="20" w:firstLine="578"/>
        <w:spacing w:after="0" w:line="263"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0" w:name="page51"/>
    <w:bookmarkEnd w:id="50"/>
    <w:p>
      <w:pPr>
        <w:ind w:right="340"/>
        <w:spacing w:after="0" w:line="263" w:lineRule="auto"/>
        <w:rPr>
          <w:sz w:val="20"/>
          <w:szCs w:val="20"/>
          <w:color w:val="auto"/>
        </w:rPr>
      </w:pPr>
      <w:r>
        <w:rPr>
          <w:rFonts w:ascii="Arial" w:cs="Arial" w:eastAsia="Arial" w:hAnsi="Arial"/>
          <w:sz w:val="18"/>
          <w:szCs w:val="18"/>
          <w:color w:val="auto"/>
        </w:rPr>
        <w:t xml:space="preserve">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76" w:lineRule="exact"/>
        <w:rPr>
          <w:sz w:val="20"/>
          <w:szCs w:val="20"/>
          <w:color w:val="auto"/>
        </w:rPr>
      </w:pPr>
    </w:p>
    <w:p>
      <w:pPr>
        <w:ind w:right="20" w:firstLine="578"/>
        <w:spacing w:after="0" w:line="254"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jc w:val="both"/>
        <w:ind w:right="160" w:firstLine="578"/>
        <w:spacing w:after="0" w:line="255"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84" w:lineRule="exact"/>
        <w:rPr>
          <w:sz w:val="20"/>
          <w:szCs w:val="20"/>
          <w:color w:val="auto"/>
        </w:rPr>
      </w:pPr>
    </w:p>
    <w:p>
      <w:pPr>
        <w:ind w:right="40" w:firstLine="578"/>
        <w:spacing w:after="0" w:line="263"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76" w:lineRule="exact"/>
        <w:rPr>
          <w:sz w:val="20"/>
          <w:szCs w:val="20"/>
          <w:color w:val="auto"/>
        </w:rPr>
      </w:pPr>
    </w:p>
    <w:p>
      <w:pPr>
        <w:ind w:right="80" w:firstLine="578"/>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584"/>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7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Risks Related to Ownership of Our Common Stock and Other General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160" w:firstLine="578"/>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44" w:lineRule="exact"/>
        <w:rPr>
          <w:rFonts w:ascii="Arial" w:cs="Arial" w:eastAsia="Arial" w:hAnsi="Arial"/>
          <w:sz w:val="18"/>
          <w:szCs w:val="18"/>
          <w:color w:val="auto"/>
        </w:rPr>
      </w:pPr>
    </w:p>
    <w:p>
      <w:pPr>
        <w:ind w:left="1000" w:right="74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general economic, industry, political and market conditions, including, but not limited to the ongoing impact of the COVID-19 pandemic.</w:t>
      </w:r>
    </w:p>
    <w:p>
      <w:pPr>
        <w:spacing w:after="0" w:line="156" w:lineRule="exact"/>
        <w:rPr>
          <w:sz w:val="20"/>
          <w:szCs w:val="20"/>
          <w:color w:val="auto"/>
        </w:rPr>
      </w:pPr>
    </w:p>
    <w:p>
      <w:pPr>
        <w:ind w:right="80" w:firstLine="578"/>
        <w:spacing w:after="0" w:line="291" w:lineRule="auto"/>
        <w:rPr>
          <w:sz w:val="20"/>
          <w:szCs w:val="20"/>
          <w:color w:val="auto"/>
        </w:rPr>
      </w:pPr>
      <w:r>
        <w:rPr>
          <w:rFonts w:ascii="Arial" w:cs="Arial" w:eastAsia="Arial" w:hAnsi="Arial"/>
          <w:sz w:val="16"/>
          <w:szCs w:val="16"/>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16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ind w:firstLine="578"/>
        <w:spacing w:after="0" w:line="269" w:lineRule="auto"/>
        <w:rPr>
          <w:sz w:val="20"/>
          <w:szCs w:val="20"/>
          <w:color w:val="auto"/>
        </w:rPr>
      </w:pPr>
      <w:r>
        <w:rPr>
          <w:rFonts w:ascii="Arial" w:cs="Arial" w:eastAsia="Arial" w:hAnsi="Arial"/>
          <w:sz w:val="17"/>
          <w:szCs w:val="17"/>
          <w:color w:val="auto"/>
        </w:rPr>
        <w:t>Until we can generate a sufficient amount of revenue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In December 2020, we completed a public offering in which we sold 6,250,000 shares of our common stock at a price per share of $23.00 with net proceeds of approximately $135.0 million. Further, in May 2020, we sold 6,388,889 shares of our common stock at a price per share of $18.00 with net proceeds of approximately $107.9 million. In January 2020, we sold 3,036,719 shares of our common stock at a price per share of $8.00 and pre-funded warrants to purchase 1,338,287 shares of our common stock for net proceeds of approximately $34.9 million. Upon the completion of the January 2020 offering, we had 5,838,287 pre-funded warrant shares outstanding. The pre-funded warrants are exercisable into shares of common stock for $0.0001 per share. The shares of common stock into which the warrants may be exercised are considered outstanding for the purposes of computing earnings per share. All Series 1 warrants and Series 2 warrants were exercised prior to the December 31, 2020 expiration date. As of March 31, 2021, we had 3,307,952 pre-funded warrants outstanding.</w:t>
      </w:r>
    </w:p>
    <w:p>
      <w:pPr>
        <w:spacing w:after="0" w:line="77" w:lineRule="exact"/>
        <w:rPr>
          <w:sz w:val="20"/>
          <w:szCs w:val="20"/>
          <w:color w:val="auto"/>
        </w:rPr>
      </w:pPr>
    </w:p>
    <w:p>
      <w:pPr>
        <w:ind w:right="40" w:firstLine="578"/>
        <w:spacing w:after="0" w:line="269" w:lineRule="auto"/>
        <w:rPr>
          <w:sz w:val="20"/>
          <w:szCs w:val="20"/>
          <w:color w:val="auto"/>
        </w:rPr>
      </w:pPr>
      <w:r>
        <w:rPr>
          <w:rFonts w:ascii="Arial" w:cs="Arial" w:eastAsia="Arial" w:hAnsi="Arial"/>
          <w:sz w:val="17"/>
          <w:szCs w:val="17"/>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For example, on February 7, 2020, we entered into the Loan Agreement with Hercules, which provided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We did not request the available additional borrowing by the due date. Borrowings under the Loan Agreement are collateralized by substantially all of our and our subsidiaries personal property and other assets, other than our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2" w:name="page53"/>
    <w:bookmarkEnd w:id="52"/>
    <w:p>
      <w:pPr>
        <w:ind w:right="640"/>
        <w:spacing w:after="0" w:line="279" w:lineRule="auto"/>
        <w:rPr>
          <w:sz w:val="20"/>
          <w:szCs w:val="20"/>
          <w:color w:val="auto"/>
        </w:rPr>
      </w:pPr>
      <w:r>
        <w:rPr>
          <w:rFonts w:ascii="Arial" w:cs="Arial" w:eastAsia="Arial" w:hAnsi="Arial"/>
          <w:sz w:val="17"/>
          <w:szCs w:val="17"/>
          <w:color w:val="auto"/>
        </w:rPr>
        <w:t>intellectual property.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63" w:lineRule="exact"/>
        <w:rPr>
          <w:sz w:val="20"/>
          <w:szCs w:val="20"/>
          <w:color w:val="auto"/>
        </w:rPr>
      </w:pPr>
    </w:p>
    <w:p>
      <w:pPr>
        <w:jc w:val="both"/>
        <w:ind w:right="100" w:firstLine="578"/>
        <w:spacing w:after="0" w:line="263" w:lineRule="auto"/>
        <w:rPr>
          <w:sz w:val="20"/>
          <w:szCs w:val="20"/>
          <w:color w:val="auto"/>
        </w:rPr>
      </w:pPr>
      <w:r>
        <w:rPr>
          <w:rFonts w:ascii="Arial" w:cs="Arial" w:eastAsia="Arial" w:hAnsi="Arial"/>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1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control over matters subject to stockholder approval.</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As of March 31, 2021, our executive officers, directors, holders of 5% or more of our capital stock and their respective affiliates beneficially owned approximately 29.2%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a “smaller reporting company” and may avail ourselves of reduced disclosure requirements applicable to such companies, which could make our common stock less attractive to investors and adversely affect the market price of our common stock.</w:t>
      </w:r>
    </w:p>
    <w:p>
      <w:pPr>
        <w:spacing w:after="0" w:line="76"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62" w:lineRule="exact"/>
        <w:rPr>
          <w:sz w:val="20"/>
          <w:szCs w:val="20"/>
          <w:color w:val="auto"/>
        </w:rPr>
      </w:pPr>
    </w:p>
    <w:p>
      <w:pPr>
        <w:ind w:left="1000" w:right="320" w:hanging="493"/>
        <w:spacing w:after="0" w:line="308"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38" w:lineRule="exact"/>
        <w:rPr>
          <w:rFonts w:ascii="Arial" w:cs="Arial" w:eastAsia="Arial" w:hAnsi="Arial"/>
          <w:sz w:val="17"/>
          <w:szCs w:val="17"/>
          <w:color w:val="auto"/>
        </w:rPr>
      </w:pPr>
    </w:p>
    <w:p>
      <w:pPr>
        <w:ind w:left="1000" w:right="60" w:hanging="493"/>
        <w:spacing w:after="0" w:line="259"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78" w:lineRule="exact"/>
        <w:rPr>
          <w:rFonts w:ascii="Arial" w:cs="Arial" w:eastAsia="Arial" w:hAnsi="Arial"/>
          <w:sz w:val="18"/>
          <w:szCs w:val="18"/>
          <w:color w:val="auto"/>
        </w:rPr>
      </w:pPr>
    </w:p>
    <w:p>
      <w:pPr>
        <w:ind w:left="1000" w:right="20" w:hanging="493"/>
        <w:spacing w:after="0" w:line="342"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15" w:lineRule="exact"/>
        <w:rPr>
          <w:rFonts w:ascii="Arial" w:cs="Arial" w:eastAsia="Arial" w:hAnsi="Arial"/>
          <w:sz w:val="16"/>
          <w:szCs w:val="16"/>
          <w:color w:val="auto"/>
        </w:rPr>
      </w:pPr>
    </w:p>
    <w:p>
      <w:pPr>
        <w:ind w:left="1000" w:right="30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62" w:lineRule="exact"/>
        <w:rPr>
          <w:sz w:val="20"/>
          <w:szCs w:val="20"/>
          <w:color w:val="auto"/>
        </w:rPr>
      </w:pPr>
    </w:p>
    <w:p>
      <w:pPr>
        <w:jc w:val="both"/>
        <w:ind w:right="300" w:firstLine="510"/>
        <w:spacing w:after="0" w:line="301" w:lineRule="auto"/>
        <w:rPr>
          <w:sz w:val="20"/>
          <w:szCs w:val="20"/>
          <w:color w:val="auto"/>
        </w:rPr>
      </w:pPr>
      <w:r>
        <w:rPr>
          <w:rFonts w:ascii="Arial" w:cs="Arial" w:eastAsia="Arial" w:hAnsi="Arial"/>
          <w:sz w:val="16"/>
          <w:szCs w:val="16"/>
          <w:color w:val="auto"/>
        </w:rPr>
        <w:t>We may take advantage of these exemptions until we are no longer an “emerging growth company.” We would cease to be an “emerging growth company” upon the earliest of: (i) December 31, 2021; (ii) the first fiscal year after our annual gross revenues are $1.07 billion or more;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right="80" w:firstLine="510"/>
        <w:spacing w:after="0" w:line="288" w:lineRule="auto"/>
        <w:rPr>
          <w:sz w:val="20"/>
          <w:szCs w:val="20"/>
          <w:color w:val="auto"/>
        </w:rPr>
      </w:pPr>
      <w:r>
        <w:rPr>
          <w:rFonts w:ascii="Arial" w:cs="Arial" w:eastAsia="Arial" w:hAnsi="Arial"/>
          <w:sz w:val="16"/>
          <w:szCs w:val="16"/>
          <w:color w:val="auto"/>
        </w:rPr>
        <w:t>We currently take advantage of some, but not all, of the reduced regulatory and reporting requirements that are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is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6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costs as a result of operating as a public company, and our management will devote substantial time to compliance initiatives.</w:t>
      </w:r>
    </w:p>
    <w:p>
      <w:pPr>
        <w:spacing w:after="0" w:line="62"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440" w:firstLine="510"/>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right="40" w:firstLine="510"/>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5"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have been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 Our compliance with Section 404 requires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spacing w:after="0" w:line="270" w:lineRule="auto"/>
        <w:rPr>
          <w:sz w:val="20"/>
          <w:szCs w:val="20"/>
          <w:color w:val="auto"/>
        </w:rPr>
      </w:pPr>
      <w:r>
        <w:rPr>
          <w:rFonts w:ascii="Arial" w:cs="Arial" w:eastAsia="Arial" w:hAnsi="Arial"/>
          <w:sz w:val="17"/>
          <w:szCs w:val="17"/>
          <w:color w:val="auto"/>
        </w:rPr>
        <w:t>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7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1000" w:type="dxa"/>
            <w:vAlign w:val="bottom"/>
          </w:tcPr>
          <w:p>
            <w:pPr>
              <w:jc w:val="right"/>
              <w:ind w:right="375"/>
              <w:spacing w:after="0"/>
              <w:rPr>
                <w:sz w:val="20"/>
                <w:szCs w:val="20"/>
                <w:color w:val="auto"/>
              </w:rPr>
            </w:pPr>
            <w:r>
              <w:rPr>
                <w:rFonts w:ascii="Arial" w:cs="Arial" w:eastAsia="Arial" w:hAnsi="Arial"/>
                <w:sz w:val="18"/>
                <w:szCs w:val="18"/>
                <w:b w:val="1"/>
                <w:bCs w:val="1"/>
                <w:color w:val="auto"/>
                <w:w w:val="91"/>
              </w:rPr>
              <w:t>Item 6.</w:t>
            </w:r>
          </w:p>
        </w:tc>
        <w:tc>
          <w:tcPr>
            <w:tcW w:w="10240" w:type="dxa"/>
            <w:vAlign w:val="bottom"/>
            <w:gridSpan w:val="11"/>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40" w:type="dxa"/>
            <w:vAlign w:val="bottom"/>
            <w:gridSpan w:val="8"/>
            <w:vMerge w:val="restart"/>
          </w:tcPr>
          <w:p>
            <w:pPr>
              <w:ind w:left="1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right"/>
              <w:ind w:right="595"/>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4"/>
              </w:rPr>
            </w:pPr>
            <w:hyperlink r:id="rId74">
              <w:r>
                <w:rPr>
                  <w:rFonts w:ascii="Arial" w:cs="Arial" w:eastAsia="Arial" w:hAnsi="Arial"/>
                  <w:sz w:val="18"/>
                  <w:szCs w:val="18"/>
                  <w:color w:val="0000EE"/>
                  <w:w w:val="94"/>
                </w:rPr>
                <w:t>Amended and Restated Certificate of Incorporation of the Company (incorporated herein by reference to Exhibit 3.1 to the Company’s</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Current Report on Form 8-K (File No. 001-37708), as filed with the SEC on March 8, 2016).</w:t>
              </w:r>
            </w:hyperlink>
          </w:p>
        </w:tc>
        <w:tc>
          <w:tcPr>
            <w:tcW w:w="2980" w:type="dxa"/>
            <w:vAlign w:val="bottom"/>
            <w:tcBorders>
              <w:top w:val="single" w:sz="8" w:color="0000EE"/>
            </w:tcBorders>
            <w:gridSpan w:val="2"/>
          </w:tcPr>
          <w:p>
            <w:pPr>
              <w:spacing w:after="0"/>
              <w:rPr>
                <w:sz w:val="17"/>
                <w:szCs w:val="17"/>
                <w:color w:val="auto"/>
              </w:rPr>
            </w:pPr>
          </w:p>
        </w:tc>
        <w:tc>
          <w:tcPr>
            <w:tcW w:w="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595"/>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Amended and Restated Bylaws of the Company (incorporated herein by reference to Exhibit 3.2 to the Company’s Current Report on Form</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8-K (File No. 001-37708), as filed with the SEC on March 8, 2016).</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595"/>
              <w:spacing w:after="0"/>
              <w:rPr>
                <w:sz w:val="20"/>
                <w:szCs w:val="20"/>
                <w:color w:val="auto"/>
              </w:rPr>
            </w:pPr>
            <w:r>
              <w:rPr>
                <w:rFonts w:ascii="Arial" w:cs="Arial" w:eastAsia="Arial" w:hAnsi="Arial"/>
                <w:sz w:val="18"/>
                <w:szCs w:val="18"/>
                <w:color w:val="auto"/>
                <w:w w:val="85"/>
              </w:rPr>
              <w:t>31.1</w:t>
            </w:r>
          </w:p>
        </w:tc>
        <w:tc>
          <w:tcPr>
            <w:tcW w:w="140" w:type="dxa"/>
            <w:vAlign w:val="bottom"/>
          </w:tcPr>
          <w:p>
            <w:pPr>
              <w:spacing w:after="0"/>
              <w:rPr>
                <w:sz w:val="24"/>
                <w:szCs w:val="24"/>
                <w:color w:val="auto"/>
              </w:rPr>
            </w:pPr>
          </w:p>
        </w:tc>
        <w:tc>
          <w:tcPr>
            <w:tcW w:w="99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Certification of Principal Executive Officer pursuant to Rules 13a-14(a) and 15d-14(a) promulgated under the Securities Exchange Act of</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1934, as amended.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595"/>
              <w:spacing w:after="0"/>
              <w:rPr>
                <w:sz w:val="20"/>
                <w:szCs w:val="20"/>
                <w:color w:val="auto"/>
              </w:rPr>
            </w:pPr>
            <w:r>
              <w:rPr>
                <w:rFonts w:ascii="Arial" w:cs="Arial" w:eastAsia="Arial" w:hAnsi="Arial"/>
                <w:sz w:val="18"/>
                <w:szCs w:val="18"/>
                <w:color w:val="auto"/>
                <w:w w:val="85"/>
              </w:rPr>
              <w:t>31.2</w:t>
            </w:r>
          </w:p>
        </w:tc>
        <w:tc>
          <w:tcPr>
            <w:tcW w:w="1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Certification of Principal Financial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1934, as amended.</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5"/>
              <w:spacing w:after="0"/>
              <w:rPr>
                <w:sz w:val="20"/>
                <w:szCs w:val="20"/>
                <w:color w:val="auto"/>
              </w:rPr>
            </w:pPr>
            <w:r>
              <w:rPr>
                <w:rFonts w:ascii="Arial" w:cs="Arial" w:eastAsia="Arial" w:hAnsi="Arial"/>
                <w:sz w:val="18"/>
                <w:szCs w:val="18"/>
                <w:color w:val="auto"/>
                <w:w w:val="95"/>
              </w:rPr>
              <w:t>32.1*</w:t>
            </w:r>
          </w:p>
        </w:tc>
        <w:tc>
          <w:tcPr>
            <w:tcW w:w="14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Certifications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Section 906 of the Sarbanes-Oxley Act of 2002.</w:t>
              </w:r>
            </w:hyperlink>
          </w:p>
        </w:tc>
        <w:tc>
          <w:tcPr>
            <w:tcW w:w="5800" w:type="dxa"/>
            <w:vAlign w:val="bottom"/>
            <w:tcBorders>
              <w:top w:val="single" w:sz="8" w:color="0000EE"/>
            </w:tcBorders>
            <w:gridSpan w:val="3"/>
          </w:tcPr>
          <w:p>
            <w:pPr>
              <w:spacing w:after="0"/>
              <w:rPr>
                <w:sz w:val="17"/>
                <w:szCs w:val="17"/>
                <w:color w:val="auto"/>
              </w:rPr>
            </w:pPr>
          </w:p>
        </w:tc>
        <w:tc>
          <w:tcPr>
            <w:tcW w:w="8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40" w:right="20" w:hanging="1132"/>
        <w:spacing w:after="0" w:line="259"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March 31, 2021, formatted in iXBRL (Inline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9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9512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8" w:lineRule="exact"/>
        <w:rPr>
          <w:sz w:val="20"/>
          <w:szCs w:val="20"/>
          <w:color w:val="auto"/>
        </w:rPr>
      </w:pPr>
    </w:p>
    <w:p>
      <w:pPr>
        <w:jc w:val="both"/>
        <w:ind w:left="500" w:right="280" w:hanging="492"/>
        <w:spacing w:after="0" w:line="311"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58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Daphne Karydas</w:t>
            </w:r>
          </w:p>
        </w:tc>
      </w:tr>
      <w:tr>
        <w:trPr>
          <w:trHeight w:val="195"/>
        </w:trPr>
        <w:tc>
          <w:tcPr>
            <w:tcW w:w="58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Daphne Karydas</w:t>
            </w: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(Principal Executive Officer and Principal</w:t>
            </w:r>
          </w:p>
        </w:tc>
      </w:tr>
      <w:tr>
        <w:trPr>
          <w:trHeight w:val="230"/>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553" w:right="3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M.D., certify that:</w:t>
      </w:r>
    </w:p>
    <w:p>
      <w:pPr>
        <w:spacing w:after="0" w:line="225" w:lineRule="exact"/>
        <w:rPr>
          <w:sz w:val="20"/>
          <w:szCs w:val="20"/>
          <w:color w:val="auto"/>
        </w:rPr>
      </w:pPr>
    </w:p>
    <w:p>
      <w:pPr>
        <w:ind w:left="700" w:hanging="182"/>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518"/>
        <w:spacing w:after="0" w:line="263" w:lineRule="auto"/>
        <w:tabs>
          <w:tab w:leader="none" w:pos="6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420" w:firstLine="483"/>
        <w:spacing w:after="0" w:line="263" w:lineRule="auto"/>
        <w:tabs>
          <w:tab w:leader="none" w:pos="125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00" w:firstLine="483"/>
        <w:spacing w:after="0" w:line="342" w:lineRule="auto"/>
        <w:tabs>
          <w:tab w:leader="none" w:pos="1251"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60" w:firstLine="483"/>
        <w:spacing w:after="0" w:line="263" w:lineRule="auto"/>
        <w:tabs>
          <w:tab w:leader="none" w:pos="126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00" w:firstLine="483"/>
        <w:spacing w:after="0" w:line="308" w:lineRule="auto"/>
        <w:tabs>
          <w:tab w:leader="none" w:pos="1251"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80" w:firstLine="483"/>
        <w:spacing w:after="0" w:line="277" w:lineRule="auto"/>
        <w:tabs>
          <w:tab w:leader="none" w:pos="126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Date: May 11, 2021</w:t>
            </w:r>
          </w:p>
        </w:tc>
        <w:tc>
          <w:tcPr>
            <w:tcW w:w="7140" w:type="dxa"/>
            <w:vAlign w:val="bottom"/>
            <w:gridSpan w:val="2"/>
          </w:tcPr>
          <w:p>
            <w:pPr>
              <w:ind w:left="2680"/>
              <w:spacing w:after="0"/>
              <w:rPr>
                <w:sz w:val="20"/>
                <w:szCs w:val="20"/>
                <w:color w:val="auto"/>
              </w:rPr>
            </w:pPr>
            <w:r>
              <w:rPr>
                <w:rFonts w:ascii="Arial" w:cs="Arial" w:eastAsia="Arial" w:hAnsi="Arial"/>
                <w:sz w:val="18"/>
                <w:szCs w:val="18"/>
                <w:color w:val="auto"/>
              </w:rPr>
              <w:t>By:  /s/ Briggs W. Morrison, M.D.</w:t>
            </w:r>
          </w:p>
        </w:tc>
      </w:tr>
      <w:tr>
        <w:trPr>
          <w:trHeight w:val="195"/>
        </w:trPr>
        <w:tc>
          <w:tcPr>
            <w:tcW w:w="41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4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Daphne Karydas, certify that:</w:t>
      </w:r>
    </w:p>
    <w:p>
      <w:pPr>
        <w:spacing w:after="0" w:line="225" w:lineRule="exact"/>
        <w:rPr>
          <w:sz w:val="20"/>
          <w:szCs w:val="20"/>
          <w:color w:val="auto"/>
        </w:rPr>
      </w:pPr>
    </w:p>
    <w:p>
      <w:pPr>
        <w:ind w:left="700" w:hanging="182"/>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518"/>
        <w:spacing w:after="0" w:line="263" w:lineRule="auto"/>
        <w:tabs>
          <w:tab w:leader="none" w:pos="6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420" w:firstLine="483"/>
        <w:spacing w:after="0" w:line="263" w:lineRule="auto"/>
        <w:tabs>
          <w:tab w:leader="none" w:pos="125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00" w:firstLine="483"/>
        <w:spacing w:after="0" w:line="342" w:lineRule="auto"/>
        <w:tabs>
          <w:tab w:leader="none" w:pos="1251"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60" w:firstLine="483"/>
        <w:spacing w:after="0" w:line="263" w:lineRule="auto"/>
        <w:tabs>
          <w:tab w:leader="none" w:pos="126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00" w:firstLine="483"/>
        <w:spacing w:after="0" w:line="308" w:lineRule="auto"/>
        <w:tabs>
          <w:tab w:leader="none" w:pos="1251"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80" w:firstLine="483"/>
        <w:spacing w:after="0" w:line="277" w:lineRule="auto"/>
        <w:tabs>
          <w:tab w:leader="none" w:pos="126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May 11, 2021</w:t>
            </w:r>
          </w:p>
        </w:tc>
        <w:tc>
          <w:tcPr>
            <w:tcW w:w="7120" w:type="dxa"/>
            <w:vAlign w:val="bottom"/>
            <w:gridSpan w:val="2"/>
          </w:tcPr>
          <w:p>
            <w:pPr>
              <w:ind w:left="2700"/>
              <w:spacing w:after="0"/>
              <w:rPr>
                <w:sz w:val="20"/>
                <w:szCs w:val="20"/>
                <w:color w:val="auto"/>
              </w:rPr>
            </w:pPr>
            <w:r>
              <w:rPr>
                <w:rFonts w:ascii="Arial" w:cs="Arial" w:eastAsia="Arial" w:hAnsi="Arial"/>
                <w:sz w:val="18"/>
                <w:szCs w:val="18"/>
                <w:color w:val="auto"/>
              </w:rPr>
              <w:t>By:  /s/ Daphne Karydas</w:t>
            </w:r>
          </w:p>
        </w:tc>
      </w:tr>
      <w:tr>
        <w:trPr>
          <w:trHeight w:val="195"/>
        </w:trPr>
        <w:tc>
          <w:tcPr>
            <w:tcW w:w="4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Daphne Karydas</w:t>
            </w:r>
          </w:p>
        </w:tc>
      </w:tr>
      <w:tr>
        <w:trPr>
          <w:trHeight w:val="216"/>
        </w:trPr>
        <w:tc>
          <w:tcPr>
            <w:tcW w:w="4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4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6"/>
              </w:rPr>
              <w:t>(Principal Financial Officer and Principal Accounting</w:t>
            </w:r>
          </w:p>
        </w:tc>
      </w:tr>
      <w:tr>
        <w:trPr>
          <w:trHeight w:val="230"/>
        </w:trPr>
        <w:tc>
          <w:tcPr>
            <w:tcW w:w="41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513"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March 31, 2021, as filed with the Securities and Exchange Commission on the date hereof (the “Report”), each of the undersigned officers of the Company hereby certifies, pursuant to 18 U.S.C. Section 1350, that to his or her knowledge:</w:t>
      </w:r>
    </w:p>
    <w:p>
      <w:pPr>
        <w:spacing w:after="0" w:line="184" w:lineRule="exact"/>
        <w:rPr>
          <w:sz w:val="20"/>
          <w:szCs w:val="20"/>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Date: May 11, 2021</w:t>
            </w:r>
          </w:p>
        </w:tc>
        <w:tc>
          <w:tcPr>
            <w:tcW w:w="3100" w:type="dxa"/>
            <w:vAlign w:val="bottom"/>
          </w:tcPr>
          <w:p>
            <w:pPr>
              <w:ind w:left="268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41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30"/>
        </w:trPr>
        <w:tc>
          <w:tcPr>
            <w:tcW w:w="4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13"/>
        </w:trPr>
        <w:tc>
          <w:tcPr>
            <w:tcW w:w="4100" w:type="dxa"/>
            <w:vAlign w:val="bottom"/>
          </w:tcPr>
          <w:p>
            <w:pPr>
              <w:spacing w:after="0"/>
              <w:rPr>
                <w:sz w:val="20"/>
                <w:szCs w:val="20"/>
                <w:color w:val="auto"/>
              </w:rPr>
            </w:pPr>
            <w:r>
              <w:rPr>
                <w:rFonts w:ascii="Arial" w:cs="Arial" w:eastAsia="Arial" w:hAnsi="Arial"/>
                <w:sz w:val="18"/>
                <w:szCs w:val="18"/>
                <w:color w:val="auto"/>
              </w:rPr>
              <w:t>Date: May 11, 2021</w:t>
            </w:r>
          </w:p>
        </w:tc>
        <w:tc>
          <w:tcPr>
            <w:tcW w:w="3100" w:type="dxa"/>
            <w:vAlign w:val="bottom"/>
          </w:tcPr>
          <w:p>
            <w:pPr>
              <w:ind w:left="268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Daphne Karydas</w:t>
            </w:r>
          </w:p>
        </w:tc>
      </w:tr>
      <w:tr>
        <w:trPr>
          <w:trHeight w:val="195"/>
        </w:trPr>
        <w:tc>
          <w:tcPr>
            <w:tcW w:w="41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Daphne Karydas</w:t>
            </w:r>
          </w:p>
        </w:tc>
      </w:tr>
      <w:tr>
        <w:trPr>
          <w:trHeight w:val="230"/>
        </w:trPr>
        <w:tc>
          <w:tcPr>
            <w:tcW w:w="4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lowerRoman"/>
      <w:start w:val="3"/>
    </w:lvl>
  </w:abstractNum>
  <w:abstractNum w:abstractNumId="6">
    <w:nsid w:val="6763845E"/>
    <w:multiLevelType w:val="hybridMultilevel"/>
    <w:lvl w:ilvl="0">
      <w:lvlJc w:val="left"/>
      <w:lvlText w:val="(%1)"/>
      <w:numFmt w:val="lowerRoman"/>
      <w:start w:val="2"/>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0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4" Type="http://schemas.openxmlformats.org/officeDocument/2006/relationships/hyperlink" Target="http://www.sec.gov/Archives/edgar/data/1395937/000119312516496764/d119516dex31.htm" TargetMode="External"/><Relationship Id="rId75" Type="http://schemas.openxmlformats.org/officeDocument/2006/relationships/hyperlink" Target="http://www.sec.gov/Archives/edgar/data/1395937/000119312516496764/d11951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2021-05-11T16:14:13Z</dcterms:created>
  <dcterms:modified xsi:type="dcterms:W3CDTF">2021-05-11T16:14:13Z</dcterms:modified>
</cp:coreProperties>
</file>